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9B" w:rsidRPr="00624150" w:rsidRDefault="00292FD2">
      <w:pPr>
        <w:jc w:val="left"/>
        <w:rPr>
          <w:rFonts w:ascii="微软雅黑" w:eastAsia="微软雅黑" w:hAnsi="微软雅黑"/>
          <w:color w:val="FF0000"/>
          <w:kern w:val="0"/>
        </w:rPr>
      </w:pPr>
      <w:r w:rsidRPr="00624150">
        <w:rPr>
          <w:rFonts w:ascii="黑体" w:eastAsia="黑体"/>
          <w:kern w:val="0"/>
          <w:sz w:val="30"/>
          <w:szCs w:val="30"/>
        </w:rPr>
        <w:pict>
          <v:shapetype id="_x0000_t202" coordsize="21600,21600" o:spt="202" path="m,l,21600r21600,l21600,xe">
            <v:stroke joinstyle="miter"/>
            <v:path gradientshapeok="t" o:connecttype="rect"/>
          </v:shapetype>
          <v:shape id="_x0000_s1026" type="#_x0000_t202" style="position:absolute;margin-left:-5.65pt;margin-top:-.3pt;width:89.75pt;height:25.05pt;z-index:251660288;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" strokecolor="white [3212]">
            <v:textbox style="mso-next-textbox:#_x0000_s1026;mso-fit-shape-to-text:t">
              <w:txbxContent>
                <w:p w:rsidR="00997E9B" w:rsidRDefault="004D14B4">
                  <w:pPr>
                    <w:rPr>
                      <w:color w:val="FF0000"/>
                    </w:rPr>
                  </w:pPr>
                  <w:r>
                    <w:rPr>
                      <w:rFonts w:hint="eastAsia"/>
                      <w:color w:val="FF0000"/>
                      <w:sz w:val="28"/>
                      <w:szCs w:val="28"/>
                    </w:rPr>
                    <w:t>ICS 27.010</w:t>
                  </w:r>
                </w:p>
              </w:txbxContent>
            </v:textbox>
          </v:shape>
        </w:pict>
      </w:r>
    </w:p>
    <w:p w:rsidR="00997E9B" w:rsidRPr="00624150" w:rsidRDefault="004D14B4">
      <w:pPr>
        <w:jc w:val="center"/>
        <w:rPr>
          <w:rFonts w:ascii="方正小标宋简体" w:eastAsia="方正小标宋简体"/>
          <w:kern w:val="0"/>
          <w:sz w:val="72"/>
          <w:szCs w:val="72"/>
        </w:rPr>
      </w:pPr>
      <w:r w:rsidRPr="00624150">
        <w:rPr>
          <w:rFonts w:ascii="方正小标宋简体" w:eastAsia="方正小标宋简体" w:hint="eastAsia"/>
          <w:spacing w:val="32"/>
          <w:kern w:val="0"/>
          <w:sz w:val="72"/>
          <w:szCs w:val="72"/>
          <w:fitText w:val="9360"/>
        </w:rPr>
        <w:t>中国技术经济学会团体标</w:t>
      </w:r>
      <w:r w:rsidRPr="00624150">
        <w:rPr>
          <w:rFonts w:ascii="方正小标宋简体" w:eastAsia="方正小标宋简体" w:hint="eastAsia"/>
          <w:spacing w:val="8"/>
          <w:kern w:val="0"/>
          <w:sz w:val="72"/>
          <w:szCs w:val="72"/>
          <w:fitText w:val="9360"/>
        </w:rPr>
        <w:t>准</w:t>
      </w:r>
    </w:p>
    <w:p w:rsidR="00997E9B" w:rsidRPr="00624150" w:rsidRDefault="004D14B4">
      <w:pPr>
        <w:jc w:val="right"/>
        <w:rPr>
          <w:rFonts w:ascii="微软雅黑" w:eastAsia="微软雅黑" w:hAnsi="微软雅黑"/>
          <w:color w:val="FF0000"/>
          <w:kern w:val="0"/>
        </w:rPr>
      </w:pPr>
      <w:r w:rsidRPr="00624150">
        <w:rPr>
          <w:rFonts w:ascii="Times New Roman" w:eastAsia="方正小标宋简体" w:hAnsi="Times New Roman" w:hint="eastAsia"/>
          <w:b/>
          <w:color w:val="FF0000"/>
          <w:kern w:val="0"/>
          <w:sz w:val="32"/>
          <w:szCs w:val="32"/>
        </w:rPr>
        <w:t>T/CSTE</w:t>
      </w:r>
      <w:r w:rsidRPr="00624150">
        <w:rPr>
          <w:rFonts w:ascii="Times New Roman" w:eastAsia="方正小标宋简体" w:hAnsi="Times New Roman"/>
          <w:b/>
          <w:color w:val="FF0000"/>
          <w:kern w:val="0"/>
          <w:sz w:val="32"/>
          <w:szCs w:val="32"/>
        </w:rPr>
        <w:t xml:space="preserve"> </w:t>
      </w:r>
      <w:r w:rsidRPr="00624150">
        <w:rPr>
          <w:rFonts w:ascii="微软雅黑" w:eastAsia="微软雅黑" w:hAnsi="微软雅黑" w:hint="eastAsia"/>
          <w:color w:val="FF0000"/>
          <w:kern w:val="0"/>
          <w:sz w:val="28"/>
          <w:szCs w:val="28"/>
        </w:rPr>
        <w:t>00XX—201</w:t>
      </w:r>
      <w:r w:rsidR="00F56E0A" w:rsidRPr="00624150">
        <w:rPr>
          <w:rFonts w:ascii="微软雅黑" w:eastAsia="微软雅黑" w:hAnsi="微软雅黑"/>
          <w:color w:val="FF0000"/>
          <w:kern w:val="0"/>
          <w:sz w:val="28"/>
          <w:szCs w:val="28"/>
        </w:rPr>
        <w:t>9</w:t>
      </w: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624150">
      <w:pPr>
        <w:spacing w:beforeLines="50" w:before="120" w:afterLines="50" w:after="120" w:line="360" w:lineRule="auto"/>
        <w:jc w:val="center"/>
        <w:rPr>
          <w:rFonts w:ascii="黑体" w:eastAsia="黑体" w:hAnsiTheme="minorEastAsia"/>
          <w:b/>
          <w:kern w:val="0"/>
          <w:sz w:val="48"/>
          <w:szCs w:val="52"/>
        </w:rPr>
      </w:pPr>
      <w:r w:rsidRPr="00624150">
        <w:rPr>
          <w:rFonts w:ascii="黑体" w:eastAsia="黑体" w:hAnsiTheme="minorEastAsia" w:hint="eastAsia"/>
          <w:b/>
          <w:kern w:val="0"/>
          <w:sz w:val="48"/>
          <w:szCs w:val="52"/>
        </w:rPr>
        <w:t>绿色设计产品评价技术规范 一体化压缩机</w:t>
      </w:r>
    </w:p>
    <w:p w:rsidR="00997E9B" w:rsidRPr="00624150" w:rsidRDefault="00624150">
      <w:pPr>
        <w:spacing w:beforeLines="50" w:before="120" w:afterLines="50" w:after="120" w:line="360" w:lineRule="auto"/>
        <w:jc w:val="center"/>
        <w:rPr>
          <w:rFonts w:ascii="黑体" w:eastAsia="黑体" w:hAnsiTheme="minorEastAsia"/>
          <w:kern w:val="0"/>
          <w:sz w:val="36"/>
          <w:szCs w:val="36"/>
        </w:rPr>
      </w:pPr>
      <w:r w:rsidRPr="00624150">
        <w:rPr>
          <w:rFonts w:ascii="黑体" w:eastAsia="黑体" w:hAnsiTheme="minorEastAsia"/>
          <w:kern w:val="0"/>
          <w:sz w:val="36"/>
          <w:szCs w:val="36"/>
        </w:rPr>
        <w:t>Technical specification for green-design product assessment - Integrated compressor</w:t>
      </w:r>
      <w:r w:rsidR="004D14B4" w:rsidRPr="00624150">
        <w:rPr>
          <w:rFonts w:ascii="黑体" w:eastAsia="黑体" w:hAnsiTheme="minorEastAsia" w:hint="eastAsia"/>
          <w:kern w:val="0"/>
          <w:sz w:val="36"/>
          <w:szCs w:val="36"/>
        </w:rPr>
        <w:t xml:space="preserve"> </w:t>
      </w:r>
    </w:p>
    <w:p w:rsidR="00997E9B" w:rsidRPr="00624150" w:rsidRDefault="00624150">
      <w:pPr>
        <w:spacing w:beforeLines="50" w:before="120" w:afterLines="50" w:after="120" w:line="360" w:lineRule="auto"/>
        <w:jc w:val="center"/>
        <w:rPr>
          <w:rFonts w:ascii="黑体" w:eastAsia="黑体" w:hAnsiTheme="minorEastAsia"/>
          <w:kern w:val="0"/>
          <w:sz w:val="24"/>
          <w:szCs w:val="24"/>
        </w:rPr>
      </w:pPr>
      <w:r w:rsidRPr="00624150">
        <w:rPr>
          <w:rFonts w:ascii="黑体" w:eastAsia="黑体" w:hAnsiTheme="minorEastAsia" w:hint="eastAsia"/>
          <w:kern w:val="0"/>
          <w:sz w:val="24"/>
          <w:szCs w:val="24"/>
        </w:rPr>
        <w:t>（草案）</w:t>
      </w: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624150" w:rsidRPr="00624150" w:rsidRDefault="00624150">
      <w:pPr>
        <w:rPr>
          <w:kern w:val="0"/>
        </w:rPr>
      </w:pPr>
    </w:p>
    <w:p w:rsidR="00624150" w:rsidRPr="00624150" w:rsidRDefault="00624150">
      <w:pPr>
        <w:rPr>
          <w:kern w:val="0"/>
        </w:rPr>
      </w:pPr>
    </w:p>
    <w:p w:rsidR="00624150" w:rsidRPr="00624150" w:rsidRDefault="00624150">
      <w:pPr>
        <w:rPr>
          <w:kern w:val="0"/>
        </w:rPr>
      </w:pPr>
    </w:p>
    <w:p w:rsidR="00624150" w:rsidRPr="00624150" w:rsidRDefault="00624150">
      <w:pPr>
        <w:rPr>
          <w:kern w:val="0"/>
        </w:rPr>
      </w:pPr>
    </w:p>
    <w:p w:rsidR="00624150" w:rsidRPr="00624150" w:rsidRDefault="00624150">
      <w:pPr>
        <w:rPr>
          <w:rFonts w:hint="eastAsia"/>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997E9B">
      <w:pPr>
        <w:rPr>
          <w:kern w:val="0"/>
        </w:rPr>
      </w:pPr>
    </w:p>
    <w:p w:rsidR="00997E9B" w:rsidRPr="00624150" w:rsidRDefault="004D14B4">
      <w:pPr>
        <w:rPr>
          <w:rFonts w:ascii="微软雅黑" w:eastAsia="微软雅黑" w:hAnsi="微软雅黑"/>
          <w:kern w:val="0"/>
          <w:sz w:val="28"/>
          <w:szCs w:val="28"/>
        </w:rPr>
      </w:pPr>
      <w:r w:rsidRPr="00624150">
        <w:rPr>
          <w:rFonts w:ascii="微软雅黑" w:eastAsia="微软雅黑" w:hAnsi="微软雅黑" w:hint="eastAsia"/>
          <w:kern w:val="0"/>
          <w:sz w:val="28"/>
          <w:szCs w:val="28"/>
        </w:rPr>
        <w:t>201</w:t>
      </w:r>
      <w:r w:rsidR="00F56E0A" w:rsidRPr="00624150">
        <w:rPr>
          <w:rFonts w:ascii="微软雅黑" w:eastAsia="微软雅黑" w:hAnsi="微软雅黑"/>
          <w:kern w:val="0"/>
          <w:sz w:val="28"/>
          <w:szCs w:val="28"/>
        </w:rPr>
        <w:t>9</w:t>
      </w:r>
      <w:r w:rsidRPr="00624150">
        <w:rPr>
          <w:rFonts w:ascii="微软雅黑" w:eastAsia="微软雅黑" w:hAnsi="微软雅黑" w:hint="eastAsia"/>
          <w:kern w:val="0"/>
          <w:sz w:val="28"/>
          <w:szCs w:val="28"/>
        </w:rPr>
        <w:t xml:space="preserve">-XX-XX </w:t>
      </w:r>
      <w:r w:rsidRPr="00624150">
        <w:rPr>
          <w:rFonts w:ascii="黑体" w:eastAsia="黑体" w:hAnsi="黑体" w:hint="eastAsia"/>
          <w:kern w:val="0"/>
          <w:sz w:val="28"/>
          <w:szCs w:val="28"/>
        </w:rPr>
        <w:t>发布</w:t>
      </w:r>
      <w:r w:rsidRPr="00624150">
        <w:rPr>
          <w:rFonts w:ascii="微软雅黑" w:eastAsia="微软雅黑" w:hAnsi="微软雅黑" w:hint="eastAsia"/>
          <w:kern w:val="0"/>
          <w:sz w:val="28"/>
          <w:szCs w:val="28"/>
        </w:rPr>
        <w:t xml:space="preserve">                             201</w:t>
      </w:r>
      <w:r w:rsidR="00F56E0A" w:rsidRPr="00624150">
        <w:rPr>
          <w:rFonts w:ascii="微软雅黑" w:eastAsia="微软雅黑" w:hAnsi="微软雅黑"/>
          <w:kern w:val="0"/>
          <w:sz w:val="28"/>
          <w:szCs w:val="28"/>
        </w:rPr>
        <w:t>9</w:t>
      </w:r>
      <w:r w:rsidRPr="00624150">
        <w:rPr>
          <w:rFonts w:ascii="微软雅黑" w:eastAsia="微软雅黑" w:hAnsi="微软雅黑" w:hint="eastAsia"/>
          <w:kern w:val="0"/>
          <w:sz w:val="28"/>
          <w:szCs w:val="28"/>
        </w:rPr>
        <w:t xml:space="preserve">-XX-XX </w:t>
      </w:r>
      <w:r w:rsidRPr="00624150">
        <w:rPr>
          <w:rFonts w:ascii="黑体" w:eastAsia="黑体" w:hAnsi="黑体" w:hint="eastAsia"/>
          <w:kern w:val="0"/>
          <w:sz w:val="28"/>
          <w:szCs w:val="28"/>
        </w:rPr>
        <w:t>实施</w:t>
      </w:r>
    </w:p>
    <w:p w:rsidR="00997E9B" w:rsidRPr="00624150" w:rsidRDefault="00292FD2">
      <w:pPr>
        <w:jc w:val="center"/>
        <w:rPr>
          <w:rFonts w:ascii="方正小标宋简体" w:eastAsia="方正小标宋简体"/>
          <w:kern w:val="0"/>
          <w:sz w:val="52"/>
          <w:szCs w:val="52"/>
        </w:rPr>
        <w:sectPr w:rsidR="00997E9B" w:rsidRPr="00624150">
          <w:headerReference w:type="default" r:id="rId9"/>
          <w:pgSz w:w="11907" w:h="16839"/>
          <w:pgMar w:top="1418" w:right="1134" w:bottom="1134" w:left="1418" w:header="993" w:footer="851" w:gutter="0"/>
          <w:pgNumType w:fmt="upperRoman"/>
          <w:cols w:space="425"/>
          <w:docGrid w:linePitch="312"/>
        </w:sectPr>
      </w:pPr>
      <w:r w:rsidRPr="00624150">
        <w:rPr>
          <w:rFonts w:ascii="方正小标宋简体" w:eastAsia="方正小标宋简体"/>
          <w:kern w:val="0"/>
          <w:sz w:val="52"/>
          <w:szCs w:val="52"/>
        </w:rPr>
        <w:pict>
          <v:shapetype id="_x0000_t32" coordsize="21600,21600" o:spt="32" o:oned="t" path="m,l21600,21600e" filled="f">
            <v:path arrowok="t" fillok="f" o:connecttype="none"/>
            <o:lock v:ext="edit" shapetype="t"/>
          </v:shapetype>
          <v:shape id="AutoShape 3" o:spid="_x0000_s1027" type="#_x0000_t32" style="position:absolute;left:0;text-align:left;margin-left:-4.7pt;margin-top:3.5pt;width:462.55pt;height:0;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wc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Z/zKfzGUb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" strokeweight="1.5pt"/>
        </w:pict>
      </w:r>
      <w:r w:rsidR="004D14B4" w:rsidRPr="00624150">
        <w:rPr>
          <w:rFonts w:ascii="方正小标宋简体" w:eastAsia="方正小标宋简体" w:hint="eastAsia"/>
          <w:kern w:val="0"/>
          <w:sz w:val="52"/>
          <w:szCs w:val="52"/>
        </w:rPr>
        <w:t>中 国 技 术 经 济 学 会 发 布</w:t>
      </w:r>
    </w:p>
    <w:p w:rsidR="00997E9B" w:rsidRPr="00624150" w:rsidRDefault="004D14B4">
      <w:pPr>
        <w:pStyle w:val="af6"/>
        <w:jc w:val="both"/>
        <w:rPr>
          <w:rFonts w:ascii="Arial" w:hAnsi="Arial" w:cs="Arial"/>
        </w:rPr>
      </w:pPr>
      <w:r w:rsidRPr="00624150">
        <w:rPr>
          <w:rFonts w:ascii="Arial" w:hAnsi="Arial" w:cs="Arial"/>
        </w:rPr>
        <w:lastRenderedPageBreak/>
        <w:t xml:space="preserve">                         </w:t>
      </w:r>
      <w:bookmarkStart w:id="0" w:name="_Toc15266114"/>
      <w:bookmarkStart w:id="1" w:name="_Toc5095596"/>
      <w:r w:rsidRPr="00624150">
        <w:rPr>
          <w:rFonts w:ascii="Arial" w:hAnsi="Arial" w:cs="Arial" w:hint="eastAsia"/>
        </w:rPr>
        <w:t>前</w:t>
      </w:r>
      <w:r w:rsidRPr="00624150">
        <w:rPr>
          <w:rFonts w:ascii="Arial" w:hAnsi="Arial" w:cs="Arial"/>
        </w:rPr>
        <w:t xml:space="preserve">    </w:t>
      </w:r>
      <w:r w:rsidRPr="00624150">
        <w:rPr>
          <w:rFonts w:ascii="Arial" w:hAnsi="Arial" w:cs="Arial" w:hint="eastAsia"/>
        </w:rPr>
        <w:t>言</w:t>
      </w:r>
      <w:bookmarkEnd w:id="0"/>
      <w:bookmarkEnd w:id="1"/>
    </w:p>
    <w:p w:rsidR="00997E9B" w:rsidRPr="00624150" w:rsidRDefault="004D14B4">
      <w:pPr>
        <w:spacing w:line="360" w:lineRule="auto"/>
        <w:ind w:firstLine="420"/>
        <w:rPr>
          <w:rFonts w:ascii="Arial" w:hAnsi="Arial" w:cs="Arial"/>
          <w:kern w:val="0"/>
        </w:rPr>
      </w:pPr>
      <w:r w:rsidRPr="00624150">
        <w:rPr>
          <w:rFonts w:ascii="Arial" w:hAnsi="Arial" w:cs="Arial" w:hint="eastAsia"/>
          <w:kern w:val="0"/>
        </w:rPr>
        <w:t>本</w:t>
      </w:r>
      <w:r w:rsidR="00624150" w:rsidRPr="00624150">
        <w:rPr>
          <w:rFonts w:ascii="Arial" w:hAnsi="Arial" w:cs="Arial" w:hint="eastAsia"/>
          <w:kern w:val="0"/>
        </w:rPr>
        <w:t>标准</w:t>
      </w:r>
      <w:r w:rsidRPr="00624150">
        <w:rPr>
          <w:rFonts w:ascii="Arial" w:hAnsi="Arial" w:cs="Arial" w:hint="eastAsia"/>
          <w:kern w:val="0"/>
        </w:rPr>
        <w:t>规定了。</w:t>
      </w:r>
      <w:r w:rsidRPr="00624150">
        <w:rPr>
          <w:rFonts w:ascii="Arial" w:hAnsi="Arial" w:cs="Arial" w:hint="eastAsia"/>
          <w:kern w:val="0"/>
        </w:rPr>
        <w:t xml:space="preserve">    </w:t>
      </w:r>
    </w:p>
    <w:p w:rsidR="00997E9B" w:rsidRPr="00624150" w:rsidRDefault="004D14B4">
      <w:pPr>
        <w:spacing w:line="360" w:lineRule="auto"/>
        <w:ind w:firstLine="420"/>
        <w:rPr>
          <w:rFonts w:ascii="Arial" w:hAnsi="Arial" w:cs="Arial"/>
          <w:kern w:val="0"/>
        </w:rPr>
      </w:pPr>
      <w:r w:rsidRPr="00624150">
        <w:rPr>
          <w:rFonts w:ascii="Arial" w:hAnsi="Arial" w:cs="Arial" w:hint="eastAsia"/>
          <w:kern w:val="0"/>
        </w:rPr>
        <w:t>本规范由</w:t>
      </w:r>
      <w:r w:rsidRPr="00624150">
        <w:rPr>
          <w:rFonts w:ascii="Arial" w:hAnsi="Arial" w:cs="Arial" w:hint="eastAsia"/>
          <w:kern w:val="0"/>
        </w:rPr>
        <w:t xml:space="preserve">     </w:t>
      </w:r>
      <w:r w:rsidRPr="00624150">
        <w:rPr>
          <w:rFonts w:ascii="Arial" w:hAnsi="Arial" w:cs="Arial" w:hint="eastAsia"/>
          <w:kern w:val="0"/>
        </w:rPr>
        <w:t>归口。</w:t>
      </w:r>
    </w:p>
    <w:p w:rsidR="00997E9B" w:rsidRPr="00624150" w:rsidRDefault="004D14B4">
      <w:pPr>
        <w:spacing w:line="360" w:lineRule="auto"/>
        <w:ind w:firstLine="420"/>
        <w:rPr>
          <w:rFonts w:ascii="Arial" w:hAnsi="Arial" w:cs="Arial"/>
          <w:kern w:val="0"/>
        </w:rPr>
      </w:pPr>
      <w:r w:rsidRPr="00624150">
        <w:rPr>
          <w:rFonts w:ascii="Arial" w:hAnsi="Arial" w:cs="Arial" w:hint="eastAsia"/>
          <w:kern w:val="0"/>
        </w:rPr>
        <w:t>主要起草单位：</w:t>
      </w:r>
      <w:r w:rsidR="00624150" w:rsidRPr="00624150">
        <w:rPr>
          <w:rFonts w:ascii="Arial" w:hAnsi="Arial" w:cs="Arial" w:hint="eastAsia"/>
          <w:kern w:val="0"/>
        </w:rPr>
        <w:t>中国标准化研究院等</w:t>
      </w:r>
      <w:r w:rsidRPr="00624150">
        <w:rPr>
          <w:rFonts w:ascii="Arial" w:hAnsi="Arial" w:cs="Arial" w:hint="eastAsia"/>
          <w:kern w:val="0"/>
        </w:rPr>
        <w:t>。</w:t>
      </w:r>
    </w:p>
    <w:p w:rsidR="00997E9B" w:rsidRPr="00624150" w:rsidRDefault="004D14B4">
      <w:pPr>
        <w:spacing w:line="360" w:lineRule="auto"/>
        <w:ind w:firstLine="420"/>
        <w:rPr>
          <w:rFonts w:ascii="Arial" w:hAnsi="Arial" w:cs="Arial"/>
          <w:kern w:val="0"/>
        </w:rPr>
      </w:pPr>
      <w:r w:rsidRPr="00624150">
        <w:rPr>
          <w:rFonts w:ascii="Arial" w:hAnsi="Arial" w:cs="Arial" w:hint="eastAsia"/>
          <w:kern w:val="0"/>
        </w:rPr>
        <w:t>主要起草人：。</w:t>
      </w:r>
    </w:p>
    <w:p w:rsidR="00997E9B" w:rsidRPr="00624150" w:rsidRDefault="004D14B4">
      <w:pPr>
        <w:spacing w:line="360" w:lineRule="auto"/>
        <w:ind w:firstLine="420"/>
        <w:rPr>
          <w:rFonts w:ascii="Arial" w:hAnsi="Arial" w:cs="Arial"/>
          <w:kern w:val="0"/>
        </w:rPr>
      </w:pPr>
      <w:r w:rsidRPr="00624150">
        <w:rPr>
          <w:rFonts w:ascii="Arial" w:hAnsi="Arial" w:cs="Arial" w:hint="eastAsia"/>
          <w:kern w:val="0"/>
        </w:rPr>
        <w:t>本规范为首次发布。</w:t>
      </w: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997E9B" w:rsidRPr="00624150" w:rsidRDefault="00997E9B">
      <w:pPr>
        <w:spacing w:line="360" w:lineRule="auto"/>
        <w:ind w:firstLine="420"/>
        <w:rPr>
          <w:rFonts w:ascii="Arial" w:hAnsi="Arial" w:cs="Arial"/>
          <w:kern w:val="0"/>
        </w:rPr>
      </w:pPr>
    </w:p>
    <w:p w:rsidR="00624150" w:rsidRPr="00624150" w:rsidRDefault="00624150">
      <w:pPr>
        <w:spacing w:line="360" w:lineRule="auto"/>
        <w:ind w:firstLine="420"/>
        <w:rPr>
          <w:rFonts w:ascii="Arial" w:hAnsi="Arial" w:cs="Arial" w:hint="eastAsia"/>
          <w:kern w:val="0"/>
        </w:rPr>
        <w:sectPr w:rsidR="00624150" w:rsidRPr="00624150">
          <w:headerReference w:type="default" r:id="rId10"/>
          <w:pgSz w:w="11907" w:h="16839"/>
          <w:pgMar w:top="1418" w:right="1134" w:bottom="1134" w:left="1418" w:header="993" w:footer="851" w:gutter="0"/>
          <w:pgNumType w:fmt="upperRoman"/>
          <w:cols w:space="425"/>
          <w:docGrid w:linePitch="312"/>
        </w:sectPr>
      </w:pPr>
    </w:p>
    <w:p w:rsidR="00624150" w:rsidRPr="00624150" w:rsidRDefault="00624150" w:rsidP="00624150">
      <w:pPr>
        <w:pStyle w:val="1"/>
        <w:jc w:val="center"/>
        <w:rPr>
          <w:rFonts w:ascii="黑体" w:eastAsia="黑体" w:hAnsi="黑体"/>
          <w:sz w:val="32"/>
        </w:rPr>
      </w:pPr>
      <w:bookmarkStart w:id="2" w:name="_Toc4507551"/>
      <w:bookmarkStart w:id="3" w:name="_Toc5095597"/>
      <w:r w:rsidRPr="00624150">
        <w:rPr>
          <w:rFonts w:ascii="黑体" w:eastAsia="黑体" w:hAnsi="黑体" w:hint="eastAsia"/>
          <w:sz w:val="32"/>
        </w:rPr>
        <w:lastRenderedPageBreak/>
        <w:t xml:space="preserve">目 </w:t>
      </w:r>
      <w:r w:rsidRPr="00624150">
        <w:rPr>
          <w:rFonts w:ascii="黑体" w:eastAsia="黑体" w:hAnsi="黑体"/>
          <w:sz w:val="32"/>
        </w:rPr>
        <w:t xml:space="preserve"> </w:t>
      </w:r>
      <w:r w:rsidRPr="00624150">
        <w:rPr>
          <w:rFonts w:ascii="黑体" w:eastAsia="黑体" w:hAnsi="黑体" w:hint="eastAsia"/>
          <w:sz w:val="32"/>
        </w:rPr>
        <w:t>次</w:t>
      </w:r>
      <w:bookmarkEnd w:id="2"/>
      <w:bookmarkEnd w:id="3"/>
    </w:p>
    <w:p w:rsidR="00624150" w:rsidRPr="00624150" w:rsidRDefault="00624150" w:rsidP="00624150">
      <w:pPr>
        <w:spacing w:line="360" w:lineRule="auto"/>
        <w:ind w:firstLine="420"/>
        <w:rPr>
          <w:rFonts w:ascii="Times New Roman" w:eastAsia="宋体" w:hAnsi="Times New Roman" w:cs="Times New Roman"/>
          <w:kern w:val="0"/>
        </w:rPr>
      </w:pPr>
    </w:p>
    <w:sdt>
      <w:sdtPr>
        <w:rPr>
          <w:lang w:val="zh-CN"/>
        </w:rPr>
        <w:id w:val="-1402982108"/>
        <w:docPartObj>
          <w:docPartGallery w:val="Table of Contents"/>
          <w:docPartUnique/>
        </w:docPartObj>
      </w:sdtPr>
      <w:sdtEndPr>
        <w:rPr>
          <w:rFonts w:ascii="Times New Roman" w:eastAsia="宋体" w:hAnsi="Times New Roman" w:cs="Times New Roman"/>
          <w:b/>
          <w:bCs/>
        </w:rPr>
      </w:sdtEndPr>
      <w:sdtContent>
        <w:p w:rsidR="00624150" w:rsidRDefault="00624150" w:rsidP="00624150">
          <w:pPr>
            <w:rPr>
              <w:noProof/>
            </w:rPr>
          </w:pPr>
          <w:r w:rsidRPr="00624150">
            <w:rPr>
              <w:lang w:val="zh-CN"/>
            </w:rPr>
            <w:fldChar w:fldCharType="begin"/>
          </w:r>
          <w:r w:rsidRPr="00624150">
            <w:rPr>
              <w:lang w:val="zh-CN"/>
            </w:rPr>
            <w:instrText xml:space="preserve"> TOC \o "1-3" \h \z \u </w:instrText>
          </w:r>
          <w:r w:rsidRPr="00624150">
            <w:rPr>
              <w:lang w:val="zh-CN"/>
            </w:rPr>
            <w:fldChar w:fldCharType="separate"/>
          </w:r>
        </w:p>
        <w:p w:rsidR="00624150" w:rsidRDefault="00624150">
          <w:pPr>
            <w:pStyle w:val="11"/>
            <w:spacing w:before="62" w:after="78"/>
            <w:rPr>
              <w:rFonts w:asciiTheme="minorHAnsi"/>
              <w:noProof/>
              <w:szCs w:val="22"/>
            </w:rPr>
          </w:pPr>
          <w:hyperlink w:anchor="_Toc5095599" w:history="1">
            <w:r w:rsidRPr="007A6CBF">
              <w:rPr>
                <w:rStyle w:val="af1"/>
                <w:rFonts w:hAnsi="黑体" w:cs="Arial"/>
                <w:noProof/>
              </w:rPr>
              <w:t>1 范围</w:t>
            </w:r>
            <w:r>
              <w:rPr>
                <w:noProof/>
                <w:webHidden/>
              </w:rPr>
              <w:tab/>
            </w:r>
            <w:r>
              <w:rPr>
                <w:noProof/>
                <w:webHidden/>
              </w:rPr>
              <w:fldChar w:fldCharType="begin"/>
            </w:r>
            <w:r>
              <w:rPr>
                <w:noProof/>
                <w:webHidden/>
              </w:rPr>
              <w:instrText xml:space="preserve"> PAGEREF _Toc5095599 \h </w:instrText>
            </w:r>
            <w:r>
              <w:rPr>
                <w:noProof/>
                <w:webHidden/>
              </w:rPr>
            </w:r>
            <w:r>
              <w:rPr>
                <w:noProof/>
                <w:webHidden/>
              </w:rPr>
              <w:fldChar w:fldCharType="separate"/>
            </w:r>
            <w:r>
              <w:rPr>
                <w:noProof/>
                <w:webHidden/>
              </w:rPr>
              <w:t>4</w:t>
            </w:r>
            <w:r>
              <w:rPr>
                <w:noProof/>
                <w:webHidden/>
              </w:rPr>
              <w:fldChar w:fldCharType="end"/>
            </w:r>
          </w:hyperlink>
        </w:p>
        <w:p w:rsidR="00624150" w:rsidRDefault="00624150">
          <w:pPr>
            <w:pStyle w:val="11"/>
            <w:spacing w:before="62" w:after="78"/>
            <w:rPr>
              <w:rFonts w:asciiTheme="minorHAnsi"/>
              <w:noProof/>
              <w:szCs w:val="22"/>
            </w:rPr>
          </w:pPr>
          <w:hyperlink w:anchor="_Toc5095600" w:history="1">
            <w:r w:rsidRPr="007A6CBF">
              <w:rPr>
                <w:rStyle w:val="af1"/>
                <w:rFonts w:hAnsi="黑体" w:cs="Arial"/>
                <w:noProof/>
              </w:rPr>
              <w:t>2 规范性引用文件</w:t>
            </w:r>
            <w:r>
              <w:rPr>
                <w:noProof/>
                <w:webHidden/>
              </w:rPr>
              <w:tab/>
            </w:r>
            <w:r>
              <w:rPr>
                <w:noProof/>
                <w:webHidden/>
              </w:rPr>
              <w:fldChar w:fldCharType="begin"/>
            </w:r>
            <w:r>
              <w:rPr>
                <w:noProof/>
                <w:webHidden/>
              </w:rPr>
              <w:instrText xml:space="preserve"> PAGEREF _Toc5095600 \h </w:instrText>
            </w:r>
            <w:r>
              <w:rPr>
                <w:noProof/>
                <w:webHidden/>
              </w:rPr>
            </w:r>
            <w:r>
              <w:rPr>
                <w:noProof/>
                <w:webHidden/>
              </w:rPr>
              <w:fldChar w:fldCharType="separate"/>
            </w:r>
            <w:r>
              <w:rPr>
                <w:noProof/>
                <w:webHidden/>
              </w:rPr>
              <w:t>4</w:t>
            </w:r>
            <w:r>
              <w:rPr>
                <w:noProof/>
                <w:webHidden/>
              </w:rPr>
              <w:fldChar w:fldCharType="end"/>
            </w:r>
          </w:hyperlink>
        </w:p>
        <w:p w:rsidR="00624150" w:rsidRDefault="00624150">
          <w:pPr>
            <w:pStyle w:val="11"/>
            <w:spacing w:before="62" w:after="78"/>
            <w:rPr>
              <w:rFonts w:asciiTheme="minorHAnsi"/>
              <w:noProof/>
              <w:szCs w:val="22"/>
            </w:rPr>
          </w:pPr>
          <w:hyperlink w:anchor="_Toc5095601" w:history="1">
            <w:r w:rsidRPr="007A6CBF">
              <w:rPr>
                <w:rStyle w:val="af1"/>
                <w:rFonts w:hAnsi="黑体" w:cs="Arial"/>
                <w:noProof/>
              </w:rPr>
              <w:t>3 术语和定义</w:t>
            </w:r>
            <w:r>
              <w:rPr>
                <w:noProof/>
                <w:webHidden/>
              </w:rPr>
              <w:tab/>
            </w:r>
            <w:r>
              <w:rPr>
                <w:noProof/>
                <w:webHidden/>
              </w:rPr>
              <w:fldChar w:fldCharType="begin"/>
            </w:r>
            <w:r>
              <w:rPr>
                <w:noProof/>
                <w:webHidden/>
              </w:rPr>
              <w:instrText xml:space="preserve"> PAGEREF _Toc5095601 \h </w:instrText>
            </w:r>
            <w:r>
              <w:rPr>
                <w:noProof/>
                <w:webHidden/>
              </w:rPr>
            </w:r>
            <w:r>
              <w:rPr>
                <w:noProof/>
                <w:webHidden/>
              </w:rPr>
              <w:fldChar w:fldCharType="separate"/>
            </w:r>
            <w:r>
              <w:rPr>
                <w:noProof/>
                <w:webHidden/>
              </w:rPr>
              <w:t>4</w:t>
            </w:r>
            <w:r>
              <w:rPr>
                <w:noProof/>
                <w:webHidden/>
              </w:rPr>
              <w:fldChar w:fldCharType="end"/>
            </w:r>
          </w:hyperlink>
        </w:p>
        <w:p w:rsidR="00624150" w:rsidRDefault="00624150">
          <w:pPr>
            <w:pStyle w:val="11"/>
            <w:spacing w:before="62" w:after="78"/>
            <w:rPr>
              <w:rFonts w:asciiTheme="minorHAnsi"/>
              <w:noProof/>
              <w:szCs w:val="22"/>
            </w:rPr>
          </w:pPr>
          <w:hyperlink w:anchor="_Toc5095602" w:history="1">
            <w:r w:rsidRPr="007A6CBF">
              <w:rPr>
                <w:rStyle w:val="af1"/>
                <w:rFonts w:hAnsi="黑体" w:cs="Arial"/>
                <w:noProof/>
              </w:rPr>
              <w:t>4 评价要求</w:t>
            </w:r>
            <w:r>
              <w:rPr>
                <w:noProof/>
                <w:webHidden/>
              </w:rPr>
              <w:tab/>
            </w:r>
            <w:r>
              <w:rPr>
                <w:noProof/>
                <w:webHidden/>
              </w:rPr>
              <w:fldChar w:fldCharType="begin"/>
            </w:r>
            <w:r>
              <w:rPr>
                <w:noProof/>
                <w:webHidden/>
              </w:rPr>
              <w:instrText xml:space="preserve"> PAGEREF _Toc5095602 \h </w:instrText>
            </w:r>
            <w:r>
              <w:rPr>
                <w:noProof/>
                <w:webHidden/>
              </w:rPr>
            </w:r>
            <w:r>
              <w:rPr>
                <w:noProof/>
                <w:webHidden/>
              </w:rPr>
              <w:fldChar w:fldCharType="separate"/>
            </w:r>
            <w:r>
              <w:rPr>
                <w:noProof/>
                <w:webHidden/>
              </w:rPr>
              <w:t>4</w:t>
            </w:r>
            <w:r>
              <w:rPr>
                <w:noProof/>
                <w:webHidden/>
              </w:rPr>
              <w:fldChar w:fldCharType="end"/>
            </w:r>
          </w:hyperlink>
        </w:p>
        <w:p w:rsidR="00624150" w:rsidRDefault="00624150">
          <w:pPr>
            <w:pStyle w:val="11"/>
            <w:spacing w:before="62" w:after="78"/>
            <w:rPr>
              <w:rFonts w:asciiTheme="minorHAnsi"/>
              <w:noProof/>
              <w:szCs w:val="22"/>
            </w:rPr>
          </w:pPr>
          <w:hyperlink w:anchor="_Toc5095603" w:history="1">
            <w:r w:rsidRPr="007A6CBF">
              <w:rPr>
                <w:rStyle w:val="af1"/>
                <w:rFonts w:hAnsi="黑体" w:cs="Arial"/>
                <w:noProof/>
              </w:rPr>
              <w:t>5 生命周期评价报告编制方法</w:t>
            </w:r>
            <w:r>
              <w:rPr>
                <w:noProof/>
                <w:webHidden/>
              </w:rPr>
              <w:tab/>
            </w:r>
            <w:r>
              <w:rPr>
                <w:noProof/>
                <w:webHidden/>
              </w:rPr>
              <w:fldChar w:fldCharType="begin"/>
            </w:r>
            <w:r>
              <w:rPr>
                <w:noProof/>
                <w:webHidden/>
              </w:rPr>
              <w:instrText xml:space="preserve"> PAGEREF _Toc5095603 \h </w:instrText>
            </w:r>
            <w:r>
              <w:rPr>
                <w:noProof/>
                <w:webHidden/>
              </w:rPr>
            </w:r>
            <w:r>
              <w:rPr>
                <w:noProof/>
                <w:webHidden/>
              </w:rPr>
              <w:fldChar w:fldCharType="separate"/>
            </w:r>
            <w:r>
              <w:rPr>
                <w:noProof/>
                <w:webHidden/>
              </w:rPr>
              <w:t>7</w:t>
            </w:r>
            <w:r>
              <w:rPr>
                <w:noProof/>
                <w:webHidden/>
              </w:rPr>
              <w:fldChar w:fldCharType="end"/>
            </w:r>
          </w:hyperlink>
        </w:p>
        <w:p w:rsidR="00624150" w:rsidRDefault="00624150">
          <w:pPr>
            <w:pStyle w:val="11"/>
            <w:spacing w:before="62" w:after="78"/>
            <w:rPr>
              <w:rFonts w:asciiTheme="minorHAnsi"/>
              <w:noProof/>
              <w:szCs w:val="22"/>
            </w:rPr>
          </w:pPr>
          <w:hyperlink w:anchor="_Toc5095604" w:history="1">
            <w:r w:rsidRPr="007A6CBF">
              <w:rPr>
                <w:rStyle w:val="af1"/>
                <w:rFonts w:hAnsi="黑体" w:cs="Arial"/>
                <w:noProof/>
              </w:rPr>
              <w:t>6 评价方法</w:t>
            </w:r>
            <w:r>
              <w:rPr>
                <w:noProof/>
                <w:webHidden/>
              </w:rPr>
              <w:tab/>
            </w:r>
            <w:r>
              <w:rPr>
                <w:noProof/>
                <w:webHidden/>
              </w:rPr>
              <w:fldChar w:fldCharType="begin"/>
            </w:r>
            <w:r>
              <w:rPr>
                <w:noProof/>
                <w:webHidden/>
              </w:rPr>
              <w:instrText xml:space="preserve"> PAGEREF _Toc5095604 \h </w:instrText>
            </w:r>
            <w:r>
              <w:rPr>
                <w:noProof/>
                <w:webHidden/>
              </w:rPr>
            </w:r>
            <w:r>
              <w:rPr>
                <w:noProof/>
                <w:webHidden/>
              </w:rPr>
              <w:fldChar w:fldCharType="separate"/>
            </w:r>
            <w:r>
              <w:rPr>
                <w:noProof/>
                <w:webHidden/>
              </w:rPr>
              <w:t>8</w:t>
            </w:r>
            <w:r>
              <w:rPr>
                <w:noProof/>
                <w:webHidden/>
              </w:rPr>
              <w:fldChar w:fldCharType="end"/>
            </w:r>
          </w:hyperlink>
        </w:p>
        <w:p w:rsidR="00624150" w:rsidRPr="00624150" w:rsidRDefault="00624150" w:rsidP="00624150">
          <w:pPr>
            <w:spacing w:line="276" w:lineRule="auto"/>
            <w:rPr>
              <w:rFonts w:ascii="Times New Roman" w:eastAsia="宋体" w:hAnsi="Times New Roman" w:cs="Times New Roman"/>
            </w:rPr>
          </w:pPr>
          <w:r w:rsidRPr="00624150">
            <w:rPr>
              <w:rFonts w:ascii="Times New Roman" w:eastAsia="宋体" w:hAnsi="Times New Roman" w:cs="Times New Roman"/>
              <w:b/>
              <w:bCs/>
              <w:lang w:val="zh-CN"/>
            </w:rPr>
            <w:fldChar w:fldCharType="end"/>
          </w:r>
        </w:p>
      </w:sdtContent>
    </w:sdt>
    <w:p w:rsidR="00624150" w:rsidRPr="00624150" w:rsidRDefault="00624150" w:rsidP="00624150">
      <w:pPr>
        <w:spacing w:line="360" w:lineRule="auto"/>
        <w:ind w:firstLine="420"/>
        <w:rPr>
          <w:rFonts w:ascii="Times New Roman" w:eastAsia="宋体" w:hAnsi="Times New Roman" w:cs="Times New Roman"/>
          <w:kern w:val="0"/>
        </w:rPr>
        <w:sectPr w:rsidR="00624150" w:rsidRPr="00624150">
          <w:pgSz w:w="11907" w:h="16839"/>
          <w:pgMar w:top="1418" w:right="1134" w:bottom="1134" w:left="1418" w:header="993" w:footer="851" w:gutter="0"/>
          <w:pgNumType w:fmt="upperRoman"/>
          <w:cols w:space="425"/>
          <w:docGrid w:type="lines" w:linePitch="312"/>
        </w:sectPr>
      </w:pPr>
      <w:bookmarkStart w:id="4" w:name="_GoBack"/>
      <w:bookmarkEnd w:id="4"/>
    </w:p>
    <w:p w:rsidR="00624150" w:rsidRPr="00624150" w:rsidRDefault="00624150" w:rsidP="00624150">
      <w:pPr>
        <w:pStyle w:val="af4"/>
        <w:rPr>
          <w:rFonts w:ascii="Arial" w:hAnsi="Arial" w:cs="Arial"/>
        </w:rPr>
      </w:pPr>
      <w:bookmarkStart w:id="5" w:name="_Toc528080537"/>
      <w:bookmarkStart w:id="6" w:name="_Toc4507552"/>
      <w:bookmarkStart w:id="7" w:name="_Toc5095598"/>
      <w:r w:rsidRPr="00624150">
        <w:rPr>
          <w:rFonts w:ascii="Arial" w:hAnsi="Arial" w:cs="Arial" w:hint="eastAsia"/>
        </w:rPr>
        <w:lastRenderedPageBreak/>
        <w:t>绿色设计产品评价技术规范</w:t>
      </w:r>
      <w:r w:rsidRPr="00624150">
        <w:rPr>
          <w:rFonts w:ascii="Arial" w:hAnsi="Arial" w:cs="Arial"/>
        </w:rPr>
        <w:t xml:space="preserve"> </w:t>
      </w:r>
      <w:r w:rsidRPr="00624150">
        <w:rPr>
          <w:rFonts w:ascii="Arial" w:hAnsi="Arial" w:cs="Arial"/>
        </w:rPr>
        <w:t>一体化压缩机</w:t>
      </w:r>
      <w:bookmarkEnd w:id="5"/>
      <w:bookmarkEnd w:id="6"/>
      <w:bookmarkEnd w:id="7"/>
    </w:p>
    <w:p w:rsidR="00624150" w:rsidRPr="00624150" w:rsidRDefault="00624150" w:rsidP="00624150">
      <w:pPr>
        <w:pStyle w:val="a"/>
        <w:numPr>
          <w:ilvl w:val="0"/>
          <w:numId w:val="0"/>
        </w:numPr>
        <w:spacing w:beforeLines="0" w:afterLines="0"/>
        <w:outlineLvl w:val="0"/>
        <w:rPr>
          <w:rFonts w:hAnsi="黑体" w:cs="Arial"/>
        </w:rPr>
      </w:pPr>
      <w:bookmarkStart w:id="8" w:name="_Toc528080538"/>
      <w:bookmarkStart w:id="9" w:name="_Toc5095599"/>
      <w:r w:rsidRPr="00624150">
        <w:rPr>
          <w:rFonts w:hAnsi="黑体" w:cs="Arial"/>
        </w:rPr>
        <w:t xml:space="preserve">1 </w:t>
      </w:r>
      <w:r w:rsidRPr="00624150">
        <w:rPr>
          <w:rFonts w:hAnsi="黑体" w:cs="Arial" w:hint="eastAsia"/>
        </w:rPr>
        <w:t>范围</w:t>
      </w:r>
      <w:bookmarkEnd w:id="8"/>
      <w:bookmarkEnd w:id="9"/>
    </w:p>
    <w:p w:rsidR="00624150" w:rsidRPr="00624150" w:rsidRDefault="00624150" w:rsidP="00624150">
      <w:pPr>
        <w:pStyle w:val="af5"/>
        <w:rPr>
          <w:rFonts w:ascii="Arial" w:hAnsi="Arial" w:cs="Arial"/>
          <w:szCs w:val="21"/>
        </w:rPr>
      </w:pPr>
      <w:r w:rsidRPr="00624150">
        <w:rPr>
          <w:rFonts w:ascii="Arial" w:hAnsi="Arial" w:cs="Arial" w:hint="eastAsia"/>
          <w:szCs w:val="21"/>
        </w:rPr>
        <w:t>本标准规定了一体化离心式电驱动天然气压缩机的绿色设计产品的评价要求、生命周期评价报告编制方法和评价方法。</w:t>
      </w:r>
    </w:p>
    <w:p w:rsidR="00624150" w:rsidRPr="00624150" w:rsidRDefault="00624150" w:rsidP="00624150">
      <w:pPr>
        <w:pStyle w:val="af5"/>
        <w:rPr>
          <w:rFonts w:ascii="Arial" w:hAnsi="Arial" w:cs="Arial"/>
          <w:szCs w:val="21"/>
        </w:rPr>
      </w:pPr>
      <w:r w:rsidRPr="00624150">
        <w:rPr>
          <w:rFonts w:ascii="Arial" w:hAnsi="Arial" w:cs="Arial" w:hint="eastAsia"/>
          <w:szCs w:val="21"/>
        </w:rPr>
        <w:t>本标准适用于天然气管道增压用离心式电驱动压缩机绿色设计产品评价。</w:t>
      </w:r>
    </w:p>
    <w:p w:rsidR="00624150" w:rsidRPr="00624150" w:rsidRDefault="00624150" w:rsidP="00624150">
      <w:pPr>
        <w:pStyle w:val="af5"/>
        <w:ind w:firstLineChars="0" w:firstLine="0"/>
      </w:pPr>
    </w:p>
    <w:p w:rsidR="00624150" w:rsidRPr="00624150" w:rsidRDefault="00624150" w:rsidP="00624150">
      <w:pPr>
        <w:pStyle w:val="a"/>
        <w:numPr>
          <w:ilvl w:val="0"/>
          <w:numId w:val="0"/>
        </w:numPr>
        <w:spacing w:beforeLines="0" w:afterLines="0"/>
        <w:outlineLvl w:val="0"/>
        <w:rPr>
          <w:rFonts w:hAnsi="黑体" w:cs="Arial"/>
        </w:rPr>
      </w:pPr>
      <w:bookmarkStart w:id="10" w:name="_Toc528080539"/>
      <w:bookmarkStart w:id="11" w:name="_Toc5095600"/>
      <w:r w:rsidRPr="00624150">
        <w:rPr>
          <w:rFonts w:hAnsi="黑体" w:cs="Arial"/>
        </w:rPr>
        <w:t xml:space="preserve">2 </w:t>
      </w:r>
      <w:r w:rsidRPr="00624150">
        <w:rPr>
          <w:rFonts w:hAnsi="黑体" w:cs="Arial" w:hint="eastAsia"/>
        </w:rPr>
        <w:t>规范性引用文件</w:t>
      </w:r>
      <w:bookmarkEnd w:id="10"/>
      <w:bookmarkEnd w:id="11"/>
    </w:p>
    <w:p w:rsidR="00624150" w:rsidRPr="00624150" w:rsidRDefault="00624150" w:rsidP="00624150">
      <w:pPr>
        <w:pStyle w:val="af5"/>
        <w:rPr>
          <w:rFonts w:ascii="Arial" w:hAnsi="Arial" w:cs="Arial"/>
          <w:szCs w:val="21"/>
        </w:rPr>
      </w:pPr>
      <w:r w:rsidRPr="00624150">
        <w:rPr>
          <w:rFonts w:ascii="Arial" w:hAnsi="Arial" w:cs="Arial" w:hint="eastAsia"/>
          <w:szCs w:val="21"/>
        </w:rPr>
        <w:t>下列文件对于本文件的应用是必不可少的。凡是注日期的引用文件，仅注日期的版本适用于本文件。凡是不注日期的引用文件，其最新版本（包括所有的修改单）适用于本文件。</w:t>
      </w:r>
    </w:p>
    <w:p w:rsidR="00624150" w:rsidRPr="00624150" w:rsidRDefault="00624150" w:rsidP="00624150">
      <w:pPr>
        <w:pStyle w:val="af5"/>
        <w:rPr>
          <w:rFonts w:ascii="Times New Roman"/>
          <w:szCs w:val="21"/>
        </w:rPr>
      </w:pPr>
      <w:r w:rsidRPr="00624150">
        <w:rPr>
          <w:rFonts w:ascii="Times New Roman"/>
          <w:szCs w:val="21"/>
        </w:rPr>
        <w:t xml:space="preserve">GB/T 19001 </w:t>
      </w:r>
      <w:r w:rsidRPr="00624150">
        <w:rPr>
          <w:rFonts w:ascii="Times New Roman"/>
          <w:szCs w:val="21"/>
        </w:rPr>
        <w:t>质量管理体系要求</w:t>
      </w:r>
    </w:p>
    <w:p w:rsidR="00624150" w:rsidRPr="00624150" w:rsidRDefault="00624150" w:rsidP="00624150">
      <w:pPr>
        <w:pStyle w:val="af5"/>
        <w:rPr>
          <w:rFonts w:ascii="Times New Roman"/>
          <w:szCs w:val="21"/>
        </w:rPr>
      </w:pPr>
      <w:r w:rsidRPr="00624150">
        <w:rPr>
          <w:rFonts w:ascii="Times New Roman"/>
          <w:szCs w:val="21"/>
        </w:rPr>
        <w:t xml:space="preserve">GB/T 24001 </w:t>
      </w:r>
      <w:r w:rsidRPr="00624150">
        <w:rPr>
          <w:rFonts w:ascii="Times New Roman"/>
          <w:szCs w:val="21"/>
        </w:rPr>
        <w:t>环境管理体系</w:t>
      </w:r>
      <w:r w:rsidRPr="00624150">
        <w:rPr>
          <w:rFonts w:ascii="Times New Roman"/>
          <w:szCs w:val="21"/>
        </w:rPr>
        <w:t xml:space="preserve"> </w:t>
      </w:r>
      <w:r w:rsidRPr="00624150">
        <w:rPr>
          <w:rFonts w:ascii="Times New Roman"/>
          <w:szCs w:val="21"/>
        </w:rPr>
        <w:t>要求及使用指南</w:t>
      </w:r>
    </w:p>
    <w:p w:rsidR="00624150" w:rsidRPr="00624150" w:rsidRDefault="00624150" w:rsidP="00624150">
      <w:pPr>
        <w:pStyle w:val="af5"/>
        <w:rPr>
          <w:rFonts w:ascii="Times New Roman"/>
          <w:szCs w:val="21"/>
        </w:rPr>
      </w:pPr>
      <w:r w:rsidRPr="00624150">
        <w:rPr>
          <w:rFonts w:ascii="Times New Roman"/>
          <w:szCs w:val="21"/>
        </w:rPr>
        <w:t xml:space="preserve">GB/T 24256 </w:t>
      </w:r>
      <w:r w:rsidRPr="00624150">
        <w:rPr>
          <w:rFonts w:ascii="Times New Roman"/>
          <w:szCs w:val="21"/>
        </w:rPr>
        <w:t>产品生态设计通则</w:t>
      </w:r>
    </w:p>
    <w:p w:rsidR="00624150" w:rsidRPr="00624150" w:rsidRDefault="00624150" w:rsidP="00624150">
      <w:pPr>
        <w:pStyle w:val="af5"/>
        <w:rPr>
          <w:rFonts w:ascii="Times New Roman"/>
          <w:szCs w:val="21"/>
        </w:rPr>
      </w:pPr>
      <w:r w:rsidRPr="00624150">
        <w:rPr>
          <w:rFonts w:ascii="Times New Roman"/>
          <w:szCs w:val="21"/>
        </w:rPr>
        <w:t xml:space="preserve">GB/T 24040 </w:t>
      </w:r>
      <w:r w:rsidRPr="00624150">
        <w:rPr>
          <w:rFonts w:ascii="Times New Roman"/>
          <w:szCs w:val="21"/>
        </w:rPr>
        <w:t>环境管理</w:t>
      </w:r>
      <w:r w:rsidRPr="00624150">
        <w:rPr>
          <w:rFonts w:ascii="Times New Roman"/>
          <w:szCs w:val="21"/>
        </w:rPr>
        <w:t xml:space="preserve"> </w:t>
      </w:r>
      <w:r w:rsidRPr="00624150">
        <w:rPr>
          <w:rFonts w:ascii="Times New Roman"/>
          <w:szCs w:val="21"/>
        </w:rPr>
        <w:t>生命周期评价</w:t>
      </w:r>
      <w:r w:rsidRPr="00624150">
        <w:rPr>
          <w:rFonts w:ascii="Times New Roman"/>
          <w:szCs w:val="21"/>
        </w:rPr>
        <w:t xml:space="preserve"> </w:t>
      </w:r>
      <w:r w:rsidRPr="00624150">
        <w:rPr>
          <w:rFonts w:ascii="Times New Roman"/>
          <w:szCs w:val="21"/>
        </w:rPr>
        <w:t>原则与框架</w:t>
      </w:r>
    </w:p>
    <w:p w:rsidR="00624150" w:rsidRPr="00624150" w:rsidRDefault="00624150" w:rsidP="00624150">
      <w:pPr>
        <w:pStyle w:val="af5"/>
        <w:rPr>
          <w:rFonts w:ascii="Times New Roman"/>
          <w:szCs w:val="21"/>
        </w:rPr>
      </w:pPr>
      <w:r w:rsidRPr="00624150">
        <w:rPr>
          <w:rFonts w:ascii="Times New Roman"/>
          <w:szCs w:val="21"/>
        </w:rPr>
        <w:t xml:space="preserve">GB/T 24044 </w:t>
      </w:r>
      <w:r w:rsidRPr="00624150">
        <w:rPr>
          <w:rFonts w:ascii="Times New Roman"/>
          <w:szCs w:val="21"/>
        </w:rPr>
        <w:t>环境管理</w:t>
      </w:r>
      <w:r w:rsidRPr="00624150">
        <w:rPr>
          <w:rFonts w:ascii="Times New Roman"/>
          <w:szCs w:val="21"/>
        </w:rPr>
        <w:t xml:space="preserve"> </w:t>
      </w:r>
      <w:r w:rsidRPr="00624150">
        <w:rPr>
          <w:rFonts w:ascii="Times New Roman"/>
          <w:szCs w:val="21"/>
        </w:rPr>
        <w:t>生命周期评价</w:t>
      </w:r>
      <w:r w:rsidRPr="00624150">
        <w:rPr>
          <w:rFonts w:ascii="Times New Roman"/>
          <w:szCs w:val="21"/>
        </w:rPr>
        <w:t xml:space="preserve"> </w:t>
      </w:r>
      <w:r w:rsidRPr="00624150">
        <w:rPr>
          <w:rFonts w:ascii="Times New Roman"/>
          <w:szCs w:val="21"/>
        </w:rPr>
        <w:t>要求与指南</w:t>
      </w:r>
    </w:p>
    <w:p w:rsidR="00624150" w:rsidRPr="00624150" w:rsidRDefault="00624150" w:rsidP="00624150">
      <w:pPr>
        <w:pStyle w:val="af5"/>
        <w:rPr>
          <w:rFonts w:ascii="Times New Roman"/>
          <w:szCs w:val="21"/>
        </w:rPr>
      </w:pPr>
    </w:p>
    <w:p w:rsidR="00624150" w:rsidRPr="00624150" w:rsidRDefault="00624150" w:rsidP="00624150"/>
    <w:p w:rsidR="00624150" w:rsidRPr="00624150" w:rsidRDefault="00624150" w:rsidP="00624150">
      <w:pPr>
        <w:pStyle w:val="a"/>
        <w:numPr>
          <w:ilvl w:val="0"/>
          <w:numId w:val="0"/>
        </w:numPr>
        <w:spacing w:beforeLines="0" w:afterLines="0"/>
        <w:outlineLvl w:val="0"/>
        <w:rPr>
          <w:rFonts w:hAnsi="黑体" w:cs="Arial"/>
        </w:rPr>
      </w:pPr>
      <w:bookmarkStart w:id="12" w:name="_Toc528080540"/>
      <w:bookmarkStart w:id="13" w:name="_Toc5095601"/>
      <w:r w:rsidRPr="00624150">
        <w:rPr>
          <w:rFonts w:hAnsi="黑体" w:cs="Arial"/>
        </w:rPr>
        <w:t xml:space="preserve">3 </w:t>
      </w:r>
      <w:r w:rsidRPr="00624150">
        <w:rPr>
          <w:rFonts w:hAnsi="黑体" w:cs="Arial" w:hint="eastAsia"/>
        </w:rPr>
        <w:t>术语和定义</w:t>
      </w:r>
      <w:bookmarkEnd w:id="12"/>
      <w:bookmarkEnd w:id="13"/>
    </w:p>
    <w:p w:rsidR="00624150" w:rsidRPr="00624150" w:rsidRDefault="00624150" w:rsidP="00624150">
      <w:pPr>
        <w:pStyle w:val="af5"/>
      </w:pPr>
      <w:r w:rsidRPr="00624150">
        <w:rPr>
          <w:rFonts w:hint="eastAsia"/>
        </w:rPr>
        <w:t>下列术语和定义适用于本文件。</w:t>
      </w:r>
    </w:p>
    <w:p w:rsidR="00624150" w:rsidRPr="00624150" w:rsidRDefault="00624150" w:rsidP="00624150">
      <w:pPr>
        <w:pStyle w:val="af5"/>
        <w:ind w:firstLineChars="0" w:firstLine="0"/>
        <w:rPr>
          <w:rFonts w:ascii="Arial" w:eastAsia="黑体" w:hAnsi="Arial" w:cs="Arial"/>
        </w:rPr>
      </w:pPr>
      <w:r w:rsidRPr="00624150">
        <w:rPr>
          <w:rFonts w:ascii="Arial" w:eastAsia="黑体" w:hAnsi="Arial" w:cs="Arial"/>
        </w:rPr>
        <w:t xml:space="preserve">3.1 </w:t>
      </w:r>
    </w:p>
    <w:p w:rsidR="00624150" w:rsidRPr="00624150" w:rsidRDefault="00624150" w:rsidP="00624150">
      <w:pPr>
        <w:pStyle w:val="af5"/>
        <w:rPr>
          <w:rFonts w:ascii="Arial" w:eastAsia="黑体" w:hAnsi="Arial" w:cs="Arial"/>
        </w:rPr>
      </w:pPr>
      <w:r w:rsidRPr="00624150">
        <w:rPr>
          <w:rFonts w:ascii="Arial" w:eastAsia="黑体" w:hAnsi="Arial" w:cs="Arial"/>
        </w:rPr>
        <w:t>一体化压缩机</w:t>
      </w:r>
    </w:p>
    <w:p w:rsidR="00624150" w:rsidRPr="00624150" w:rsidRDefault="00624150" w:rsidP="00624150">
      <w:pPr>
        <w:pStyle w:val="af5"/>
        <w:ind w:firstLineChars="0" w:firstLine="0"/>
      </w:pPr>
    </w:p>
    <w:p w:rsidR="00624150" w:rsidRPr="00624150" w:rsidRDefault="00624150" w:rsidP="00624150">
      <w:pPr>
        <w:pStyle w:val="af5"/>
        <w:ind w:firstLineChars="0" w:firstLine="0"/>
        <w:rPr>
          <w:rFonts w:ascii="Arial" w:eastAsia="黑体" w:hAnsi="Arial" w:cs="Arial"/>
        </w:rPr>
      </w:pPr>
      <w:r w:rsidRPr="00624150">
        <w:rPr>
          <w:rFonts w:ascii="Arial" w:eastAsia="黑体" w:hAnsi="Arial" w:cs="Arial"/>
        </w:rPr>
        <w:t xml:space="preserve">3.2 </w:t>
      </w:r>
    </w:p>
    <w:p w:rsidR="00624150" w:rsidRPr="00624150" w:rsidRDefault="00624150" w:rsidP="00624150">
      <w:pPr>
        <w:pStyle w:val="af5"/>
        <w:rPr>
          <w:rFonts w:ascii="Arial" w:eastAsia="黑体" w:hAnsi="Arial" w:cs="Arial"/>
        </w:rPr>
      </w:pPr>
      <w:r w:rsidRPr="00624150">
        <w:rPr>
          <w:rFonts w:ascii="Arial" w:eastAsia="黑体" w:hAnsi="Arial" w:cs="Arial"/>
        </w:rPr>
        <w:t>绿色设计</w:t>
      </w:r>
      <w:r w:rsidRPr="00624150">
        <w:rPr>
          <w:rFonts w:ascii="Arial" w:eastAsia="黑体" w:hAnsi="Arial" w:cs="Arial"/>
        </w:rPr>
        <w:t xml:space="preserve"> green-design </w:t>
      </w:r>
    </w:p>
    <w:p w:rsidR="00624150" w:rsidRPr="00624150" w:rsidRDefault="00624150" w:rsidP="00624150">
      <w:pPr>
        <w:pStyle w:val="af5"/>
        <w:rPr>
          <w:rFonts w:ascii="Arial" w:eastAsia="黑体" w:hAnsi="Arial" w:cs="Arial"/>
        </w:rPr>
      </w:pPr>
      <w:r w:rsidRPr="00624150">
        <w:rPr>
          <w:rFonts w:ascii="Arial" w:eastAsia="黑体" w:hAnsi="Arial" w:cs="Arial"/>
        </w:rPr>
        <w:t>生态设计</w:t>
      </w:r>
      <w:r w:rsidRPr="00624150">
        <w:rPr>
          <w:rFonts w:ascii="Arial" w:eastAsia="黑体" w:hAnsi="Arial" w:cs="Arial"/>
        </w:rPr>
        <w:t xml:space="preserve"> eco-design </w:t>
      </w:r>
    </w:p>
    <w:p w:rsidR="00624150" w:rsidRPr="00624150" w:rsidRDefault="00624150" w:rsidP="00624150">
      <w:pPr>
        <w:pStyle w:val="af5"/>
      </w:pPr>
      <w:r w:rsidRPr="00624150">
        <w:t>按照全生命周期的理念，在产品设计开发阶段系统考虑原材料选用、生产、销售、使用、回收、处 理等各个环节对资源环境造成的影响，力求产品在全生命周期中最大限度降低资源消耗、尽可能少用或 不用含有有毒有害物质的原材料，减少污染物产生和排放，从而实现环境保护的活动。</w:t>
      </w:r>
    </w:p>
    <w:p w:rsidR="00624150" w:rsidRPr="00624150" w:rsidRDefault="00624150" w:rsidP="00624150">
      <w:pPr>
        <w:pStyle w:val="af5"/>
        <w:ind w:firstLineChars="0" w:firstLine="0"/>
      </w:pPr>
    </w:p>
    <w:p w:rsidR="00624150" w:rsidRPr="00624150" w:rsidRDefault="00624150" w:rsidP="00624150">
      <w:pPr>
        <w:pStyle w:val="af5"/>
        <w:ind w:firstLineChars="0" w:firstLine="0"/>
        <w:rPr>
          <w:rFonts w:ascii="Arial" w:eastAsia="黑体" w:hAnsi="Arial" w:cs="Arial"/>
        </w:rPr>
      </w:pPr>
      <w:r w:rsidRPr="00624150">
        <w:rPr>
          <w:rFonts w:ascii="Arial" w:eastAsia="黑体" w:hAnsi="Arial" w:cs="Arial" w:hint="eastAsia"/>
        </w:rPr>
        <w:t>3</w:t>
      </w:r>
      <w:r w:rsidRPr="00624150">
        <w:rPr>
          <w:rFonts w:ascii="Arial" w:eastAsia="黑体" w:hAnsi="Arial" w:cs="Arial"/>
        </w:rPr>
        <w:t>.3</w:t>
      </w:r>
    </w:p>
    <w:p w:rsidR="00624150" w:rsidRPr="00624150" w:rsidRDefault="00624150" w:rsidP="00624150">
      <w:pPr>
        <w:pStyle w:val="af5"/>
        <w:rPr>
          <w:rFonts w:ascii="Arial" w:eastAsia="黑体" w:hAnsi="Arial" w:cs="Arial"/>
        </w:rPr>
      </w:pPr>
      <w:r w:rsidRPr="00624150">
        <w:rPr>
          <w:rFonts w:ascii="Arial" w:eastAsia="黑体" w:hAnsi="Arial" w:cs="Arial" w:hint="eastAsia"/>
        </w:rPr>
        <w:t>绿色设计产品</w:t>
      </w:r>
      <w:r w:rsidRPr="00624150">
        <w:rPr>
          <w:rFonts w:ascii="Arial" w:eastAsia="黑体" w:hAnsi="Arial" w:cs="Arial" w:hint="eastAsia"/>
        </w:rPr>
        <w:t xml:space="preserve"> green-design</w:t>
      </w:r>
      <w:r w:rsidRPr="00624150">
        <w:rPr>
          <w:rFonts w:ascii="Arial" w:eastAsia="黑体" w:hAnsi="Arial" w:cs="Arial"/>
        </w:rPr>
        <w:t xml:space="preserve"> </w:t>
      </w:r>
      <w:r w:rsidRPr="00624150">
        <w:rPr>
          <w:rFonts w:ascii="Arial" w:eastAsia="黑体" w:hAnsi="Arial" w:cs="Arial" w:hint="eastAsia"/>
        </w:rPr>
        <w:t>product</w:t>
      </w:r>
    </w:p>
    <w:p w:rsidR="00624150" w:rsidRPr="00624150" w:rsidRDefault="00624150" w:rsidP="00624150">
      <w:pPr>
        <w:pStyle w:val="af5"/>
        <w:rPr>
          <w:rFonts w:ascii="Arial" w:eastAsia="黑体" w:hAnsi="Arial" w:cs="Arial"/>
        </w:rPr>
      </w:pPr>
      <w:r w:rsidRPr="00624150">
        <w:rPr>
          <w:rFonts w:ascii="Arial" w:eastAsia="黑体" w:hAnsi="Arial" w:cs="Arial" w:hint="eastAsia"/>
        </w:rPr>
        <w:t>生态设计产品</w:t>
      </w:r>
      <w:r w:rsidRPr="00624150">
        <w:rPr>
          <w:rFonts w:ascii="Arial" w:eastAsia="黑体" w:hAnsi="Arial" w:cs="Arial" w:hint="eastAsia"/>
        </w:rPr>
        <w:t xml:space="preserve"> eco-design</w:t>
      </w:r>
      <w:r w:rsidRPr="00624150">
        <w:rPr>
          <w:rFonts w:ascii="Arial" w:eastAsia="黑体" w:hAnsi="Arial" w:cs="Arial"/>
        </w:rPr>
        <w:t xml:space="preserve"> </w:t>
      </w:r>
      <w:r w:rsidRPr="00624150">
        <w:rPr>
          <w:rFonts w:ascii="Arial" w:eastAsia="黑体" w:hAnsi="Arial" w:cs="Arial" w:hint="eastAsia"/>
        </w:rPr>
        <w:t>product</w:t>
      </w:r>
    </w:p>
    <w:p w:rsidR="00624150" w:rsidRPr="00624150" w:rsidRDefault="00624150" w:rsidP="00624150">
      <w:pPr>
        <w:pStyle w:val="af5"/>
        <w:rPr>
          <w:rFonts w:ascii="Arial" w:eastAsia="黑体" w:hAnsi="Arial" w:cs="Arial"/>
        </w:rPr>
      </w:pPr>
      <w:r w:rsidRPr="00624150">
        <w:rPr>
          <w:rFonts w:ascii="Arial" w:eastAsia="黑体" w:hAnsi="Arial" w:cs="Arial" w:hint="eastAsia"/>
        </w:rPr>
        <w:t>绿色产品</w:t>
      </w:r>
      <w:r w:rsidRPr="00624150">
        <w:rPr>
          <w:rFonts w:ascii="Arial" w:eastAsia="黑体" w:hAnsi="Arial" w:cs="Arial" w:hint="eastAsia"/>
        </w:rPr>
        <w:t xml:space="preserve"> green</w:t>
      </w:r>
      <w:r w:rsidRPr="00624150">
        <w:rPr>
          <w:rFonts w:ascii="Arial" w:eastAsia="黑体" w:hAnsi="Arial" w:cs="Arial"/>
        </w:rPr>
        <w:t xml:space="preserve"> </w:t>
      </w:r>
      <w:r w:rsidRPr="00624150">
        <w:rPr>
          <w:rFonts w:ascii="Arial" w:eastAsia="黑体" w:hAnsi="Arial" w:cs="Arial" w:hint="eastAsia"/>
        </w:rPr>
        <w:t>product</w:t>
      </w:r>
    </w:p>
    <w:p w:rsidR="00624150" w:rsidRPr="00624150" w:rsidRDefault="00624150" w:rsidP="00624150">
      <w:pPr>
        <w:pStyle w:val="af5"/>
      </w:pPr>
      <w:r w:rsidRPr="00624150">
        <w:rPr>
          <w:rFonts w:hint="eastAsia"/>
        </w:rPr>
        <w:t>符合绿色设计理念和评价要求的产品。</w:t>
      </w:r>
    </w:p>
    <w:p w:rsidR="00624150" w:rsidRPr="00624150" w:rsidRDefault="00624150" w:rsidP="00624150">
      <w:pPr>
        <w:rPr>
          <w:rFonts w:ascii="宋体" w:hAnsi="宋体"/>
        </w:rPr>
      </w:pPr>
    </w:p>
    <w:p w:rsidR="00624150" w:rsidRPr="00624150" w:rsidRDefault="00624150" w:rsidP="00624150">
      <w:pPr>
        <w:pStyle w:val="a"/>
        <w:numPr>
          <w:ilvl w:val="0"/>
          <w:numId w:val="0"/>
        </w:numPr>
        <w:spacing w:beforeLines="0" w:afterLines="0"/>
        <w:outlineLvl w:val="0"/>
        <w:rPr>
          <w:rFonts w:hAnsi="黑体" w:cs="Arial"/>
        </w:rPr>
      </w:pPr>
      <w:bookmarkStart w:id="14" w:name="_Toc528080541"/>
      <w:bookmarkStart w:id="15" w:name="_Toc5095602"/>
      <w:r w:rsidRPr="00624150">
        <w:rPr>
          <w:rFonts w:hAnsi="黑体" w:cs="Arial" w:hint="eastAsia"/>
        </w:rPr>
        <w:t>4</w:t>
      </w:r>
      <w:r w:rsidRPr="00624150">
        <w:rPr>
          <w:rFonts w:hAnsi="黑体" w:cs="Arial"/>
        </w:rPr>
        <w:t xml:space="preserve"> </w:t>
      </w:r>
      <w:r w:rsidRPr="00624150">
        <w:rPr>
          <w:rFonts w:hAnsi="黑体" w:cs="Arial" w:hint="eastAsia"/>
        </w:rPr>
        <w:t>评价要求</w:t>
      </w:r>
      <w:bookmarkEnd w:id="14"/>
      <w:bookmarkEnd w:id="15"/>
    </w:p>
    <w:p w:rsidR="00624150" w:rsidRPr="00624150" w:rsidRDefault="00624150" w:rsidP="00624150">
      <w:pPr>
        <w:pStyle w:val="af5"/>
        <w:ind w:firstLineChars="0" w:firstLine="0"/>
        <w:rPr>
          <w:rFonts w:ascii="Arial" w:eastAsia="黑体" w:hAnsi="Arial" w:cs="Arial"/>
        </w:rPr>
      </w:pPr>
      <w:r w:rsidRPr="00624150">
        <w:rPr>
          <w:rFonts w:ascii="Arial" w:eastAsia="黑体" w:hAnsi="Arial" w:cs="Arial"/>
        </w:rPr>
        <w:t xml:space="preserve">4.1 </w:t>
      </w:r>
      <w:r w:rsidRPr="00624150">
        <w:rPr>
          <w:rFonts w:ascii="Arial" w:eastAsia="黑体" w:hAnsi="Arial" w:cs="Arial"/>
        </w:rPr>
        <w:t>基本要求</w:t>
      </w:r>
    </w:p>
    <w:p w:rsidR="00624150" w:rsidRPr="00624150" w:rsidRDefault="00624150" w:rsidP="00624150">
      <w:pPr>
        <w:pStyle w:val="af5"/>
        <w:ind w:firstLineChars="0" w:firstLine="0"/>
      </w:pPr>
      <w:r w:rsidRPr="00624150">
        <w:rPr>
          <w:rFonts w:ascii="Arial" w:eastAsia="黑体" w:hAnsi="Arial" w:cs="Arial" w:hint="eastAsia"/>
        </w:rPr>
        <w:lastRenderedPageBreak/>
        <w:t>4</w:t>
      </w:r>
      <w:r w:rsidRPr="00624150">
        <w:rPr>
          <w:rFonts w:ascii="Arial" w:eastAsia="黑体" w:hAnsi="Arial" w:cs="Arial"/>
        </w:rPr>
        <w:t xml:space="preserve">.1.1 </w:t>
      </w:r>
      <w:r w:rsidRPr="00624150">
        <w:rPr>
          <w:rFonts w:hint="eastAsia"/>
        </w:rPr>
        <w:t>生产企业的污染物排放应达到国家或地方污染物排放标准的要求，污染物总量控制应达到国家和地方污染物排放总量控制指标；应严格执行节能环保相关国家标准并提供标准清单，近三年无重大质量、安全和环境事故。</w:t>
      </w:r>
    </w:p>
    <w:p w:rsidR="00624150" w:rsidRPr="00624150" w:rsidRDefault="00624150" w:rsidP="00624150">
      <w:pPr>
        <w:pStyle w:val="af5"/>
        <w:ind w:firstLineChars="0" w:firstLine="0"/>
      </w:pPr>
      <w:r w:rsidRPr="00624150">
        <w:rPr>
          <w:rFonts w:ascii="Arial" w:eastAsia="黑体" w:hAnsi="Arial" w:cs="Arial" w:hint="eastAsia"/>
        </w:rPr>
        <w:t>4</w:t>
      </w:r>
      <w:r w:rsidRPr="00624150">
        <w:rPr>
          <w:rFonts w:ascii="Arial" w:eastAsia="黑体" w:hAnsi="Arial" w:cs="Arial"/>
        </w:rPr>
        <w:t xml:space="preserve">.1.2 </w:t>
      </w:r>
      <w:r w:rsidRPr="00624150">
        <w:rPr>
          <w:rFonts w:hint="eastAsia"/>
        </w:rPr>
        <w:t>生产企业应按照</w:t>
      </w:r>
      <w:r w:rsidRPr="00624150">
        <w:t>GB/T 19001和GB/T 24001分别建立、实施、保持并持续改进质量管理体系和环境管理等体系。</w:t>
      </w:r>
    </w:p>
    <w:p w:rsidR="00624150" w:rsidRPr="00624150" w:rsidRDefault="00624150" w:rsidP="00624150">
      <w:pPr>
        <w:pStyle w:val="af5"/>
        <w:ind w:firstLineChars="0" w:firstLine="0"/>
      </w:pPr>
      <w:r w:rsidRPr="00624150">
        <w:rPr>
          <w:rFonts w:ascii="Arial" w:eastAsia="黑体" w:hAnsi="Arial" w:cs="Arial"/>
        </w:rPr>
        <w:t xml:space="preserve">4.1.3 </w:t>
      </w:r>
      <w:r w:rsidRPr="00624150">
        <w:t>生产企业应按照GB/T24256的相关要求开展产品绿色设计工作，设计工作在考虑环境要求的同时，还应适当考虑产品的耐用性、可靠性、可维修性、可重复使用性、可再制造，模块化以及对环境产生不良影响部件的易拆解（分离）性和易回收性等，应形成产品绿色设计方案。</w:t>
      </w:r>
    </w:p>
    <w:p w:rsidR="00624150" w:rsidRPr="00624150" w:rsidRDefault="00624150" w:rsidP="00624150">
      <w:pPr>
        <w:pStyle w:val="af5"/>
        <w:ind w:firstLineChars="0" w:firstLine="0"/>
      </w:pPr>
      <w:r w:rsidRPr="00624150">
        <w:rPr>
          <w:rFonts w:ascii="Arial" w:eastAsia="黑体" w:hAnsi="Arial" w:cs="Arial"/>
        </w:rPr>
        <w:t xml:space="preserve">4.1.4 </w:t>
      </w:r>
      <w:r w:rsidRPr="00624150">
        <w:t>生产企业应采用国家鼓励的先进技术和工艺，不得使用国家或有关部门发布的淘汰或禁止的技术、工艺、装备及相关物质；设计、生产过程中应以节约材料为原则制定要求。</w:t>
      </w:r>
    </w:p>
    <w:p w:rsidR="00624150" w:rsidRPr="00624150" w:rsidRDefault="00624150" w:rsidP="00624150">
      <w:pPr>
        <w:pStyle w:val="af5"/>
        <w:ind w:firstLineChars="0" w:firstLine="0"/>
      </w:pPr>
      <w:r w:rsidRPr="00624150">
        <w:rPr>
          <w:rFonts w:ascii="Arial" w:eastAsia="黑体" w:hAnsi="Arial" w:cs="Arial"/>
        </w:rPr>
        <w:t xml:space="preserve">4.1.5 </w:t>
      </w:r>
      <w:r w:rsidRPr="00624150">
        <w:t>生产企业应开展绿色供应链管理，对产品主要原材料供应方、生产协作方、相关服务方等提出相关质量、环境、能源和安全等方面的管理要求。</w:t>
      </w:r>
    </w:p>
    <w:p w:rsidR="00624150" w:rsidRPr="00624150" w:rsidRDefault="00624150" w:rsidP="00624150">
      <w:pPr>
        <w:pStyle w:val="af5"/>
        <w:ind w:firstLineChars="0" w:firstLine="0"/>
      </w:pPr>
      <w:r w:rsidRPr="00624150">
        <w:rPr>
          <w:rFonts w:ascii="Arial" w:eastAsia="黑体" w:hAnsi="Arial" w:cs="Arial"/>
        </w:rPr>
        <w:t xml:space="preserve">4.1.6 </w:t>
      </w:r>
      <w:r w:rsidRPr="00624150">
        <w:t>生产企业的主要用能设备应满足相关国家能效标准2级及以上。</w:t>
      </w:r>
    </w:p>
    <w:p w:rsidR="00624150" w:rsidRPr="00624150" w:rsidRDefault="00624150" w:rsidP="00624150">
      <w:pPr>
        <w:pStyle w:val="af5"/>
        <w:ind w:firstLineChars="0" w:firstLine="0"/>
      </w:pPr>
      <w:r w:rsidRPr="00624150">
        <w:rPr>
          <w:rFonts w:ascii="Arial" w:eastAsia="黑体" w:hAnsi="Arial" w:cs="Arial"/>
        </w:rPr>
        <w:t xml:space="preserve">4.1.7 </w:t>
      </w:r>
      <w:r w:rsidRPr="00624150">
        <w:t>产品质量应符合相关产品标准，并取得涉及饮用水卫生安全产品卫生许可批件。</w:t>
      </w:r>
    </w:p>
    <w:p w:rsidR="00624150" w:rsidRPr="00624150" w:rsidRDefault="00624150" w:rsidP="00624150">
      <w:pPr>
        <w:pStyle w:val="af5"/>
        <w:ind w:firstLineChars="0" w:firstLine="0"/>
      </w:pPr>
      <w:r w:rsidRPr="00624150">
        <w:rPr>
          <w:rFonts w:ascii="Arial" w:eastAsia="黑体" w:hAnsi="Arial" w:cs="Arial"/>
        </w:rPr>
        <w:t xml:space="preserve">4.1.8 </w:t>
      </w:r>
      <w:r w:rsidRPr="00624150">
        <w:t>产品说明中应包含有害物质使用、需特殊处理材料（如含氟发泡材料）及产品废弃后的有关循环利用的相关说明要求。生产企业宜通过适当的方式发布产品拆解技术指导信息，信息应便于相关组织获取。</w:t>
      </w:r>
    </w:p>
    <w:p w:rsidR="00624150" w:rsidRPr="00624150" w:rsidRDefault="00624150" w:rsidP="00624150">
      <w:pPr>
        <w:pStyle w:val="af5"/>
        <w:ind w:firstLineChars="0" w:firstLine="0"/>
      </w:pPr>
      <w:r w:rsidRPr="00624150">
        <w:rPr>
          <w:rFonts w:ascii="Arial" w:eastAsia="黑体" w:hAnsi="Arial" w:cs="Arial"/>
        </w:rPr>
        <w:t xml:space="preserve">4.1.9 </w:t>
      </w:r>
      <w:r w:rsidRPr="00624150">
        <w:t>产品包装应符合GB/T31268的有关要求。</w:t>
      </w:r>
    </w:p>
    <w:p w:rsidR="00624150" w:rsidRPr="00624150" w:rsidRDefault="00624150" w:rsidP="00624150">
      <w:pPr>
        <w:pStyle w:val="af5"/>
        <w:ind w:firstLineChars="0" w:firstLine="0"/>
        <w:rPr>
          <w:rFonts w:ascii="Arial" w:eastAsia="黑体" w:hAnsi="Arial" w:cs="Arial"/>
        </w:rPr>
      </w:pPr>
    </w:p>
    <w:p w:rsidR="00624150" w:rsidRPr="00624150" w:rsidRDefault="00624150" w:rsidP="00624150">
      <w:pPr>
        <w:pStyle w:val="af5"/>
        <w:ind w:firstLineChars="0" w:firstLine="0"/>
        <w:rPr>
          <w:rFonts w:ascii="Arial" w:eastAsia="黑体" w:hAnsi="Arial" w:cs="Arial"/>
        </w:rPr>
      </w:pPr>
      <w:r w:rsidRPr="00624150">
        <w:rPr>
          <w:rFonts w:ascii="Arial" w:eastAsia="黑体" w:hAnsi="Arial" w:cs="Arial" w:hint="eastAsia"/>
        </w:rPr>
        <w:t>4</w:t>
      </w:r>
      <w:r w:rsidRPr="00624150">
        <w:rPr>
          <w:rFonts w:ascii="Arial" w:eastAsia="黑体" w:hAnsi="Arial" w:cs="Arial"/>
        </w:rPr>
        <w:t xml:space="preserve">.2 </w:t>
      </w:r>
      <w:r w:rsidRPr="00624150">
        <w:rPr>
          <w:rFonts w:ascii="Arial" w:eastAsia="黑体" w:hAnsi="Arial" w:cs="Arial" w:hint="eastAsia"/>
        </w:rPr>
        <w:t>评价指标要求</w:t>
      </w:r>
    </w:p>
    <w:p w:rsidR="00624150" w:rsidRPr="00624150" w:rsidRDefault="00624150" w:rsidP="00624150">
      <w:pPr>
        <w:pStyle w:val="af5"/>
      </w:pPr>
      <w:r w:rsidRPr="00624150">
        <w:rPr>
          <w:rFonts w:hint="eastAsia"/>
        </w:rPr>
        <w:t>一体化压缩机的评价指标可按照生命周期各阶段从资源能源的消耗，以及对环境和人体健康造成影响的角度进行选取，通常可包括资源属性指标、能源属性指标、环境属性指标和产品属性指标。一体化压缩机的评价指标名称、基准值、判定依据等要求见表</w:t>
      </w:r>
      <w:r w:rsidRPr="00624150">
        <w:t>1。</w:t>
      </w:r>
    </w:p>
    <w:p w:rsidR="00624150" w:rsidRPr="00624150" w:rsidRDefault="00624150" w:rsidP="00624150">
      <w:pPr>
        <w:pStyle w:val="af5"/>
        <w:ind w:firstLineChars="0" w:firstLine="0"/>
        <w:jc w:val="center"/>
        <w:rPr>
          <w:rFonts w:ascii="Times New Roman"/>
          <w:b/>
        </w:rPr>
      </w:pPr>
      <w:r w:rsidRPr="00624150">
        <w:rPr>
          <w:rFonts w:ascii="Times New Roman"/>
          <w:b/>
        </w:rPr>
        <w:t>表</w:t>
      </w:r>
      <w:r w:rsidRPr="00624150">
        <w:rPr>
          <w:rFonts w:ascii="Times New Roman"/>
          <w:b/>
        </w:rPr>
        <w:t xml:space="preserve">1 </w:t>
      </w:r>
      <w:r w:rsidRPr="00624150">
        <w:rPr>
          <w:rFonts w:ascii="Times New Roman"/>
          <w:b/>
        </w:rPr>
        <w:t>一体化压缩机评价指标要求</w:t>
      </w:r>
    </w:p>
    <w:tbl>
      <w:tblPr>
        <w:tblStyle w:val="af3"/>
        <w:tblW w:w="8359" w:type="dxa"/>
        <w:tblLook w:val="04A0" w:firstRow="1" w:lastRow="0" w:firstColumn="1" w:lastColumn="0" w:noHBand="0" w:noVBand="1"/>
      </w:tblPr>
      <w:tblGrid>
        <w:gridCol w:w="2972"/>
        <w:gridCol w:w="851"/>
        <w:gridCol w:w="1275"/>
        <w:gridCol w:w="1843"/>
        <w:gridCol w:w="1418"/>
      </w:tblGrid>
      <w:tr w:rsidR="00624150" w:rsidRPr="00624150" w:rsidTr="00F95A4B">
        <w:tc>
          <w:tcPr>
            <w:tcW w:w="2972" w:type="dxa"/>
            <w:vAlign w:val="center"/>
          </w:tcPr>
          <w:p w:rsidR="00624150" w:rsidRPr="00624150" w:rsidRDefault="00624150" w:rsidP="00F95A4B">
            <w:pPr>
              <w:rPr>
                <w:rFonts w:ascii="Times New Roman" w:eastAsia="宋体" w:hAnsi="Times New Roman" w:cs="Times New Roman"/>
                <w:b/>
                <w:szCs w:val="21"/>
              </w:rPr>
            </w:pPr>
            <w:r w:rsidRPr="00624150">
              <w:rPr>
                <w:rFonts w:ascii="Times New Roman" w:eastAsia="宋体" w:hAnsi="Times New Roman" w:cs="Times New Roman"/>
                <w:b/>
                <w:szCs w:val="21"/>
              </w:rPr>
              <w:t>指标名称</w:t>
            </w:r>
          </w:p>
        </w:tc>
        <w:tc>
          <w:tcPr>
            <w:tcW w:w="851" w:type="dxa"/>
            <w:vAlign w:val="center"/>
          </w:tcPr>
          <w:p w:rsidR="00624150" w:rsidRPr="00624150" w:rsidRDefault="00624150" w:rsidP="00F95A4B">
            <w:pPr>
              <w:rPr>
                <w:rFonts w:ascii="Times New Roman" w:eastAsia="宋体" w:hAnsi="Times New Roman" w:cs="Times New Roman"/>
                <w:b/>
                <w:szCs w:val="21"/>
              </w:rPr>
            </w:pPr>
            <w:r w:rsidRPr="00624150">
              <w:rPr>
                <w:rFonts w:ascii="Times New Roman" w:eastAsia="宋体" w:hAnsi="Times New Roman" w:cs="Times New Roman"/>
                <w:b/>
                <w:szCs w:val="21"/>
              </w:rPr>
              <w:t>单位</w:t>
            </w:r>
          </w:p>
        </w:tc>
        <w:tc>
          <w:tcPr>
            <w:tcW w:w="1275" w:type="dxa"/>
            <w:vAlign w:val="center"/>
          </w:tcPr>
          <w:p w:rsidR="00624150" w:rsidRPr="00624150" w:rsidRDefault="00624150" w:rsidP="00F95A4B">
            <w:pPr>
              <w:rPr>
                <w:rFonts w:ascii="Times New Roman" w:eastAsia="宋体" w:hAnsi="Times New Roman" w:cs="Times New Roman"/>
                <w:b/>
                <w:szCs w:val="21"/>
              </w:rPr>
            </w:pPr>
            <w:r w:rsidRPr="00624150">
              <w:rPr>
                <w:rFonts w:ascii="Times New Roman" w:eastAsia="宋体" w:hAnsi="Times New Roman" w:cs="Times New Roman"/>
                <w:b/>
                <w:szCs w:val="21"/>
              </w:rPr>
              <w:t>指标方向</w:t>
            </w:r>
          </w:p>
        </w:tc>
        <w:tc>
          <w:tcPr>
            <w:tcW w:w="1843" w:type="dxa"/>
            <w:vAlign w:val="center"/>
          </w:tcPr>
          <w:p w:rsidR="00624150" w:rsidRPr="00624150" w:rsidRDefault="00624150" w:rsidP="00F95A4B">
            <w:pPr>
              <w:rPr>
                <w:rFonts w:ascii="Times New Roman" w:eastAsia="宋体" w:hAnsi="Times New Roman" w:cs="Times New Roman"/>
                <w:b/>
                <w:szCs w:val="21"/>
              </w:rPr>
            </w:pPr>
            <w:r w:rsidRPr="00624150">
              <w:rPr>
                <w:rFonts w:ascii="Times New Roman" w:eastAsia="宋体" w:hAnsi="Times New Roman" w:cs="Times New Roman"/>
                <w:b/>
                <w:szCs w:val="21"/>
              </w:rPr>
              <w:t>基准值</w:t>
            </w:r>
          </w:p>
        </w:tc>
        <w:tc>
          <w:tcPr>
            <w:tcW w:w="1418" w:type="dxa"/>
            <w:vAlign w:val="center"/>
          </w:tcPr>
          <w:p w:rsidR="00624150" w:rsidRPr="00624150" w:rsidRDefault="00624150" w:rsidP="00F95A4B">
            <w:pPr>
              <w:rPr>
                <w:rFonts w:ascii="Times New Roman" w:eastAsia="宋体" w:hAnsi="Times New Roman" w:cs="Times New Roman"/>
                <w:b/>
                <w:szCs w:val="21"/>
              </w:rPr>
            </w:pPr>
            <w:r w:rsidRPr="00624150">
              <w:rPr>
                <w:rFonts w:ascii="Times New Roman" w:eastAsia="宋体" w:hAnsi="Times New Roman" w:cs="Times New Roman"/>
                <w:b/>
                <w:szCs w:val="21"/>
              </w:rPr>
              <w:t>判定依据</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效率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排气压力</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噪声</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维修次数</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产品使用寿命</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工质泄漏量</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p>
        </w:tc>
        <w:tc>
          <w:tcPr>
            <w:tcW w:w="1418" w:type="dxa"/>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产品有害物质含量</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应符合</w:t>
            </w:r>
            <w:r w:rsidRPr="00624150">
              <w:rPr>
                <w:rFonts w:ascii="Times New Roman" w:eastAsia="宋体" w:hAnsi="Times New Roman" w:cs="Times New Roman"/>
                <w:szCs w:val="21"/>
              </w:rPr>
              <w:t>GB/T 26572</w:t>
            </w:r>
            <w:r w:rsidRPr="00624150">
              <w:rPr>
                <w:rFonts w:ascii="Times New Roman" w:eastAsia="宋体" w:hAnsi="Times New Roman" w:cs="Times New Roman"/>
                <w:szCs w:val="21"/>
              </w:rPr>
              <w:t>的要求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提供原材料有害物质含量表，依据</w:t>
            </w:r>
            <w:r w:rsidRPr="00624150">
              <w:rPr>
                <w:rFonts w:ascii="Times New Roman" w:eastAsia="宋体" w:hAnsi="Times New Roman" w:cs="Times New Roman"/>
                <w:szCs w:val="21"/>
              </w:rPr>
              <w:t>GB/T 26125</w:t>
            </w:r>
            <w:r w:rsidRPr="00624150">
              <w:rPr>
                <w:rFonts w:ascii="Times New Roman" w:eastAsia="宋体" w:hAnsi="Times New Roman" w:cs="Times New Roman"/>
                <w:szCs w:val="21"/>
              </w:rPr>
              <w:t>检测并提供检测报告</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可回收利用标识</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产品及零部件可回收利用标识符合</w:t>
            </w:r>
            <w:r w:rsidRPr="00624150">
              <w:rPr>
                <w:rFonts w:ascii="Times New Roman" w:eastAsia="宋体" w:hAnsi="Times New Roman" w:cs="Times New Roman"/>
                <w:szCs w:val="21"/>
              </w:rPr>
              <w:t xml:space="preserve">GB/T 23384 </w:t>
            </w:r>
            <w:r w:rsidRPr="00624150">
              <w:rPr>
                <w:rFonts w:ascii="Times New Roman" w:eastAsia="宋体" w:hAnsi="Times New Roman" w:cs="Times New Roman"/>
                <w:szCs w:val="21"/>
              </w:rPr>
              <w:t>的</w:t>
            </w:r>
            <w:r w:rsidRPr="00624150">
              <w:rPr>
                <w:rFonts w:ascii="Times New Roman" w:eastAsia="宋体" w:hAnsi="Times New Roman" w:cs="Times New Roman"/>
                <w:szCs w:val="21"/>
              </w:rPr>
              <w:lastRenderedPageBreak/>
              <w:t>规定要求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lastRenderedPageBreak/>
              <w:t>提供标识使用说明及相关管理说明</w:t>
            </w:r>
            <w:r w:rsidRPr="00624150">
              <w:rPr>
                <w:rFonts w:ascii="Times New Roman" w:eastAsia="宋体" w:hAnsi="Times New Roman" w:cs="Times New Roman"/>
                <w:szCs w:val="21"/>
              </w:rPr>
              <w:lastRenderedPageBreak/>
              <w:t>文件</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lastRenderedPageBreak/>
              <w:t>包装及包装材料</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包装材质为纸盒（袋）者，推荐优先使用回收纸混合模式，满足</w:t>
            </w:r>
            <w:r w:rsidRPr="00624150">
              <w:rPr>
                <w:rFonts w:ascii="Times New Roman" w:eastAsia="宋体" w:hAnsi="Times New Roman" w:cs="Times New Roman"/>
                <w:szCs w:val="21"/>
              </w:rPr>
              <w:t xml:space="preserve">GB/T 31268 </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机组效率（输入功率比）</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restart"/>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r w:rsidRPr="00624150">
              <w:rPr>
                <w:rFonts w:ascii="Times New Roman" w:eastAsia="宋体" w:hAnsi="Times New Roman" w:cs="Times New Roman"/>
                <w:szCs w:val="21"/>
              </w:rPr>
              <w:t>GB 28381-2012</w:t>
            </w:r>
            <w:r w:rsidRPr="00624150">
              <w:rPr>
                <w:rFonts w:ascii="Times New Roman" w:eastAsia="宋体" w:hAnsi="Times New Roman" w:cs="Times New Roman"/>
                <w:szCs w:val="21"/>
              </w:rPr>
              <w:t>、</w:t>
            </w:r>
            <w:r w:rsidRPr="00624150">
              <w:rPr>
                <w:rFonts w:ascii="Times New Roman" w:eastAsia="宋体" w:hAnsi="Times New Roman" w:cs="Times New Roman"/>
                <w:szCs w:val="21"/>
              </w:rPr>
              <w:tab/>
            </w:r>
          </w:p>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GB 28381-2012</w:t>
            </w:r>
            <w:r w:rsidRPr="00624150">
              <w:rPr>
                <w:rFonts w:ascii="Times New Roman" w:eastAsia="宋体" w:hAnsi="Times New Roman" w:cs="Times New Roman"/>
                <w:szCs w:val="21"/>
              </w:rPr>
              <w:t>的相关要求</w:t>
            </w:r>
          </w:p>
        </w:tc>
        <w:tc>
          <w:tcPr>
            <w:tcW w:w="1418" w:type="dxa"/>
            <w:vMerge w:val="restart"/>
            <w:vAlign w:val="center"/>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压缩机类型</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5"/>
              </w:numPr>
              <w:spacing w:before="156" w:after="156"/>
              <w:ind w:firstLineChars="0"/>
              <w:rPr>
                <w:rFonts w:ascii="Times New Roman" w:hAnsi="Times New Roman"/>
              </w:rPr>
            </w:pPr>
            <w:r w:rsidRPr="00624150">
              <w:rPr>
                <w:rFonts w:ascii="Times New Roman" w:hAnsi="Times New Roman"/>
              </w:rPr>
              <w:t>电机效率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电机电压值</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电机功率范围</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电机额定功率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压缩机效率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额定压力范围</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624150">
            <w:pPr>
              <w:pStyle w:val="af7"/>
              <w:numPr>
                <w:ilvl w:val="0"/>
                <w:numId w:val="6"/>
              </w:numPr>
              <w:spacing w:before="156" w:after="156"/>
              <w:ind w:firstLineChars="0"/>
              <w:rPr>
                <w:rFonts w:ascii="Times New Roman" w:hAnsi="Times New Roman"/>
              </w:rPr>
            </w:pPr>
            <w:r w:rsidRPr="00624150">
              <w:rPr>
                <w:rFonts w:ascii="Times New Roman" w:hAnsi="Times New Roman"/>
              </w:rPr>
              <w:t>额定排气压力</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Merge/>
            <w:vAlign w:val="center"/>
          </w:tcPr>
          <w:p w:rsidR="00624150" w:rsidRPr="00624150" w:rsidRDefault="00624150" w:rsidP="00F95A4B">
            <w:pPr>
              <w:rPr>
                <w:rFonts w:ascii="Times New Roman" w:eastAsia="宋体" w:hAnsi="Times New Roman" w:cs="Times New Roman"/>
                <w:szCs w:val="21"/>
              </w:rPr>
            </w:pPr>
          </w:p>
        </w:tc>
        <w:tc>
          <w:tcPr>
            <w:tcW w:w="1418" w:type="dxa"/>
            <w:vMerge/>
            <w:vAlign w:val="center"/>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噪声功率级</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r w:rsidRPr="00624150">
              <w:rPr>
                <w:rFonts w:ascii="Times New Roman" w:eastAsia="宋体" w:hAnsi="Times New Roman" w:cs="Times New Roman"/>
                <w:szCs w:val="21"/>
              </w:rPr>
              <w:t>GB/T 3222.2-2009</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按照</w:t>
            </w:r>
            <w:r w:rsidRPr="00624150">
              <w:rPr>
                <w:rFonts w:ascii="Times New Roman" w:eastAsia="宋体" w:hAnsi="Times New Roman" w:cs="Times New Roman"/>
                <w:szCs w:val="21"/>
              </w:rPr>
              <w:t>GB/T 2888-2008</w:t>
            </w:r>
            <w:r w:rsidRPr="00624150">
              <w:rPr>
                <w:rFonts w:ascii="Times New Roman" w:eastAsia="宋体" w:hAnsi="Times New Roman" w:cs="Times New Roman"/>
                <w:szCs w:val="21"/>
              </w:rPr>
              <w:t>检测，并提供检测报告</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电磁兼容性</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产品应符合</w:t>
            </w:r>
            <w:r w:rsidRPr="00624150">
              <w:rPr>
                <w:rFonts w:ascii="Times New Roman" w:eastAsia="宋体" w:hAnsi="Times New Roman" w:cs="Times New Roman"/>
                <w:szCs w:val="21"/>
              </w:rPr>
              <w:t>GB 4706.17</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电气安全</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产品应符合</w:t>
            </w:r>
            <w:r w:rsidRPr="00624150">
              <w:rPr>
                <w:rFonts w:ascii="Times New Roman" w:eastAsia="宋体" w:hAnsi="Times New Roman" w:cs="Times New Roman"/>
                <w:szCs w:val="21"/>
              </w:rPr>
              <w:t>GB 4706.17</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按照</w:t>
            </w:r>
            <w:r w:rsidRPr="00624150">
              <w:rPr>
                <w:rFonts w:ascii="Times New Roman" w:eastAsia="宋体" w:hAnsi="Times New Roman" w:cs="Times New Roman"/>
                <w:szCs w:val="21"/>
              </w:rPr>
              <w:t>GB 4706.17</w:t>
            </w:r>
            <w:r w:rsidRPr="00624150">
              <w:rPr>
                <w:rFonts w:ascii="Times New Roman" w:eastAsia="宋体" w:hAnsi="Times New Roman" w:cs="Times New Roman"/>
                <w:szCs w:val="21"/>
              </w:rPr>
              <w:t>检测，并提供检测报告</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待机功率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r w:rsidRPr="00624150">
              <w:rPr>
                <w:rFonts w:ascii="Times New Roman" w:eastAsia="宋体" w:hAnsi="Times New Roman" w:cs="Times New Roman"/>
                <w:szCs w:val="21"/>
              </w:rPr>
              <w:t>GB 24790-2009</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功率偏差</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p>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GB/T 19074-2003</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谐波含量</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r w:rsidRPr="00624150">
              <w:rPr>
                <w:rFonts w:ascii="Times New Roman" w:eastAsia="宋体" w:hAnsi="Times New Roman" w:cs="Times New Roman"/>
                <w:szCs w:val="21"/>
              </w:rPr>
              <w:t>GB 24790-2009</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r w:rsidR="00624150" w:rsidRPr="00624150" w:rsidTr="00F95A4B">
        <w:tc>
          <w:tcPr>
            <w:tcW w:w="2972"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lastRenderedPageBreak/>
              <w:t>密封（泄漏率）</w:t>
            </w:r>
          </w:p>
        </w:tc>
        <w:tc>
          <w:tcPr>
            <w:tcW w:w="851" w:type="dxa"/>
            <w:vAlign w:val="center"/>
          </w:tcPr>
          <w:p w:rsidR="00624150" w:rsidRPr="00624150" w:rsidRDefault="00624150" w:rsidP="00F95A4B">
            <w:pPr>
              <w:rPr>
                <w:rFonts w:ascii="Times New Roman" w:eastAsia="宋体" w:hAnsi="Times New Roman" w:cs="Times New Roman"/>
                <w:szCs w:val="21"/>
              </w:rPr>
            </w:pPr>
          </w:p>
        </w:tc>
        <w:tc>
          <w:tcPr>
            <w:tcW w:w="1275" w:type="dxa"/>
            <w:vAlign w:val="center"/>
          </w:tcPr>
          <w:p w:rsidR="00624150" w:rsidRPr="00624150" w:rsidRDefault="00624150" w:rsidP="00F95A4B">
            <w:pPr>
              <w:rPr>
                <w:rFonts w:ascii="Times New Roman" w:eastAsia="宋体" w:hAnsi="Times New Roman" w:cs="Times New Roman"/>
                <w:szCs w:val="21"/>
              </w:rPr>
            </w:pPr>
          </w:p>
        </w:tc>
        <w:tc>
          <w:tcPr>
            <w:tcW w:w="1843"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符合</w:t>
            </w:r>
            <w:r w:rsidRPr="00624150">
              <w:rPr>
                <w:rFonts w:ascii="Times New Roman" w:eastAsia="宋体" w:hAnsi="Times New Roman" w:cs="Times New Roman"/>
                <w:szCs w:val="21"/>
              </w:rPr>
              <w:t>GB/T 32217-2015</w:t>
            </w:r>
            <w:r w:rsidRPr="00624150">
              <w:rPr>
                <w:rFonts w:ascii="Times New Roman" w:eastAsia="宋体" w:hAnsi="Times New Roman" w:cs="Times New Roman"/>
                <w:szCs w:val="21"/>
              </w:rPr>
              <w:t>相关要求</w:t>
            </w:r>
          </w:p>
        </w:tc>
        <w:tc>
          <w:tcPr>
            <w:tcW w:w="1418" w:type="dxa"/>
            <w:vAlign w:val="center"/>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szCs w:val="21"/>
              </w:rPr>
              <w:t>提供证明材料</w:t>
            </w:r>
          </w:p>
        </w:tc>
      </w:tr>
    </w:tbl>
    <w:p w:rsidR="00624150" w:rsidRPr="00624150" w:rsidRDefault="00624150" w:rsidP="00624150">
      <w:pPr>
        <w:pStyle w:val="af5"/>
      </w:pPr>
    </w:p>
    <w:p w:rsidR="00624150" w:rsidRPr="00624150" w:rsidRDefault="00624150" w:rsidP="00624150">
      <w:pPr>
        <w:pStyle w:val="a"/>
        <w:numPr>
          <w:ilvl w:val="0"/>
          <w:numId w:val="0"/>
        </w:numPr>
        <w:spacing w:beforeLines="0" w:afterLines="0"/>
        <w:outlineLvl w:val="0"/>
        <w:rPr>
          <w:rFonts w:hAnsi="黑体" w:cs="Arial"/>
        </w:rPr>
      </w:pPr>
      <w:bookmarkStart w:id="16" w:name="_Toc528080542"/>
      <w:bookmarkStart w:id="17" w:name="_Toc5095603"/>
      <w:r w:rsidRPr="00624150">
        <w:rPr>
          <w:rFonts w:hAnsi="黑体" w:cs="Arial" w:hint="eastAsia"/>
        </w:rPr>
        <w:t>5 生命周期评价报告编制方法</w:t>
      </w:r>
      <w:bookmarkEnd w:id="16"/>
      <w:bookmarkEnd w:id="17"/>
    </w:p>
    <w:p w:rsidR="00624150" w:rsidRPr="00624150" w:rsidRDefault="00624150" w:rsidP="00624150">
      <w:pPr>
        <w:rPr>
          <w:rFonts w:ascii="Arial" w:eastAsia="黑体" w:hAnsi="Arial" w:cs="Arial"/>
          <w:szCs w:val="21"/>
        </w:rPr>
      </w:pPr>
      <w:r w:rsidRPr="00624150">
        <w:rPr>
          <w:rFonts w:ascii="Arial" w:eastAsia="黑体" w:hAnsi="Arial" w:cs="Arial"/>
          <w:szCs w:val="21"/>
        </w:rPr>
        <w:t xml:space="preserve">5.1 </w:t>
      </w:r>
      <w:r w:rsidRPr="00624150">
        <w:rPr>
          <w:rFonts w:ascii="Arial" w:eastAsia="黑体" w:hAnsi="Arial" w:cs="Arial"/>
          <w:szCs w:val="21"/>
        </w:rPr>
        <w:t>方法</w:t>
      </w:r>
    </w:p>
    <w:p w:rsidR="00624150" w:rsidRPr="00624150" w:rsidRDefault="00624150" w:rsidP="00624150">
      <w:pPr>
        <w:ind w:firstLineChars="200" w:firstLine="420"/>
        <w:rPr>
          <w:rFonts w:ascii="Times New Roman" w:eastAsia="宋体" w:hAnsi="Times New Roman" w:cs="Times New Roman"/>
          <w:sz w:val="28"/>
          <w:szCs w:val="28"/>
        </w:rPr>
      </w:pPr>
      <w:r w:rsidRPr="00624150">
        <w:rPr>
          <w:rFonts w:ascii="Times New Roman" w:eastAsia="宋体" w:hAnsi="Times New Roman" w:cs="Times New Roman"/>
        </w:rPr>
        <w:t>依据</w:t>
      </w:r>
      <w:r w:rsidRPr="00624150">
        <w:rPr>
          <w:rFonts w:ascii="Times New Roman" w:eastAsia="宋体" w:hAnsi="Times New Roman" w:cs="Times New Roman"/>
        </w:rPr>
        <w:t>GB/T24040</w:t>
      </w:r>
      <w:r w:rsidRPr="00624150">
        <w:rPr>
          <w:rFonts w:ascii="Times New Roman" w:eastAsia="宋体" w:hAnsi="Times New Roman" w:cs="Times New Roman"/>
        </w:rPr>
        <w:t>、</w:t>
      </w:r>
      <w:r w:rsidRPr="00624150">
        <w:rPr>
          <w:rFonts w:ascii="Times New Roman" w:eastAsia="宋体" w:hAnsi="Times New Roman" w:cs="Times New Roman"/>
        </w:rPr>
        <w:t>GB/T24044</w:t>
      </w:r>
      <w:r w:rsidRPr="00624150">
        <w:rPr>
          <w:rFonts w:ascii="Times New Roman" w:eastAsia="宋体" w:hAnsi="Times New Roman" w:cs="Times New Roman"/>
        </w:rPr>
        <w:t>、</w:t>
      </w:r>
      <w:r w:rsidRPr="00624150">
        <w:rPr>
          <w:rFonts w:ascii="Times New Roman" w:eastAsia="宋体" w:hAnsi="Times New Roman" w:cs="Times New Roman"/>
        </w:rPr>
        <w:t>GB/T32161</w:t>
      </w:r>
      <w:r w:rsidRPr="00624150">
        <w:rPr>
          <w:rFonts w:ascii="Times New Roman" w:eastAsia="宋体" w:hAnsi="Times New Roman" w:cs="Times New Roman"/>
        </w:rPr>
        <w:t>给出的生命周期评价方法学框架、总体要求及附录编制</w:t>
      </w:r>
      <w:r w:rsidRPr="00624150">
        <w:rPr>
          <w:rFonts w:ascii="Times New Roman" w:eastAsia="宋体" w:hAnsi="Times New Roman" w:cs="Times New Roman" w:hint="eastAsia"/>
        </w:rPr>
        <w:t>一体化压缩机产品的生命周期评价报告，参见附录</w:t>
      </w:r>
      <w:r w:rsidRPr="00624150">
        <w:rPr>
          <w:rFonts w:ascii="Times New Roman" w:eastAsia="宋体" w:hAnsi="Times New Roman" w:cs="Times New Roman" w:hint="eastAsia"/>
        </w:rPr>
        <w:t>A</w:t>
      </w:r>
      <w:r w:rsidRPr="00624150">
        <w:rPr>
          <w:rFonts w:ascii="Times New Roman" w:eastAsia="宋体" w:hAnsi="Times New Roman" w:cs="Times New Roman"/>
        </w:rPr>
        <w:t>。</w:t>
      </w:r>
    </w:p>
    <w:p w:rsidR="00624150" w:rsidRPr="00624150" w:rsidRDefault="00624150" w:rsidP="00624150">
      <w:pPr>
        <w:rPr>
          <w:rFonts w:ascii="Arial" w:eastAsia="黑体" w:hAnsi="Arial" w:cs="Arial"/>
          <w:szCs w:val="21"/>
        </w:rPr>
      </w:pPr>
      <w:r w:rsidRPr="00624150">
        <w:rPr>
          <w:rFonts w:ascii="Arial" w:eastAsia="黑体" w:hAnsi="Arial" w:cs="Arial"/>
          <w:szCs w:val="21"/>
        </w:rPr>
        <w:t xml:space="preserve">5.2 </w:t>
      </w:r>
      <w:r w:rsidRPr="00624150">
        <w:rPr>
          <w:rFonts w:ascii="Arial" w:eastAsia="黑体" w:hAnsi="Arial" w:cs="Arial"/>
          <w:szCs w:val="21"/>
        </w:rPr>
        <w:t>报告内容</w:t>
      </w:r>
      <w:r w:rsidRPr="00624150">
        <w:rPr>
          <w:rFonts w:ascii="Arial" w:eastAsia="黑体" w:hAnsi="Arial" w:cs="Arial" w:hint="eastAsia"/>
          <w:szCs w:val="21"/>
        </w:rPr>
        <w:t>框架</w:t>
      </w:r>
    </w:p>
    <w:p w:rsidR="00624150" w:rsidRPr="00624150" w:rsidRDefault="00624150" w:rsidP="00624150">
      <w:pPr>
        <w:rPr>
          <w:rFonts w:ascii="Arial" w:eastAsia="黑体" w:hAnsi="Arial" w:cs="Arial"/>
          <w:szCs w:val="21"/>
        </w:rPr>
      </w:pPr>
      <w:r w:rsidRPr="00624150">
        <w:rPr>
          <w:rFonts w:ascii="Arial" w:eastAsia="黑体" w:hAnsi="Arial" w:cs="Arial"/>
          <w:szCs w:val="21"/>
        </w:rPr>
        <w:t xml:space="preserve">5.2.1 </w:t>
      </w:r>
      <w:r w:rsidRPr="00624150">
        <w:rPr>
          <w:rFonts w:ascii="Arial" w:eastAsia="黑体" w:hAnsi="Arial" w:cs="Arial"/>
          <w:szCs w:val="21"/>
        </w:rPr>
        <w:t>基本信息</w:t>
      </w:r>
    </w:p>
    <w:p w:rsidR="00624150" w:rsidRPr="00624150" w:rsidRDefault="00624150" w:rsidP="00624150">
      <w:pPr>
        <w:rPr>
          <w:rFonts w:ascii="Arial" w:eastAsia="黑体" w:hAnsi="Arial" w:cs="Arial"/>
          <w:szCs w:val="21"/>
        </w:rPr>
      </w:pPr>
      <w:r w:rsidRPr="00624150">
        <w:rPr>
          <w:rFonts w:ascii="Arial" w:eastAsia="黑体" w:hAnsi="Arial" w:cs="Arial"/>
          <w:szCs w:val="21"/>
        </w:rPr>
        <w:t xml:space="preserve">5.2.1 </w:t>
      </w:r>
      <w:r w:rsidRPr="00624150">
        <w:rPr>
          <w:rFonts w:ascii="Arial" w:eastAsia="黑体" w:hAnsi="Arial" w:cs="Arial"/>
          <w:szCs w:val="21"/>
        </w:rPr>
        <w:t>基本信息</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应提供报告信息、申请者信息、评估对象信息、采用的标准信息等基本信息，其中报告信息包括报告编号、编制人员、审核人员、发布日期等，申请者信息包括公司全称、组织机构代码、地址、联系人、联系方式等。</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在报告中应提供产品的主要技术参数和功能，包括：物理形态、生产厂家、使用范围等。产品重量、包装的大小和材质也应在生命周期评价报告中阐明。</w:t>
      </w:r>
    </w:p>
    <w:p w:rsidR="00624150" w:rsidRPr="00624150" w:rsidRDefault="00624150" w:rsidP="00624150">
      <w:pPr>
        <w:rPr>
          <w:rFonts w:ascii="Arial" w:eastAsia="黑体" w:hAnsi="Arial" w:cs="Arial"/>
        </w:rPr>
      </w:pPr>
      <w:r w:rsidRPr="00624150">
        <w:rPr>
          <w:rFonts w:ascii="Arial" w:eastAsia="黑体" w:hAnsi="Arial" w:cs="Arial"/>
        </w:rPr>
        <w:t xml:space="preserve">5.2.2 </w:t>
      </w:r>
      <w:r w:rsidRPr="00624150">
        <w:rPr>
          <w:rFonts w:ascii="Arial" w:eastAsia="黑体" w:hAnsi="Arial" w:cs="Arial"/>
        </w:rPr>
        <w:t>符合性评价</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报告中应提供对基本要求和评价指标要求的符合性情况，并提供所有评价指标报告期比基期改进情况的说明，或同等功能产品对比情况的说明。</w:t>
      </w:r>
    </w:p>
    <w:p w:rsidR="00624150" w:rsidRPr="00624150" w:rsidRDefault="00624150" w:rsidP="00624150">
      <w:pPr>
        <w:rPr>
          <w:rFonts w:ascii="Arial" w:eastAsia="黑体" w:hAnsi="Arial" w:cs="Arial"/>
        </w:rPr>
      </w:pPr>
      <w:r w:rsidRPr="00624150">
        <w:rPr>
          <w:rFonts w:ascii="Arial" w:eastAsia="黑体" w:hAnsi="Arial" w:cs="Arial"/>
        </w:rPr>
        <w:t xml:space="preserve">5.2.3 </w:t>
      </w:r>
      <w:r w:rsidRPr="00624150">
        <w:rPr>
          <w:rFonts w:ascii="Arial" w:eastAsia="黑体" w:hAnsi="Arial" w:cs="Arial"/>
        </w:rPr>
        <w:t>生命周期评价</w:t>
      </w:r>
      <w:r w:rsidRPr="00624150">
        <w:rPr>
          <w:rFonts w:ascii="Arial" w:eastAsia="黑体" w:hAnsi="Arial" w:cs="Arial"/>
        </w:rPr>
        <w:t xml:space="preserve"> </w:t>
      </w:r>
    </w:p>
    <w:p w:rsidR="00624150" w:rsidRPr="00624150" w:rsidRDefault="00624150" w:rsidP="00624150">
      <w:pPr>
        <w:rPr>
          <w:rFonts w:ascii="Arial" w:eastAsia="黑体" w:hAnsi="Arial" w:cs="Arial"/>
        </w:rPr>
      </w:pPr>
      <w:r w:rsidRPr="00624150">
        <w:rPr>
          <w:rFonts w:ascii="Arial" w:eastAsia="黑体" w:hAnsi="Arial" w:cs="Arial"/>
        </w:rPr>
        <w:t xml:space="preserve">5.2.3.1 </w:t>
      </w:r>
      <w:r w:rsidRPr="00624150">
        <w:rPr>
          <w:rFonts w:ascii="Arial" w:eastAsia="黑体" w:hAnsi="Arial" w:cs="Arial"/>
        </w:rPr>
        <w:t>评价对象及工具</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报告中应详细描述评估的对象、功能单位和产品主要功能，提供产品的材料构成及主要技术参数表，绘制并说明产品的系统边界，披露所使用的基于中国生命周期数据库的软件工具。</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本标准以“</w:t>
      </w:r>
      <w:r w:rsidRPr="00624150">
        <w:rPr>
          <w:rFonts w:ascii="Times New Roman" w:eastAsia="宋体" w:hAnsi="Times New Roman" w:cs="Times New Roman"/>
        </w:rPr>
        <w:t>1</w:t>
      </w:r>
      <w:r w:rsidRPr="00624150">
        <w:rPr>
          <w:rFonts w:ascii="Times New Roman" w:eastAsia="宋体" w:hAnsi="Times New Roman" w:cs="Times New Roman"/>
        </w:rPr>
        <w:t>台</w:t>
      </w:r>
      <w:r w:rsidRPr="00624150">
        <w:rPr>
          <w:rFonts w:ascii="Times New Roman" w:eastAsia="宋体" w:hAnsi="Times New Roman" w:cs="Times New Roman" w:hint="eastAsia"/>
        </w:rPr>
        <w:t>一体式压缩机</w:t>
      </w:r>
      <w:r w:rsidRPr="00624150">
        <w:rPr>
          <w:rFonts w:ascii="Times New Roman" w:eastAsia="宋体" w:hAnsi="Times New Roman" w:cs="Times New Roman"/>
        </w:rPr>
        <w:t>”</w:t>
      </w:r>
      <w:r w:rsidRPr="00624150">
        <w:rPr>
          <w:rFonts w:ascii="Times New Roman" w:eastAsia="宋体" w:hAnsi="Times New Roman" w:cs="Times New Roman"/>
        </w:rPr>
        <w:t>为功能单位来表示。</w:t>
      </w:r>
    </w:p>
    <w:p w:rsidR="00624150" w:rsidRPr="00624150" w:rsidRDefault="00624150" w:rsidP="00624150">
      <w:pPr>
        <w:rPr>
          <w:rFonts w:ascii="Arial" w:eastAsia="黑体" w:hAnsi="Arial" w:cs="Arial"/>
        </w:rPr>
      </w:pPr>
      <w:r w:rsidRPr="00624150">
        <w:rPr>
          <w:rFonts w:ascii="Arial" w:eastAsia="黑体" w:hAnsi="Arial" w:cs="Arial"/>
        </w:rPr>
        <w:t xml:space="preserve">5.2.3.2 </w:t>
      </w:r>
      <w:r w:rsidRPr="00624150">
        <w:rPr>
          <w:rFonts w:ascii="Arial" w:eastAsia="黑体" w:hAnsi="Arial" w:cs="Arial"/>
        </w:rPr>
        <w:t>生命周期清单分析</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报告中应提供考虑的生命周期阶段，说明每个阶段所考虑的清单因子及收集到的现场数据或背景数据，涉及到数据分配的情况应说明分配方法和结果。</w:t>
      </w:r>
    </w:p>
    <w:p w:rsidR="00624150" w:rsidRPr="00624150" w:rsidRDefault="00624150" w:rsidP="00624150">
      <w:pPr>
        <w:rPr>
          <w:rFonts w:ascii="Arial" w:eastAsia="黑体" w:hAnsi="Arial" w:cs="Arial"/>
        </w:rPr>
      </w:pPr>
      <w:r w:rsidRPr="00624150">
        <w:rPr>
          <w:rFonts w:ascii="Arial" w:eastAsia="黑体" w:hAnsi="Arial" w:cs="Arial"/>
        </w:rPr>
        <w:t xml:space="preserve">5.2.3.3 </w:t>
      </w:r>
      <w:r w:rsidRPr="00624150">
        <w:rPr>
          <w:rFonts w:ascii="Arial" w:eastAsia="黑体" w:hAnsi="Arial" w:cs="Arial"/>
        </w:rPr>
        <w:t>生命周期影响评价</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报告中应提供产品生命周期各阶段的不同影响类型的特征化值，并对不同影响类型（参见附录</w:t>
      </w:r>
      <w:r w:rsidRPr="00624150">
        <w:rPr>
          <w:rFonts w:ascii="Times New Roman" w:eastAsia="宋体" w:hAnsi="Times New Roman" w:cs="Times New Roman"/>
        </w:rPr>
        <w:t>A</w:t>
      </w:r>
      <w:r w:rsidRPr="00624150">
        <w:rPr>
          <w:rFonts w:ascii="Times New Roman" w:eastAsia="宋体" w:hAnsi="Times New Roman" w:cs="Times New Roman"/>
        </w:rPr>
        <w:t>）在各生命周期阶段的分布情况进行比较分析。</w:t>
      </w:r>
    </w:p>
    <w:p w:rsidR="00624150" w:rsidRPr="00624150" w:rsidRDefault="00624150" w:rsidP="00624150">
      <w:pPr>
        <w:rPr>
          <w:rFonts w:ascii="Arial" w:eastAsia="黑体" w:hAnsi="Arial" w:cs="Arial"/>
        </w:rPr>
      </w:pPr>
      <w:r w:rsidRPr="00624150">
        <w:rPr>
          <w:rFonts w:ascii="Arial" w:eastAsia="黑体" w:hAnsi="Arial" w:cs="Arial"/>
        </w:rPr>
        <w:t xml:space="preserve">5.2.3.4 </w:t>
      </w:r>
      <w:r w:rsidRPr="00624150">
        <w:rPr>
          <w:rFonts w:ascii="Arial" w:eastAsia="黑体" w:hAnsi="Arial" w:cs="Arial"/>
        </w:rPr>
        <w:t>绿色设计改进方案</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在分析指标的符合性评价结果以及生命周期评价结果的基础上，提出产品绿色设计改进的具体方案。</w:t>
      </w:r>
    </w:p>
    <w:p w:rsidR="00624150" w:rsidRPr="00624150" w:rsidRDefault="00624150" w:rsidP="00624150">
      <w:pPr>
        <w:rPr>
          <w:rFonts w:ascii="Arial" w:eastAsia="黑体" w:hAnsi="Arial" w:cs="Arial"/>
        </w:rPr>
      </w:pPr>
      <w:r w:rsidRPr="00624150">
        <w:rPr>
          <w:rFonts w:ascii="Arial" w:eastAsia="黑体" w:hAnsi="Arial" w:cs="Arial"/>
        </w:rPr>
        <w:t xml:space="preserve">5.2.4 </w:t>
      </w:r>
      <w:r w:rsidRPr="00624150">
        <w:rPr>
          <w:rFonts w:ascii="Arial" w:eastAsia="黑体" w:hAnsi="Arial" w:cs="Arial"/>
        </w:rPr>
        <w:t>评价报告主要结论</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应说明该产品对评价指标的符合性结论、生命周期评价结果、提出的改进方案，并根据评价结论初步判断该产品是否为绿色设计产品。</w:t>
      </w:r>
    </w:p>
    <w:p w:rsidR="00624150" w:rsidRPr="00624150" w:rsidRDefault="00624150" w:rsidP="00624150">
      <w:r w:rsidRPr="00624150">
        <w:rPr>
          <w:rFonts w:ascii="Arial" w:eastAsia="黑体" w:hAnsi="Arial" w:cs="Arial"/>
        </w:rPr>
        <w:t xml:space="preserve">5.2.5 </w:t>
      </w:r>
      <w:r w:rsidRPr="00624150">
        <w:rPr>
          <w:rFonts w:ascii="Arial" w:eastAsia="黑体" w:hAnsi="Arial" w:cs="Arial" w:hint="eastAsia"/>
        </w:rPr>
        <w:t>附件</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报告中应在附件中提供：</w:t>
      </w:r>
    </w:p>
    <w:p w:rsidR="00624150" w:rsidRPr="00624150" w:rsidRDefault="00624150" w:rsidP="00624150">
      <w:pPr>
        <w:ind w:left="420"/>
        <w:rPr>
          <w:rFonts w:ascii="Times New Roman" w:eastAsia="宋体" w:hAnsi="Times New Roman" w:cs="Times New Roman"/>
        </w:rPr>
      </w:pPr>
      <w:r w:rsidRPr="00624150">
        <w:rPr>
          <w:rFonts w:ascii="Times New Roman" w:eastAsia="宋体" w:hAnsi="Times New Roman" w:cs="Times New Roman"/>
        </w:rPr>
        <w:t xml:space="preserve">—— </w:t>
      </w:r>
      <w:r w:rsidRPr="00624150">
        <w:rPr>
          <w:rFonts w:ascii="Times New Roman" w:eastAsia="宋体" w:hAnsi="Times New Roman" w:cs="Times New Roman"/>
        </w:rPr>
        <w:t>产品原始包装图；</w:t>
      </w:r>
    </w:p>
    <w:p w:rsidR="00624150" w:rsidRPr="00624150" w:rsidRDefault="00624150" w:rsidP="00624150">
      <w:pPr>
        <w:ind w:left="420"/>
        <w:rPr>
          <w:rFonts w:ascii="Times New Roman" w:eastAsia="宋体" w:hAnsi="Times New Roman" w:cs="Times New Roman"/>
        </w:rPr>
      </w:pPr>
      <w:r w:rsidRPr="00624150">
        <w:rPr>
          <w:rFonts w:ascii="Times New Roman" w:eastAsia="宋体" w:hAnsi="Times New Roman" w:cs="Times New Roman"/>
        </w:rPr>
        <w:t xml:space="preserve">—— </w:t>
      </w:r>
      <w:r w:rsidRPr="00624150">
        <w:rPr>
          <w:rFonts w:ascii="Times New Roman" w:eastAsia="宋体" w:hAnsi="Times New Roman" w:cs="Times New Roman"/>
        </w:rPr>
        <w:t>产品生产材料清单；</w:t>
      </w:r>
    </w:p>
    <w:p w:rsidR="00624150" w:rsidRPr="00624150" w:rsidRDefault="00624150" w:rsidP="00624150">
      <w:pPr>
        <w:ind w:left="420"/>
        <w:rPr>
          <w:rFonts w:ascii="Times New Roman" w:eastAsia="宋体" w:hAnsi="Times New Roman" w:cs="Times New Roman"/>
        </w:rPr>
      </w:pPr>
      <w:r w:rsidRPr="00624150">
        <w:rPr>
          <w:rFonts w:ascii="Times New Roman" w:eastAsia="宋体" w:hAnsi="Times New Roman" w:cs="Times New Roman"/>
        </w:rPr>
        <w:t xml:space="preserve">—— </w:t>
      </w:r>
      <w:r w:rsidRPr="00624150">
        <w:rPr>
          <w:rFonts w:ascii="Times New Roman" w:eastAsia="宋体" w:hAnsi="Times New Roman" w:cs="Times New Roman"/>
        </w:rPr>
        <w:t>产品工艺表（产品生产工艺过程示意图等）；</w:t>
      </w:r>
    </w:p>
    <w:p w:rsidR="00624150" w:rsidRPr="00624150" w:rsidRDefault="00624150" w:rsidP="00624150">
      <w:pPr>
        <w:ind w:left="420"/>
        <w:rPr>
          <w:rFonts w:ascii="Times New Roman" w:eastAsia="宋体" w:hAnsi="Times New Roman" w:cs="Times New Roman"/>
        </w:rPr>
      </w:pPr>
      <w:r w:rsidRPr="00624150">
        <w:rPr>
          <w:rFonts w:ascii="Times New Roman" w:eastAsia="宋体" w:hAnsi="Times New Roman" w:cs="Times New Roman"/>
        </w:rPr>
        <w:t xml:space="preserve">—— </w:t>
      </w:r>
      <w:r w:rsidRPr="00624150">
        <w:rPr>
          <w:rFonts w:ascii="Times New Roman" w:eastAsia="宋体" w:hAnsi="Times New Roman" w:cs="Times New Roman"/>
        </w:rPr>
        <w:t>各单元过程的数据收集表；</w:t>
      </w:r>
    </w:p>
    <w:p w:rsidR="00624150" w:rsidRPr="00624150" w:rsidRDefault="00624150" w:rsidP="00624150">
      <w:pPr>
        <w:ind w:left="420"/>
        <w:rPr>
          <w:rFonts w:ascii="Times New Roman" w:eastAsia="宋体" w:hAnsi="Times New Roman" w:cs="Times New Roman"/>
        </w:rPr>
      </w:pPr>
      <w:r w:rsidRPr="00624150">
        <w:rPr>
          <w:rFonts w:ascii="Times New Roman" w:eastAsia="宋体" w:hAnsi="Times New Roman" w:cs="Times New Roman"/>
        </w:rPr>
        <w:t xml:space="preserve">—— </w:t>
      </w:r>
      <w:r w:rsidRPr="00624150">
        <w:rPr>
          <w:rFonts w:ascii="Times New Roman" w:eastAsia="宋体" w:hAnsi="Times New Roman" w:cs="Times New Roman"/>
        </w:rPr>
        <w:t>其他。</w:t>
      </w:r>
    </w:p>
    <w:p w:rsidR="00624150" w:rsidRPr="00624150" w:rsidRDefault="00624150" w:rsidP="00624150">
      <w:pPr>
        <w:ind w:firstLineChars="200" w:firstLine="420"/>
        <w:rPr>
          <w:rFonts w:ascii="Times New Roman" w:eastAsia="宋体" w:hAnsi="Times New Roman" w:cs="Times New Roman"/>
        </w:rPr>
      </w:pPr>
    </w:p>
    <w:p w:rsidR="00624150" w:rsidRPr="00624150" w:rsidRDefault="00624150" w:rsidP="00624150">
      <w:pPr>
        <w:pStyle w:val="a"/>
        <w:numPr>
          <w:ilvl w:val="0"/>
          <w:numId w:val="0"/>
        </w:numPr>
        <w:spacing w:beforeLines="0" w:afterLines="0"/>
        <w:outlineLvl w:val="0"/>
        <w:rPr>
          <w:rFonts w:hAnsi="黑体" w:cs="Arial"/>
        </w:rPr>
      </w:pPr>
      <w:bookmarkStart w:id="18" w:name="_Toc528080543"/>
      <w:bookmarkStart w:id="19" w:name="_Toc5095604"/>
      <w:r w:rsidRPr="00624150">
        <w:rPr>
          <w:rFonts w:hAnsi="黑体" w:cs="Arial"/>
        </w:rPr>
        <w:t>6 评价方法</w:t>
      </w:r>
      <w:bookmarkEnd w:id="18"/>
      <w:bookmarkEnd w:id="19"/>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hint="eastAsia"/>
        </w:rPr>
        <w:t>可按照</w:t>
      </w:r>
      <w:r w:rsidRPr="00624150">
        <w:rPr>
          <w:rFonts w:ascii="Times New Roman" w:eastAsia="宋体" w:hAnsi="Times New Roman" w:cs="Times New Roman"/>
        </w:rPr>
        <w:t>4.1</w:t>
      </w:r>
      <w:r w:rsidRPr="00624150">
        <w:rPr>
          <w:rFonts w:ascii="Times New Roman" w:eastAsia="宋体" w:hAnsi="Times New Roman" w:cs="Times New Roman"/>
        </w:rPr>
        <w:t>基本要求和</w:t>
      </w:r>
      <w:r w:rsidRPr="00624150">
        <w:rPr>
          <w:rFonts w:ascii="Times New Roman" w:eastAsia="宋体" w:hAnsi="Times New Roman" w:cs="Times New Roman"/>
        </w:rPr>
        <w:t>4.2</w:t>
      </w:r>
      <w:r w:rsidRPr="00624150">
        <w:rPr>
          <w:rFonts w:ascii="Times New Roman" w:eastAsia="宋体" w:hAnsi="Times New Roman" w:cs="Times New Roman"/>
        </w:rPr>
        <w:t>评价指标要求开展自我评价或第三方评价，同时满足以下条件，并在</w:t>
      </w:r>
      <w:r w:rsidRPr="00624150">
        <w:rPr>
          <w:rFonts w:ascii="Times New Roman" w:eastAsia="宋体" w:hAnsi="Times New Roman" w:cs="Times New Roman"/>
        </w:rPr>
        <w:t>www.green-label.org</w:t>
      </w:r>
      <w:r w:rsidRPr="00624150">
        <w:rPr>
          <w:rFonts w:ascii="Times New Roman" w:eastAsia="宋体" w:hAnsi="Times New Roman" w:cs="Times New Roman"/>
        </w:rPr>
        <w:t>按照相关程序要求经过公示无异议后的</w:t>
      </w:r>
      <w:r w:rsidRPr="00624150">
        <w:rPr>
          <w:rFonts w:ascii="Times New Roman" w:eastAsia="宋体" w:hAnsi="Times New Roman" w:cs="Times New Roman" w:hint="eastAsia"/>
        </w:rPr>
        <w:t>一体化压缩机</w:t>
      </w:r>
      <w:r w:rsidRPr="00624150">
        <w:rPr>
          <w:rFonts w:ascii="Times New Roman" w:eastAsia="宋体" w:hAnsi="Times New Roman" w:cs="Times New Roman"/>
        </w:rPr>
        <w:t>可称为绿色设计产品，并可按照</w:t>
      </w:r>
      <w:r w:rsidRPr="00624150">
        <w:rPr>
          <w:rFonts w:ascii="Times New Roman" w:eastAsia="宋体" w:hAnsi="Times New Roman" w:cs="Times New Roman"/>
        </w:rPr>
        <w:t>GB/T 32162</w:t>
      </w:r>
      <w:r w:rsidRPr="00624150">
        <w:rPr>
          <w:rFonts w:ascii="Times New Roman" w:eastAsia="宋体" w:hAnsi="Times New Roman" w:cs="Times New Roman"/>
        </w:rPr>
        <w:t>要求粘贴标识。</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rPr>
        <w:t xml:space="preserve">a) </w:t>
      </w:r>
      <w:r w:rsidRPr="00624150">
        <w:rPr>
          <w:rFonts w:ascii="Times New Roman" w:eastAsia="宋体" w:hAnsi="Times New Roman" w:cs="Times New Roman"/>
        </w:rPr>
        <w:t>满足基本要求（见</w:t>
      </w:r>
      <w:r w:rsidRPr="00624150">
        <w:rPr>
          <w:rFonts w:ascii="Times New Roman" w:eastAsia="宋体" w:hAnsi="Times New Roman" w:cs="Times New Roman"/>
        </w:rPr>
        <w:t>4.1</w:t>
      </w:r>
      <w:r w:rsidRPr="00624150">
        <w:rPr>
          <w:rFonts w:ascii="Times New Roman" w:eastAsia="宋体" w:hAnsi="Times New Roman" w:cs="Times New Roman"/>
        </w:rPr>
        <w:t>）和评价指标要求（见</w:t>
      </w:r>
      <w:r w:rsidRPr="00624150">
        <w:rPr>
          <w:rFonts w:ascii="Times New Roman" w:eastAsia="宋体" w:hAnsi="Times New Roman" w:cs="Times New Roman"/>
        </w:rPr>
        <w:t>4.2</w:t>
      </w:r>
      <w:r w:rsidRPr="00624150">
        <w:rPr>
          <w:rFonts w:ascii="Times New Roman" w:eastAsia="宋体" w:hAnsi="Times New Roman" w:cs="Times New Roman"/>
        </w:rPr>
        <w:t>）；</w:t>
      </w:r>
    </w:p>
    <w:p w:rsidR="00624150" w:rsidRPr="00624150" w:rsidRDefault="00624150" w:rsidP="00624150">
      <w:pPr>
        <w:ind w:firstLineChars="200" w:firstLine="420"/>
        <w:rPr>
          <w:rFonts w:ascii="Times New Roman" w:eastAsia="宋体" w:hAnsi="Times New Roman" w:cs="Times New Roman"/>
        </w:rPr>
      </w:pPr>
      <w:r w:rsidRPr="00624150">
        <w:rPr>
          <w:rFonts w:ascii="Times New Roman" w:eastAsia="宋体" w:hAnsi="Times New Roman" w:cs="Times New Roman"/>
        </w:rPr>
        <w:t xml:space="preserve">b) </w:t>
      </w:r>
      <w:r w:rsidRPr="00624150">
        <w:rPr>
          <w:rFonts w:ascii="Times New Roman" w:eastAsia="宋体" w:hAnsi="Times New Roman" w:cs="Times New Roman"/>
        </w:rPr>
        <w:t>按照</w:t>
      </w:r>
      <w:r w:rsidRPr="00624150">
        <w:rPr>
          <w:rFonts w:ascii="Times New Roman" w:eastAsia="宋体" w:hAnsi="Times New Roman" w:cs="Times New Roman"/>
        </w:rPr>
        <w:t>5</w:t>
      </w:r>
      <w:r w:rsidRPr="00624150">
        <w:rPr>
          <w:rFonts w:ascii="Times New Roman" w:eastAsia="宋体" w:hAnsi="Times New Roman" w:cs="Times New Roman"/>
        </w:rPr>
        <w:t>提供</w:t>
      </w:r>
      <w:r w:rsidRPr="00624150">
        <w:rPr>
          <w:rFonts w:ascii="Times New Roman" w:eastAsia="宋体" w:hAnsi="Times New Roman" w:cs="Times New Roman" w:hint="eastAsia"/>
        </w:rPr>
        <w:t>一体化压缩机</w:t>
      </w:r>
      <w:r w:rsidRPr="00624150">
        <w:rPr>
          <w:rFonts w:ascii="Times New Roman" w:eastAsia="宋体" w:hAnsi="Times New Roman" w:cs="Times New Roman"/>
        </w:rPr>
        <w:t>生命周期评价报告。</w:t>
      </w:r>
    </w:p>
    <w:p w:rsidR="00624150" w:rsidRPr="00624150" w:rsidRDefault="00624150" w:rsidP="00624150">
      <w:pPr>
        <w:ind w:firstLineChars="200" w:firstLine="420"/>
        <w:rPr>
          <w:rFonts w:ascii="Times New Roman" w:eastAsia="宋体" w:hAnsi="Times New Roman" w:cs="Times New Roman"/>
        </w:rPr>
        <w:sectPr w:rsidR="00624150" w:rsidRPr="00624150">
          <w:pgSz w:w="11906" w:h="16838"/>
          <w:pgMar w:top="1440" w:right="1800" w:bottom="1440" w:left="1800" w:header="851" w:footer="992" w:gutter="0"/>
          <w:cols w:space="425"/>
          <w:docGrid w:type="lines" w:linePitch="312"/>
        </w:sectPr>
      </w:pPr>
      <w:r w:rsidRPr="00624150">
        <w:rPr>
          <w:rFonts w:ascii="Times New Roman" w:eastAsia="宋体" w:hAnsi="Times New Roman" w:cs="Times New Roman" w:hint="eastAsia"/>
        </w:rPr>
        <w:t>按照</w:t>
      </w:r>
      <w:r w:rsidRPr="00624150">
        <w:rPr>
          <w:rFonts w:ascii="Times New Roman" w:eastAsia="宋体" w:hAnsi="Times New Roman" w:cs="Times New Roman"/>
        </w:rPr>
        <w:t>GB/T 32162</w:t>
      </w:r>
      <w:r w:rsidRPr="00624150">
        <w:rPr>
          <w:rFonts w:ascii="Times New Roman" w:eastAsia="宋体" w:hAnsi="Times New Roman" w:cs="Times New Roman"/>
        </w:rPr>
        <w:t>要求粘贴标识的产品以各种形式进行相关信息自我声明时，声明内容应包括但不限于</w:t>
      </w:r>
      <w:r w:rsidRPr="00624150">
        <w:rPr>
          <w:rFonts w:ascii="Times New Roman" w:eastAsia="宋体" w:hAnsi="Times New Roman" w:cs="Times New Roman"/>
        </w:rPr>
        <w:t>4.1</w:t>
      </w:r>
      <w:r w:rsidRPr="00624150">
        <w:rPr>
          <w:rFonts w:ascii="Times New Roman" w:eastAsia="宋体" w:hAnsi="Times New Roman" w:cs="Times New Roman"/>
        </w:rPr>
        <w:t>和</w:t>
      </w:r>
      <w:r w:rsidRPr="00624150">
        <w:rPr>
          <w:rFonts w:ascii="Times New Roman" w:eastAsia="宋体" w:hAnsi="Times New Roman" w:cs="Times New Roman"/>
        </w:rPr>
        <w:t>4.2</w:t>
      </w:r>
      <w:r w:rsidRPr="00624150">
        <w:rPr>
          <w:rFonts w:ascii="Times New Roman" w:eastAsia="宋体" w:hAnsi="Times New Roman" w:cs="Times New Roman"/>
        </w:rPr>
        <w:t>的要求，但需要提供一定的符合有关要求的验证说明材料。</w:t>
      </w:r>
    </w:p>
    <w:p w:rsidR="00624150" w:rsidRPr="00624150" w:rsidRDefault="00624150" w:rsidP="00624150">
      <w:pPr>
        <w:jc w:val="center"/>
        <w:rPr>
          <w:rFonts w:ascii="黑体" w:eastAsia="黑体" w:hAnsi="黑体"/>
          <w:sz w:val="28"/>
        </w:rPr>
      </w:pPr>
      <w:r w:rsidRPr="00624150">
        <w:rPr>
          <w:rFonts w:ascii="黑体" w:eastAsia="黑体" w:hAnsi="黑体" w:hint="eastAsia"/>
          <w:sz w:val="28"/>
        </w:rPr>
        <w:lastRenderedPageBreak/>
        <w:t>附录A</w:t>
      </w:r>
    </w:p>
    <w:p w:rsidR="00624150" w:rsidRPr="00624150" w:rsidRDefault="00624150" w:rsidP="00624150">
      <w:pPr>
        <w:jc w:val="center"/>
        <w:rPr>
          <w:rFonts w:ascii="黑体" w:eastAsia="黑体" w:hAnsi="黑体"/>
          <w:sz w:val="28"/>
        </w:rPr>
      </w:pPr>
      <w:r w:rsidRPr="00624150">
        <w:rPr>
          <w:rFonts w:ascii="黑体" w:eastAsia="黑体" w:hAnsi="黑体" w:hint="eastAsia"/>
          <w:sz w:val="28"/>
        </w:rPr>
        <w:t>（资料性附录）</w:t>
      </w:r>
    </w:p>
    <w:p w:rsidR="00624150" w:rsidRPr="00624150" w:rsidRDefault="00624150" w:rsidP="00624150">
      <w:pPr>
        <w:jc w:val="center"/>
        <w:rPr>
          <w:rFonts w:ascii="黑体" w:eastAsia="黑体" w:hAnsi="黑体" w:cs="Times New Roman"/>
          <w:sz w:val="40"/>
          <w:szCs w:val="28"/>
        </w:rPr>
      </w:pPr>
      <w:r w:rsidRPr="00624150">
        <w:rPr>
          <w:rFonts w:ascii="黑体" w:eastAsia="黑体" w:hAnsi="黑体" w:hint="eastAsia"/>
          <w:sz w:val="28"/>
        </w:rPr>
        <w:t>一体化压缩机生命周期评价方法</w:t>
      </w:r>
    </w:p>
    <w:p w:rsidR="00624150" w:rsidRPr="00624150" w:rsidRDefault="00624150" w:rsidP="00624150">
      <w:pPr>
        <w:pStyle w:val="Default"/>
        <w:spacing w:before="240" w:after="240"/>
        <w:rPr>
          <w:sz w:val="21"/>
          <w:szCs w:val="21"/>
        </w:rPr>
      </w:pPr>
      <w:r w:rsidRPr="00624150">
        <w:rPr>
          <w:sz w:val="21"/>
          <w:szCs w:val="21"/>
        </w:rPr>
        <w:t xml:space="preserve">A.1 </w:t>
      </w:r>
      <w:r w:rsidRPr="00624150">
        <w:rPr>
          <w:rFonts w:hint="eastAsia"/>
          <w:sz w:val="21"/>
          <w:szCs w:val="21"/>
        </w:rPr>
        <w:t>目的</w:t>
      </w:r>
      <w:r w:rsidRPr="00624150">
        <w:rPr>
          <w:sz w:val="21"/>
          <w:szCs w:val="21"/>
        </w:rPr>
        <w:t xml:space="preserve"> </w:t>
      </w:r>
    </w:p>
    <w:p w:rsidR="00624150" w:rsidRPr="00624150" w:rsidRDefault="00624150" w:rsidP="00624150">
      <w:pPr>
        <w:ind w:firstLineChars="200" w:firstLine="420"/>
        <w:rPr>
          <w:rFonts w:ascii="宋体" w:eastAsia="宋体" w:cs="宋体"/>
          <w:szCs w:val="21"/>
        </w:rPr>
      </w:pPr>
      <w:r w:rsidRPr="00624150">
        <w:rPr>
          <w:rFonts w:ascii="宋体" w:eastAsia="宋体" w:cs="宋体" w:hint="eastAsia"/>
          <w:szCs w:val="21"/>
        </w:rPr>
        <w:t>一体化压缩机原料的获取、生产、运输、销售、使用到最终废弃处理的过程中对环境造成的影响，通过评价一体化压缩机全生命周期的环境影响大小，提出一体化压缩机绿色设计改进方案，从而大幅提升一体化压缩机的生态友好性。</w:t>
      </w:r>
    </w:p>
    <w:p w:rsidR="00624150" w:rsidRPr="00624150" w:rsidRDefault="00624150" w:rsidP="00624150">
      <w:pPr>
        <w:pStyle w:val="Default"/>
        <w:spacing w:before="240" w:after="240"/>
        <w:rPr>
          <w:sz w:val="21"/>
          <w:szCs w:val="21"/>
        </w:rPr>
      </w:pPr>
      <w:r w:rsidRPr="00624150">
        <w:rPr>
          <w:sz w:val="21"/>
          <w:szCs w:val="21"/>
        </w:rPr>
        <w:t>A.2</w:t>
      </w:r>
      <w:r w:rsidRPr="00624150">
        <w:rPr>
          <w:rFonts w:hint="eastAsia"/>
          <w:sz w:val="21"/>
          <w:szCs w:val="21"/>
        </w:rPr>
        <w:t>范围</w:t>
      </w:r>
      <w:r w:rsidRPr="00624150">
        <w:rPr>
          <w:sz w:val="21"/>
          <w:szCs w:val="21"/>
        </w:rPr>
        <w:t xml:space="preserve"> </w:t>
      </w:r>
    </w:p>
    <w:p w:rsidR="00624150" w:rsidRPr="00624150" w:rsidRDefault="00624150" w:rsidP="00624150">
      <w:pPr>
        <w:ind w:firstLineChars="200" w:firstLine="420"/>
        <w:rPr>
          <w:rFonts w:ascii="宋体" w:eastAsia="宋体" w:cs="宋体"/>
          <w:szCs w:val="21"/>
        </w:rPr>
      </w:pPr>
      <w:r w:rsidRPr="00624150">
        <w:rPr>
          <w:rFonts w:ascii="宋体" w:eastAsia="宋体" w:cs="宋体" w:hint="eastAsia"/>
          <w:szCs w:val="21"/>
        </w:rPr>
        <w:t>应根据评价目的确定评价范围，确保两者相适应。定义生命周期评价范围时，应考虑以下内容并作出清晰描述：</w:t>
      </w:r>
    </w:p>
    <w:p w:rsidR="00624150" w:rsidRPr="00624150" w:rsidRDefault="00624150" w:rsidP="00624150">
      <w:pPr>
        <w:pStyle w:val="Default"/>
        <w:spacing w:before="240" w:after="240"/>
        <w:rPr>
          <w:sz w:val="21"/>
          <w:szCs w:val="21"/>
        </w:rPr>
      </w:pPr>
      <w:r w:rsidRPr="00624150">
        <w:rPr>
          <w:sz w:val="21"/>
          <w:szCs w:val="21"/>
        </w:rPr>
        <w:t>A.2.1</w:t>
      </w:r>
      <w:r w:rsidRPr="00624150">
        <w:rPr>
          <w:rFonts w:hint="eastAsia"/>
          <w:sz w:val="21"/>
          <w:szCs w:val="21"/>
        </w:rPr>
        <w:t>功能单位</w:t>
      </w:r>
      <w:r w:rsidRPr="00624150">
        <w:rPr>
          <w:sz w:val="21"/>
          <w:szCs w:val="21"/>
        </w:rPr>
        <w:t xml:space="preserve"> </w:t>
      </w:r>
    </w:p>
    <w:p w:rsidR="00624150" w:rsidRPr="00624150" w:rsidRDefault="00624150" w:rsidP="00624150">
      <w:pPr>
        <w:ind w:firstLineChars="200" w:firstLine="420"/>
        <w:rPr>
          <w:rFonts w:ascii="宋体" w:eastAsia="宋体" w:cs="宋体"/>
          <w:szCs w:val="21"/>
        </w:rPr>
      </w:pPr>
      <w:r w:rsidRPr="00624150">
        <w:rPr>
          <w:rFonts w:ascii="宋体" w:eastAsia="宋体" w:cs="宋体" w:hint="eastAsia"/>
          <w:szCs w:val="21"/>
        </w:rPr>
        <w:t>功能单位必须是明确规定并且可测量的。本标准以一台一体化压缩机为功能单位来表示。同时考虑具体功能、使用寿命、是否包括包装材料等。</w:t>
      </w:r>
    </w:p>
    <w:p w:rsidR="00624150" w:rsidRPr="00624150" w:rsidRDefault="00624150" w:rsidP="00624150">
      <w:pPr>
        <w:pStyle w:val="Default"/>
        <w:spacing w:before="240" w:after="240"/>
        <w:rPr>
          <w:sz w:val="21"/>
          <w:szCs w:val="21"/>
        </w:rPr>
      </w:pPr>
      <w:r w:rsidRPr="00624150">
        <w:rPr>
          <w:sz w:val="21"/>
          <w:szCs w:val="21"/>
        </w:rPr>
        <w:t>A.2.2</w:t>
      </w:r>
      <w:r w:rsidRPr="00624150">
        <w:rPr>
          <w:rFonts w:hint="eastAsia"/>
          <w:sz w:val="21"/>
          <w:szCs w:val="21"/>
        </w:rPr>
        <w:t>系统边界</w:t>
      </w:r>
      <w:r w:rsidRPr="00624150">
        <w:rPr>
          <w:sz w:val="21"/>
          <w:szCs w:val="21"/>
        </w:rPr>
        <w:t xml:space="preserve"> </w:t>
      </w:r>
    </w:p>
    <w:p w:rsidR="00624150" w:rsidRPr="00624150" w:rsidRDefault="00624150" w:rsidP="00624150">
      <w:pPr>
        <w:pStyle w:val="Default"/>
        <w:spacing w:before="240" w:after="240"/>
        <w:ind w:firstLineChars="200" w:firstLine="420"/>
        <w:rPr>
          <w:rFonts w:ascii="Times New Roman" w:eastAsia="宋体" w:hAnsi="Times New Roman" w:cs="Times New Roman"/>
          <w:sz w:val="21"/>
          <w:szCs w:val="21"/>
        </w:rPr>
      </w:pPr>
      <w:r w:rsidRPr="00624150">
        <w:rPr>
          <w:rFonts w:ascii="宋体" w:eastAsia="宋体" w:cs="宋体" w:hint="eastAsia"/>
          <w:sz w:val="21"/>
          <w:szCs w:val="21"/>
        </w:rPr>
        <w:t>本标准界定的系统边界包括资源开采、原材料及辅料生产、能源生产、产品生产、产品</w:t>
      </w:r>
      <w:r w:rsidRPr="00624150">
        <w:rPr>
          <w:rFonts w:ascii="Times New Roman" w:eastAsia="宋体" w:hAnsi="Times New Roman" w:cs="Times New Roman"/>
          <w:sz w:val="21"/>
          <w:szCs w:val="21"/>
        </w:rPr>
        <w:t>使用到产品报废、回收、循环利用及处置、主要原材料</w:t>
      </w: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部件</w:t>
      </w: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整机的运输等生命周期阶段，包括但不限于如下过程：</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1) </w:t>
      </w:r>
      <w:r w:rsidRPr="00624150">
        <w:rPr>
          <w:rFonts w:ascii="Times New Roman" w:eastAsia="宋体" w:hAnsi="Times New Roman" w:cs="Times New Roman"/>
          <w:sz w:val="21"/>
          <w:szCs w:val="21"/>
        </w:rPr>
        <w:t>零部件和元器件的原材料开采与生产；</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2) </w:t>
      </w:r>
      <w:r w:rsidRPr="00624150">
        <w:rPr>
          <w:rFonts w:ascii="Times New Roman" w:eastAsia="宋体" w:hAnsi="Times New Roman" w:cs="Times New Roman"/>
          <w:sz w:val="21"/>
          <w:szCs w:val="21"/>
        </w:rPr>
        <w:t>零部件的生产组装；</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3) </w:t>
      </w:r>
      <w:r w:rsidRPr="00624150">
        <w:rPr>
          <w:rFonts w:ascii="Times New Roman" w:eastAsia="宋体" w:hAnsi="Times New Roman" w:cs="Times New Roman"/>
          <w:sz w:val="21"/>
          <w:szCs w:val="21"/>
        </w:rPr>
        <w:t>辅料生产；</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4) </w:t>
      </w:r>
      <w:r w:rsidRPr="00624150">
        <w:rPr>
          <w:rFonts w:ascii="Times New Roman" w:eastAsia="宋体" w:hAnsi="Times New Roman" w:cs="Times New Roman"/>
          <w:sz w:val="21"/>
          <w:szCs w:val="21"/>
        </w:rPr>
        <w:t>能源生产（如重油、煤焦油、天然气、石油焦粉、煤气、电力）；</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5) </w:t>
      </w:r>
      <w:r w:rsidRPr="00624150">
        <w:rPr>
          <w:rFonts w:ascii="Times New Roman" w:eastAsia="宋体" w:hAnsi="Times New Roman" w:cs="Times New Roman"/>
          <w:sz w:val="21"/>
          <w:szCs w:val="21"/>
        </w:rPr>
        <w:t>原料及能源的运输；</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6) </w:t>
      </w:r>
      <w:r w:rsidRPr="00624150">
        <w:rPr>
          <w:rFonts w:ascii="Times New Roman" w:eastAsia="宋体" w:hAnsi="Times New Roman" w:cs="Times New Roman"/>
          <w:sz w:val="21"/>
          <w:szCs w:val="21"/>
        </w:rPr>
        <w:t>产品正常运作过程中的能源和物质消耗，待机状态下的能耗；</w:t>
      </w:r>
      <w:r w:rsidRPr="00624150">
        <w:rPr>
          <w:rFonts w:ascii="Times New Roman" w:eastAsia="宋体" w:hAnsi="Times New Roman" w:cs="Times New Roman"/>
          <w:sz w:val="21"/>
          <w:szCs w:val="21"/>
        </w:rPr>
        <w:t xml:space="preserve"> </w:t>
      </w:r>
    </w:p>
    <w:p w:rsidR="00624150" w:rsidRPr="00624150" w:rsidRDefault="00624150" w:rsidP="00624150">
      <w:pPr>
        <w:pStyle w:val="Default"/>
        <w:spacing w:before="240" w:after="240"/>
        <w:ind w:leftChars="200" w:left="420"/>
        <w:rPr>
          <w:rFonts w:ascii="Times New Roman" w:eastAsia="宋体" w:hAnsi="Times New Roman" w:cs="Times New Roman"/>
          <w:sz w:val="21"/>
          <w:szCs w:val="21"/>
        </w:rPr>
      </w:pPr>
      <w:r w:rsidRPr="00624150">
        <w:rPr>
          <w:rFonts w:ascii="Times New Roman" w:eastAsia="宋体" w:hAnsi="Times New Roman" w:cs="Times New Roman"/>
          <w:sz w:val="20"/>
          <w:szCs w:val="20"/>
        </w:rPr>
        <w:t xml:space="preserve">7) </w:t>
      </w:r>
      <w:r w:rsidRPr="00624150">
        <w:rPr>
          <w:rFonts w:ascii="Times New Roman" w:eastAsia="宋体" w:hAnsi="Times New Roman" w:cs="Times New Roman"/>
          <w:sz w:val="21"/>
          <w:szCs w:val="21"/>
        </w:rPr>
        <w:t>产品废弃后的回收、拆解、循环利用和处置。</w:t>
      </w:r>
      <w:r w:rsidRPr="00624150">
        <w:rPr>
          <w:rFonts w:ascii="Times New Roman" w:eastAsia="宋体" w:hAnsi="Times New Roman" w:cs="Times New Roman"/>
          <w:sz w:val="21"/>
          <w:szCs w:val="21"/>
        </w:rPr>
        <w:t xml:space="preserve"> </w:t>
      </w:r>
    </w:p>
    <w:p w:rsidR="00624150" w:rsidRPr="00624150" w:rsidRDefault="00624150" w:rsidP="00624150">
      <w:pPr>
        <w:ind w:firstLineChars="200" w:firstLine="420"/>
      </w:pPr>
    </w:p>
    <w:p w:rsidR="00624150" w:rsidRPr="00624150" w:rsidRDefault="00624150" w:rsidP="00624150">
      <w:pPr>
        <w:ind w:firstLineChars="200" w:firstLine="420"/>
      </w:pPr>
    </w:p>
    <w:p w:rsidR="00624150" w:rsidRPr="00624150" w:rsidRDefault="00624150" w:rsidP="00624150">
      <w:pPr>
        <w:jc w:val="center"/>
        <w:rPr>
          <w:rFonts w:ascii="Arial" w:eastAsia="黑体" w:hAnsi="Arial" w:cs="Arial"/>
          <w:sz w:val="18"/>
          <w:szCs w:val="18"/>
        </w:rPr>
      </w:pPr>
      <w:r w:rsidRPr="00624150">
        <w:rPr>
          <w:rFonts w:ascii="Arial" w:eastAsia="黑体" w:hAnsi="Arial" w:cs="Arial"/>
          <w:sz w:val="18"/>
          <w:szCs w:val="18"/>
        </w:rPr>
        <w:t>图</w:t>
      </w:r>
      <w:r w:rsidRPr="00624150">
        <w:rPr>
          <w:rFonts w:ascii="Arial" w:eastAsia="黑体" w:hAnsi="Arial" w:cs="Arial"/>
          <w:sz w:val="18"/>
          <w:szCs w:val="18"/>
        </w:rPr>
        <w:t xml:space="preserve">A.1 </w:t>
      </w:r>
      <w:r w:rsidRPr="00624150">
        <w:rPr>
          <w:rFonts w:ascii="Arial" w:eastAsia="黑体" w:hAnsi="Arial" w:cs="Arial" w:hint="eastAsia"/>
          <w:sz w:val="18"/>
          <w:szCs w:val="18"/>
        </w:rPr>
        <w:t>一体化压缩机</w:t>
      </w:r>
      <w:r w:rsidRPr="00624150">
        <w:rPr>
          <w:rFonts w:ascii="Arial" w:eastAsia="黑体" w:hAnsi="Arial" w:cs="Arial"/>
          <w:sz w:val="18"/>
          <w:szCs w:val="18"/>
        </w:rPr>
        <w:t>生命周期系统边界图</w:t>
      </w:r>
    </w:p>
    <w:p w:rsidR="00624150" w:rsidRPr="00624150" w:rsidRDefault="00624150" w:rsidP="00624150">
      <w:pPr>
        <w:pStyle w:val="Default"/>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LCA</w:t>
      </w:r>
      <w:r w:rsidRPr="00624150">
        <w:rPr>
          <w:rFonts w:ascii="Times New Roman" w:eastAsia="宋体" w:hAnsi="Times New Roman" w:cs="Times New Roman"/>
          <w:sz w:val="21"/>
          <w:szCs w:val="21"/>
        </w:rPr>
        <w:t>研究的时间应在规定的期限内。数据应反映具有代表性的时期（取最近三年内有效</w:t>
      </w:r>
      <w:r w:rsidRPr="00624150">
        <w:rPr>
          <w:rFonts w:ascii="Times New Roman" w:eastAsia="宋体" w:hAnsi="Times New Roman" w:cs="Times New Roman"/>
          <w:sz w:val="21"/>
          <w:szCs w:val="21"/>
        </w:rPr>
        <w:lastRenderedPageBreak/>
        <w:t>值）。如果未能取到三年内有效值，应做具体说明。</w:t>
      </w:r>
    </w:p>
    <w:p w:rsidR="00624150" w:rsidRPr="00624150" w:rsidRDefault="00624150" w:rsidP="00624150">
      <w:pPr>
        <w:pStyle w:val="Default"/>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hint="eastAsia"/>
          <w:sz w:val="21"/>
          <w:szCs w:val="21"/>
        </w:rPr>
        <w:t>原材料数据应是在参与产品的生产和使用的地点</w:t>
      </w: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地区。</w:t>
      </w:r>
    </w:p>
    <w:p w:rsidR="00624150" w:rsidRPr="00624150" w:rsidRDefault="00624150" w:rsidP="00624150">
      <w:pPr>
        <w:pStyle w:val="Default"/>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hint="eastAsia"/>
          <w:sz w:val="21"/>
          <w:szCs w:val="21"/>
        </w:rPr>
        <w:t>生产过程数据应是在最终产品的生产中所涉及的地点</w:t>
      </w: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地区。</w:t>
      </w:r>
    </w:p>
    <w:p w:rsidR="00624150" w:rsidRPr="00624150" w:rsidRDefault="00624150" w:rsidP="00624150">
      <w:pPr>
        <w:ind w:firstLineChars="200" w:firstLine="360"/>
        <w:rPr>
          <w:sz w:val="18"/>
          <w:szCs w:val="18"/>
        </w:rPr>
      </w:pPr>
    </w:p>
    <w:p w:rsidR="00624150" w:rsidRPr="00624150" w:rsidRDefault="00624150" w:rsidP="00624150">
      <w:pPr>
        <w:pStyle w:val="Default"/>
        <w:spacing w:before="240" w:after="240"/>
        <w:rPr>
          <w:sz w:val="21"/>
          <w:szCs w:val="21"/>
        </w:rPr>
      </w:pPr>
      <w:r w:rsidRPr="00624150">
        <w:rPr>
          <w:sz w:val="21"/>
          <w:szCs w:val="21"/>
        </w:rPr>
        <w:t>A.2.3</w:t>
      </w:r>
      <w:r w:rsidRPr="00624150">
        <w:rPr>
          <w:rFonts w:hint="eastAsia"/>
          <w:sz w:val="21"/>
          <w:szCs w:val="21"/>
        </w:rPr>
        <w:t>数据取舍原则</w:t>
      </w:r>
      <w:r w:rsidRPr="00624150">
        <w:rPr>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hint="eastAsia"/>
          <w:sz w:val="21"/>
          <w:szCs w:val="21"/>
        </w:rPr>
        <w:t>单元过程数据种类很多，应对数据进行适当的取舍，原则如下：</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能源的所有输入均列出；</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原料的所有输入均列出；</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辅助材料质量小于原来总消耗</w:t>
      </w:r>
      <w:r w:rsidRPr="00624150">
        <w:rPr>
          <w:rFonts w:ascii="宋体" w:eastAsia="宋体" w:cs="宋体"/>
          <w:sz w:val="21"/>
          <w:szCs w:val="21"/>
        </w:rPr>
        <w:t>0.3%</w:t>
      </w:r>
      <w:r w:rsidRPr="00624150">
        <w:rPr>
          <w:rFonts w:ascii="宋体" w:eastAsia="宋体" w:cs="宋体" w:hint="eastAsia"/>
          <w:sz w:val="21"/>
          <w:szCs w:val="21"/>
        </w:rPr>
        <w:t>的项目输入可忽略；</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大气、水体的各种排放均列出；</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小于固体废弃物排放总量</w:t>
      </w:r>
      <w:r w:rsidRPr="00624150">
        <w:rPr>
          <w:rFonts w:ascii="宋体" w:eastAsia="宋体" w:cs="宋体"/>
          <w:sz w:val="21"/>
          <w:szCs w:val="21"/>
        </w:rPr>
        <w:t>1%</w:t>
      </w:r>
      <w:r w:rsidRPr="00624150">
        <w:rPr>
          <w:rFonts w:ascii="宋体" w:eastAsia="宋体" w:cs="宋体" w:hint="eastAsia"/>
          <w:sz w:val="21"/>
          <w:szCs w:val="21"/>
        </w:rPr>
        <w:t>的一般性固体废弃物可忽略；</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道路与厂房的基础设施、各工序的设备、厂区内人员及生活设施的消耗和排放，均忽略；</w:t>
      </w:r>
      <w:r w:rsidRPr="00624150">
        <w:rPr>
          <w:rFonts w:ascii="宋体" w:eastAsia="宋体" w:cs="宋体"/>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sz w:val="21"/>
          <w:szCs w:val="21"/>
        </w:rPr>
        <w:t>——</w:t>
      </w:r>
      <w:r w:rsidRPr="00624150">
        <w:rPr>
          <w:rFonts w:ascii="宋体" w:eastAsia="宋体" w:cs="宋体" w:hint="eastAsia"/>
          <w:sz w:val="21"/>
          <w:szCs w:val="21"/>
        </w:rPr>
        <w:t>任何有毒有害的材料和物质均应包含于清单中，不可忽略。</w:t>
      </w:r>
      <w:r w:rsidRPr="00624150">
        <w:rPr>
          <w:rFonts w:ascii="宋体" w:eastAsia="宋体" w:cs="宋体"/>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t xml:space="preserve">A.3 </w:t>
      </w:r>
      <w:r w:rsidRPr="00624150">
        <w:rPr>
          <w:rFonts w:hint="eastAsia"/>
          <w:sz w:val="21"/>
          <w:szCs w:val="21"/>
        </w:rPr>
        <w:t>生命周期清单分析</w:t>
      </w:r>
      <w:r w:rsidRPr="00624150">
        <w:rPr>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t xml:space="preserve">A.3.1 </w:t>
      </w:r>
      <w:r w:rsidRPr="00624150">
        <w:rPr>
          <w:rFonts w:hint="eastAsia"/>
          <w:sz w:val="21"/>
          <w:szCs w:val="21"/>
        </w:rPr>
        <w:t>总则</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宋体" w:eastAsia="宋体" w:cs="宋体"/>
          <w:sz w:val="21"/>
          <w:szCs w:val="21"/>
        </w:rPr>
      </w:pPr>
      <w:r w:rsidRPr="00624150">
        <w:rPr>
          <w:rFonts w:ascii="宋体" w:eastAsia="宋体" w:cs="宋体" w:hint="eastAsia"/>
          <w:sz w:val="21"/>
          <w:szCs w:val="21"/>
        </w:rPr>
        <w:t>应编制一体化压缩机系统边界内的所有材料</w:t>
      </w:r>
      <w:r w:rsidRPr="00624150">
        <w:rPr>
          <w:rFonts w:ascii="宋体" w:eastAsia="宋体" w:cs="宋体"/>
          <w:sz w:val="21"/>
          <w:szCs w:val="21"/>
        </w:rPr>
        <w:t>/</w:t>
      </w:r>
      <w:r w:rsidRPr="00624150">
        <w:rPr>
          <w:rFonts w:ascii="宋体" w:eastAsia="宋体" w:cs="宋体" w:hint="eastAsia"/>
          <w:sz w:val="21"/>
          <w:szCs w:val="21"/>
        </w:rPr>
        <w:t>能源输入、输出清单，作为产品生命周期评价的依据。如果数据清单有特殊情况、异常点或其它问题，应在报告中进行明确说明。</w:t>
      </w:r>
      <w:r w:rsidRPr="00624150">
        <w:rPr>
          <w:rFonts w:ascii="宋体" w:eastAsia="宋体" w:cs="宋体"/>
          <w:sz w:val="21"/>
          <w:szCs w:val="21"/>
        </w:rPr>
        <w:t xml:space="preserve"> </w:t>
      </w:r>
    </w:p>
    <w:p w:rsidR="00624150" w:rsidRPr="00624150" w:rsidRDefault="00624150" w:rsidP="00624150">
      <w:pPr>
        <w:ind w:firstLineChars="200" w:firstLine="420"/>
        <w:rPr>
          <w:rFonts w:ascii="宋体" w:eastAsia="宋体" w:cs="宋体"/>
          <w:szCs w:val="21"/>
        </w:rPr>
      </w:pPr>
      <w:r w:rsidRPr="00624150">
        <w:rPr>
          <w:rFonts w:ascii="宋体" w:eastAsia="宋体" w:cs="宋体" w:hint="eastAsia"/>
          <w:szCs w:val="21"/>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级的影响评价提供必要的数据。</w:t>
      </w:r>
    </w:p>
    <w:p w:rsidR="00624150" w:rsidRPr="00624150" w:rsidRDefault="00624150" w:rsidP="00624150">
      <w:pPr>
        <w:pStyle w:val="Default"/>
        <w:spacing w:before="240" w:after="240"/>
        <w:rPr>
          <w:sz w:val="21"/>
          <w:szCs w:val="21"/>
        </w:rPr>
      </w:pPr>
      <w:r w:rsidRPr="00624150">
        <w:rPr>
          <w:sz w:val="21"/>
          <w:szCs w:val="21"/>
        </w:rPr>
        <w:t xml:space="preserve">A.3.2 </w:t>
      </w:r>
      <w:r w:rsidRPr="00624150">
        <w:rPr>
          <w:rFonts w:hint="eastAsia"/>
          <w:sz w:val="21"/>
          <w:szCs w:val="21"/>
        </w:rPr>
        <w:t>数据收集</w:t>
      </w:r>
      <w:r w:rsidRPr="00624150">
        <w:rPr>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t xml:space="preserve">A.3.2.1 </w:t>
      </w:r>
      <w:r w:rsidRPr="00624150">
        <w:rPr>
          <w:rFonts w:hint="eastAsia"/>
          <w:sz w:val="21"/>
          <w:szCs w:val="21"/>
        </w:rPr>
        <w:t>概况</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应将以下要素纳入数据清单：</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原材料采购和预加工；</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生产；</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lastRenderedPageBreak/>
        <w:t>——</w:t>
      </w:r>
      <w:r w:rsidRPr="00624150">
        <w:rPr>
          <w:rFonts w:ascii="Times New Roman" w:eastAsia="宋体" w:hAnsi="Times New Roman" w:cs="Times New Roman"/>
          <w:sz w:val="21"/>
          <w:szCs w:val="21"/>
        </w:rPr>
        <w:t>产品分配和储存；</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使用阶段；</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物流；</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寿命终止。</w:t>
      </w:r>
      <w:r w:rsidRPr="00624150">
        <w:rPr>
          <w:rFonts w:ascii="Times New Roman" w:eastAsia="宋体" w:hAnsi="Times New Roman" w:cs="Times New Roman"/>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基于</w:t>
      </w:r>
      <w:r w:rsidRPr="00624150">
        <w:rPr>
          <w:rFonts w:ascii="Times New Roman" w:eastAsia="宋体" w:hAnsi="Times New Roman" w:cs="Times New Roman"/>
          <w:szCs w:val="21"/>
        </w:rPr>
        <w:t>LCA</w:t>
      </w:r>
      <w:r w:rsidRPr="00624150">
        <w:rPr>
          <w:rFonts w:ascii="Times New Roman" w:eastAsia="宋体" w:hAnsi="Times New Roman" w:cs="Times New Roman"/>
          <w:szCs w:val="21"/>
        </w:rPr>
        <w:t>的信息中要使用的数据可分为两类：现场数据和背景数据。主要数据尽量使用现场数据，如果</w:t>
      </w:r>
      <w:r w:rsidRPr="00624150">
        <w:rPr>
          <w:rFonts w:ascii="Times New Roman" w:eastAsia="宋体" w:hAnsi="Times New Roman" w:cs="Times New Roman"/>
          <w:szCs w:val="21"/>
        </w:rPr>
        <w:t>“</w:t>
      </w:r>
      <w:r w:rsidRPr="00624150">
        <w:rPr>
          <w:rFonts w:ascii="Times New Roman" w:eastAsia="宋体" w:hAnsi="Times New Roman" w:cs="Times New Roman"/>
          <w:szCs w:val="21"/>
        </w:rPr>
        <w:t>现场数据</w:t>
      </w:r>
      <w:r w:rsidRPr="00624150">
        <w:rPr>
          <w:rFonts w:ascii="Times New Roman" w:eastAsia="宋体" w:hAnsi="Times New Roman" w:cs="Times New Roman"/>
          <w:szCs w:val="21"/>
        </w:rPr>
        <w:t>”</w:t>
      </w:r>
      <w:r w:rsidRPr="00624150">
        <w:rPr>
          <w:rFonts w:ascii="Times New Roman" w:eastAsia="宋体" w:hAnsi="Times New Roman" w:cs="Times New Roman"/>
          <w:szCs w:val="21"/>
        </w:rPr>
        <w:t>收集缺乏，可以选择</w:t>
      </w:r>
      <w:r w:rsidRPr="00624150">
        <w:rPr>
          <w:rFonts w:ascii="Times New Roman" w:eastAsia="宋体" w:hAnsi="Times New Roman" w:cs="Times New Roman"/>
          <w:szCs w:val="21"/>
        </w:rPr>
        <w:t>“</w:t>
      </w:r>
      <w:r w:rsidRPr="00624150">
        <w:rPr>
          <w:rFonts w:ascii="Times New Roman" w:eastAsia="宋体" w:hAnsi="Times New Roman" w:cs="Times New Roman"/>
          <w:szCs w:val="21"/>
        </w:rPr>
        <w:t>背景数据</w:t>
      </w:r>
      <w:r w:rsidRPr="00624150">
        <w:rPr>
          <w:rFonts w:ascii="Times New Roman" w:eastAsia="宋体" w:hAnsi="Times New Roman" w:cs="Times New Roman"/>
          <w:szCs w:val="21"/>
        </w:rPr>
        <w:t>”</w:t>
      </w:r>
      <w:r w:rsidRPr="00624150">
        <w:rPr>
          <w:rFonts w:ascii="Times New Roman" w:eastAsia="宋体" w:hAnsi="Times New Roman" w:cs="Times New Roman"/>
          <w:szCs w:val="21"/>
        </w:rPr>
        <w:t>。</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现场数据是在现场具体操作过程中收集来的。主要包括生产过程的能源与水资源消耗、产品原料的使用量、产品主要包装材料的使用量、和废物产生量等等。现场数据还应包括运输数据，即产品原料、主要包装的部分从制造地点到最终交货点的运输距离。</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背景数据应当包括主要原料的生产数据、权威的电力的组合的数据（如火力、水、风力发电等）、不同运输类型造成的环境影响以及一体化压缩机生产和废弃后回收处理过程的排放数据。</w:t>
      </w:r>
    </w:p>
    <w:p w:rsidR="00624150" w:rsidRPr="00624150" w:rsidRDefault="00624150" w:rsidP="00624150">
      <w:pPr>
        <w:ind w:firstLineChars="200" w:firstLine="420"/>
        <w:rPr>
          <w:rFonts w:ascii="宋体" w:eastAsia="宋体" w:cs="宋体"/>
          <w:szCs w:val="21"/>
        </w:rPr>
      </w:pPr>
    </w:p>
    <w:p w:rsidR="00624150" w:rsidRPr="00624150" w:rsidRDefault="00624150" w:rsidP="00624150">
      <w:pPr>
        <w:pStyle w:val="Default"/>
        <w:spacing w:before="240" w:after="240"/>
        <w:rPr>
          <w:sz w:val="21"/>
          <w:szCs w:val="21"/>
        </w:rPr>
      </w:pPr>
      <w:r w:rsidRPr="00624150">
        <w:rPr>
          <w:sz w:val="21"/>
          <w:szCs w:val="21"/>
        </w:rPr>
        <w:t xml:space="preserve">A.3.2.2 </w:t>
      </w:r>
      <w:r w:rsidRPr="00624150">
        <w:rPr>
          <w:rFonts w:hint="eastAsia"/>
          <w:sz w:val="21"/>
          <w:szCs w:val="21"/>
        </w:rPr>
        <w:t>现场数据采集</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hint="eastAsia"/>
          <w:szCs w:val="21"/>
        </w:rPr>
        <w:t>应描述代表某一特定设施或一组设施的活动而直接测量或收集的数据相关采集规程。可直接对过程进行的测量或者通过采访或问卷调查从经营者处获得的测量值为特定过程最具代表性的数据来源。</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hint="eastAsia"/>
          <w:szCs w:val="21"/>
        </w:rPr>
        <w:t>现场数据的质量要求包括：</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a) </w:t>
      </w:r>
      <w:r w:rsidRPr="00624150">
        <w:rPr>
          <w:rFonts w:ascii="Times New Roman" w:eastAsia="宋体" w:hAnsi="Times New Roman" w:cs="Times New Roman"/>
          <w:szCs w:val="21"/>
        </w:rPr>
        <w:t>代表性：现场数据应按照企业生产单元收集所确定范围内的生产统计数据。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b) </w:t>
      </w:r>
      <w:r w:rsidRPr="00624150">
        <w:rPr>
          <w:rFonts w:ascii="Times New Roman" w:eastAsia="宋体" w:hAnsi="Times New Roman" w:cs="Times New Roman"/>
          <w:szCs w:val="21"/>
        </w:rPr>
        <w:t>完整性：现场数据应采集完整的生命周期要求数据。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c) </w:t>
      </w:r>
      <w:r w:rsidRPr="00624150">
        <w:rPr>
          <w:rFonts w:ascii="Times New Roman" w:eastAsia="宋体" w:hAnsi="Times New Roman" w:cs="Times New Roman"/>
          <w:szCs w:val="21"/>
        </w:rPr>
        <w:t>准确性：现场数据中的资源、能源、原材料消耗数据应该来自于生产单元的实际生产统计记录；环境排放数据优先选择相关的环境监测报告，或由排污因子或物料平衡公式计算获得。所有现场数据均须转换为单位产品，即</w:t>
      </w:r>
      <w:r w:rsidRPr="00624150">
        <w:rPr>
          <w:rFonts w:ascii="Times New Roman" w:eastAsia="宋体" w:hAnsi="Times New Roman" w:cs="Times New Roman"/>
          <w:szCs w:val="21"/>
        </w:rPr>
        <w:t>1</w:t>
      </w:r>
      <w:r w:rsidRPr="00624150">
        <w:rPr>
          <w:rFonts w:ascii="Times New Roman" w:eastAsia="宋体" w:hAnsi="Times New Roman" w:cs="Times New Roman"/>
          <w:szCs w:val="21"/>
        </w:rPr>
        <w:t>台一体化压缩机为基准折算，且需要详细记录相关的原始数据、数据来源、计算过程等等。</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d) </w:t>
      </w:r>
      <w:r w:rsidRPr="00624150">
        <w:rPr>
          <w:rFonts w:ascii="Times New Roman" w:eastAsia="宋体" w:hAnsi="Times New Roman" w:cs="Times New Roman"/>
          <w:szCs w:val="21"/>
        </w:rPr>
        <w:t>一致性：企业现场数据收集时应保持相同的数据来源、统计口径、处理规则等。</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典型现场数据来源包括：</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1</w:t>
      </w:r>
      <w:r w:rsidRPr="00624150">
        <w:rPr>
          <w:rFonts w:ascii="Times New Roman" w:eastAsia="宋体" w:hAnsi="Times New Roman" w:cs="Times New Roman" w:hint="eastAsia"/>
          <w:szCs w:val="21"/>
        </w:rPr>
        <w:t>）原材料（零部件）出入库记录；</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2</w:t>
      </w:r>
      <w:r w:rsidRPr="00624150">
        <w:rPr>
          <w:rFonts w:ascii="Times New Roman" w:eastAsia="宋体" w:hAnsi="Times New Roman" w:cs="Times New Roman" w:hint="eastAsia"/>
          <w:szCs w:val="21"/>
        </w:rPr>
        <w:t>）产品</w:t>
      </w:r>
      <w:r w:rsidRPr="00624150">
        <w:rPr>
          <w:rFonts w:ascii="Times New Roman" w:eastAsia="宋体" w:hAnsi="Times New Roman" w:cs="Times New Roman"/>
          <w:szCs w:val="21"/>
        </w:rPr>
        <w:t>BOM</w:t>
      </w:r>
      <w:r w:rsidRPr="00624150">
        <w:rPr>
          <w:rFonts w:ascii="Times New Roman" w:eastAsia="宋体" w:hAnsi="Times New Roman" w:cs="Times New Roman" w:hint="eastAsia"/>
          <w:szCs w:val="21"/>
        </w:rPr>
        <w:t>清单；</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3</w:t>
      </w:r>
      <w:r w:rsidRPr="00624150">
        <w:rPr>
          <w:rFonts w:ascii="Times New Roman" w:eastAsia="宋体" w:hAnsi="Times New Roman" w:cs="Times New Roman" w:hint="eastAsia"/>
          <w:szCs w:val="21"/>
        </w:rPr>
        <w:t>）产品使用过程能源消耗和污染物排放；</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4</w:t>
      </w:r>
      <w:r w:rsidRPr="00624150">
        <w:rPr>
          <w:rFonts w:ascii="Times New Roman" w:eastAsia="宋体" w:hAnsi="Times New Roman" w:cs="Times New Roman" w:hint="eastAsia"/>
          <w:szCs w:val="21"/>
        </w:rPr>
        <w:t>）生产统计报表；</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5</w:t>
      </w:r>
      <w:r w:rsidRPr="00624150">
        <w:rPr>
          <w:rFonts w:ascii="Times New Roman" w:eastAsia="宋体" w:hAnsi="Times New Roman" w:cs="Times New Roman" w:hint="eastAsia"/>
          <w:szCs w:val="21"/>
        </w:rPr>
        <w:t>）设备仪表的计量数据；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6</w:t>
      </w:r>
      <w:r w:rsidRPr="00624150">
        <w:rPr>
          <w:rFonts w:ascii="Times New Roman" w:eastAsia="宋体" w:hAnsi="Times New Roman" w:cs="Times New Roman" w:hint="eastAsia"/>
          <w:szCs w:val="21"/>
        </w:rPr>
        <w:t>）设备的运行日志；</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7</w:t>
      </w:r>
      <w:r w:rsidRPr="00624150">
        <w:rPr>
          <w:rFonts w:ascii="Times New Roman" w:eastAsia="宋体" w:hAnsi="Times New Roman" w:cs="Times New Roman" w:hint="eastAsia"/>
          <w:szCs w:val="21"/>
        </w:rPr>
        <w:t>）试验测试结果；</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8</w:t>
      </w:r>
      <w:r w:rsidRPr="00624150">
        <w:rPr>
          <w:rFonts w:ascii="Times New Roman" w:eastAsia="宋体" w:hAnsi="Times New Roman" w:cs="Times New Roman" w:hint="eastAsia"/>
          <w:szCs w:val="21"/>
        </w:rPr>
        <w:t>）模拟数据；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9</w:t>
      </w:r>
      <w:r w:rsidRPr="00624150">
        <w:rPr>
          <w:rFonts w:ascii="Times New Roman" w:eastAsia="宋体" w:hAnsi="Times New Roman" w:cs="Times New Roman" w:hint="eastAsia"/>
          <w:szCs w:val="21"/>
        </w:rPr>
        <w:t>）抽样数据等方面。</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 xml:space="preserve">A.3.2.3 </w:t>
      </w:r>
      <w:r w:rsidRPr="00624150">
        <w:rPr>
          <w:rFonts w:hint="eastAsia"/>
          <w:sz w:val="21"/>
          <w:szCs w:val="21"/>
        </w:rPr>
        <w:t>背景数据采集</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hint="eastAsia"/>
          <w:szCs w:val="21"/>
        </w:rPr>
        <w:lastRenderedPageBreak/>
        <w:t>背景数据不是直接测量或计算而得到的数据。背景数据可为行业现场数据，即对产品生命周期研究所考虑的特定部门，或者为跨行业背景数据。背景数据宜用于后台进程，除非背景数据比现场数据更具代表性或更适合前台进程。所使用数据的来源应有清楚的文件记载并应载入产品生命周期评价报告。</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hint="eastAsia"/>
          <w:szCs w:val="21"/>
        </w:rPr>
        <w:t>背景数据的质量要求包括：</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a) </w:t>
      </w:r>
      <w:r w:rsidRPr="00624150">
        <w:rPr>
          <w:rFonts w:ascii="Times New Roman" w:eastAsia="宋体" w:hAnsi="Times New Roman" w:cs="Times New Roman" w:hint="eastAsia"/>
          <w:szCs w:val="21"/>
        </w:rPr>
        <w:t>代表性：背景数据应优先选择企业的原材料供应商提供的符合相关</w:t>
      </w:r>
      <w:r w:rsidRPr="00624150">
        <w:rPr>
          <w:rFonts w:ascii="Times New Roman" w:eastAsia="宋体" w:hAnsi="Times New Roman" w:cs="Times New Roman"/>
          <w:szCs w:val="21"/>
        </w:rPr>
        <w:t xml:space="preserve"> LCA </w:t>
      </w:r>
      <w:r w:rsidRPr="00624150">
        <w:rPr>
          <w:rFonts w:ascii="Times New Roman" w:eastAsia="宋体" w:hAnsi="Times New Roman" w:cs="Times New Roman" w:hint="eastAsia"/>
          <w:szCs w:val="21"/>
        </w:rPr>
        <w:t>标准要求的、经第三方独立验证的上游产品</w:t>
      </w:r>
      <w:r w:rsidRPr="00624150">
        <w:rPr>
          <w:rFonts w:ascii="Times New Roman" w:eastAsia="宋体" w:hAnsi="Times New Roman" w:cs="Times New Roman"/>
          <w:szCs w:val="21"/>
        </w:rPr>
        <w:t xml:space="preserve"> LCA </w:t>
      </w:r>
      <w:r w:rsidRPr="00624150">
        <w:rPr>
          <w:rFonts w:ascii="Times New Roman" w:eastAsia="宋体" w:hAnsi="Times New Roman" w:cs="Times New Roman" w:hint="eastAsia"/>
          <w:szCs w:val="21"/>
        </w:rPr>
        <w:t>报告中的数据。若无，须优先选择代表中国国内平均生产水平的公开</w:t>
      </w:r>
      <w:r w:rsidRPr="00624150">
        <w:rPr>
          <w:rFonts w:ascii="Times New Roman" w:eastAsia="宋体" w:hAnsi="Times New Roman" w:cs="Times New Roman"/>
          <w:szCs w:val="21"/>
        </w:rPr>
        <w:t xml:space="preserve"> LCA</w:t>
      </w:r>
      <w:r w:rsidRPr="00624150">
        <w:rPr>
          <w:rFonts w:ascii="Times New Roman" w:eastAsia="宋体" w:hAnsi="Times New Roman" w:cs="Times New Roman" w:hint="eastAsia"/>
          <w:szCs w:val="21"/>
        </w:rPr>
        <w:t>数据，数据的参考年限应优先选择近年数据。在没有符合要求的中国国内数据的情况下，可以选择国外同类技术数据作为背景数据。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b) </w:t>
      </w:r>
      <w:r w:rsidRPr="00624150">
        <w:rPr>
          <w:rFonts w:ascii="Times New Roman" w:eastAsia="宋体" w:hAnsi="Times New Roman" w:cs="Times New Roman" w:hint="eastAsia"/>
          <w:szCs w:val="21"/>
        </w:rPr>
        <w:t>完整性：背景数据的系统边界应该从资源开采到这些原辅材料或能源产品出厂为止。</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 xml:space="preserve">c) </w:t>
      </w:r>
      <w:r w:rsidRPr="00624150">
        <w:rPr>
          <w:rFonts w:ascii="Times New Roman" w:eastAsia="宋体" w:hAnsi="Times New Roman" w:cs="Times New Roman" w:hint="eastAsia"/>
          <w:szCs w:val="21"/>
        </w:rPr>
        <w:t>一致性：所有被选择的背景数据应完整覆盖本标准确定的生命周期清单因子，并且应将背景数据转换为一致的物质名录后再进行计算。</w:t>
      </w:r>
    </w:p>
    <w:p w:rsidR="00624150" w:rsidRPr="00624150" w:rsidRDefault="00624150" w:rsidP="00624150">
      <w:pPr>
        <w:pStyle w:val="Default"/>
        <w:spacing w:before="240" w:after="240"/>
        <w:rPr>
          <w:sz w:val="21"/>
          <w:szCs w:val="21"/>
        </w:rPr>
      </w:pPr>
    </w:p>
    <w:p w:rsidR="00624150" w:rsidRPr="00624150" w:rsidRDefault="00624150" w:rsidP="00624150">
      <w:pPr>
        <w:pStyle w:val="Default"/>
        <w:spacing w:before="240" w:after="240"/>
        <w:rPr>
          <w:sz w:val="21"/>
          <w:szCs w:val="21"/>
        </w:rPr>
      </w:pPr>
      <w:r w:rsidRPr="00624150">
        <w:rPr>
          <w:sz w:val="21"/>
          <w:szCs w:val="21"/>
        </w:rPr>
        <w:t xml:space="preserve">A.3.2.4 </w:t>
      </w:r>
      <w:r w:rsidRPr="00624150">
        <w:rPr>
          <w:rFonts w:hint="eastAsia"/>
          <w:sz w:val="21"/>
          <w:szCs w:val="21"/>
        </w:rPr>
        <w:t>原材料、零部件采购和预加工（从摇篮到大门）</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该阶段始于从大自然提取资源，结束于一体化压缩机零部件生产，包括：</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资源开采和提取；</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所有材料的预加工；</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零部件生产；</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材料、零部件的采购；</w:t>
      </w:r>
      <w:r w:rsidRPr="00624150">
        <w:rPr>
          <w:rFonts w:ascii="Times New Roman" w:eastAsia="宋体" w:hAnsi="Times New Roman" w:cs="Times New Roman"/>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w:t>
      </w:r>
      <w:r w:rsidRPr="00624150">
        <w:rPr>
          <w:rFonts w:ascii="Times New Roman" w:eastAsia="宋体" w:hAnsi="Times New Roman" w:cs="Times New Roman"/>
          <w:szCs w:val="21"/>
        </w:rPr>
        <w:t>材料、零部件的运输。</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rFonts w:ascii="Times New Roman" w:eastAsia="宋体" w:hAnsi="Times New Roman" w:cs="Times New Roman"/>
          <w:szCs w:val="21"/>
        </w:rPr>
      </w:pPr>
      <w:r w:rsidRPr="00624150">
        <w:rPr>
          <w:sz w:val="21"/>
          <w:szCs w:val="21"/>
        </w:rPr>
        <w:t xml:space="preserve">A.3.2.5 </w:t>
      </w:r>
      <w:r w:rsidRPr="00624150">
        <w:rPr>
          <w:rFonts w:hint="eastAsia"/>
          <w:sz w:val="21"/>
          <w:szCs w:val="21"/>
        </w:rPr>
        <w:t>生产</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hint="eastAsia"/>
          <w:szCs w:val="21"/>
        </w:rPr>
        <w:t>该阶段始于一体化压缩机组装，结束于成品离开生产设施。生产活动包括制造、制造过程间半成品的运输、产品包装等。</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A.3.2.6</w:t>
      </w:r>
      <w:r w:rsidRPr="00624150">
        <w:rPr>
          <w:rFonts w:hint="eastAsia"/>
          <w:sz w:val="21"/>
          <w:szCs w:val="21"/>
        </w:rPr>
        <w:t>产品分配</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宋体" w:eastAsia="宋体" w:cs="宋体"/>
          <w:sz w:val="21"/>
          <w:szCs w:val="21"/>
        </w:rPr>
      </w:pPr>
      <w:r w:rsidRPr="00624150">
        <w:rPr>
          <w:rFonts w:ascii="Times New Roman" w:eastAsia="宋体" w:hAnsi="Times New Roman" w:cs="Times New Roman" w:hint="eastAsia"/>
          <w:sz w:val="21"/>
          <w:szCs w:val="21"/>
        </w:rPr>
        <w:t>该阶段将一体化压缩机分配给各地经销商、超市及商场，可沿着供应链将其储存在各点，包括运输车辆的燃料使</w:t>
      </w:r>
      <w:r w:rsidRPr="00624150">
        <w:rPr>
          <w:rFonts w:ascii="宋体" w:eastAsia="宋体" w:cs="宋体" w:hint="eastAsia"/>
          <w:sz w:val="21"/>
          <w:szCs w:val="21"/>
        </w:rPr>
        <w:t>用等。</w:t>
      </w:r>
    </w:p>
    <w:p w:rsidR="00624150" w:rsidRPr="00624150" w:rsidRDefault="00624150" w:rsidP="00624150">
      <w:pPr>
        <w:pStyle w:val="Default"/>
        <w:spacing w:before="240" w:after="240"/>
        <w:rPr>
          <w:rFonts w:ascii="宋体" w:eastAsia="宋体" w:cs="宋体"/>
          <w:sz w:val="21"/>
          <w:szCs w:val="21"/>
        </w:rPr>
      </w:pPr>
    </w:p>
    <w:p w:rsidR="00624150" w:rsidRPr="00624150" w:rsidRDefault="00624150" w:rsidP="00624150">
      <w:pPr>
        <w:pStyle w:val="Default"/>
        <w:spacing w:before="240" w:after="240"/>
        <w:rPr>
          <w:sz w:val="21"/>
          <w:szCs w:val="21"/>
        </w:rPr>
      </w:pPr>
      <w:r w:rsidRPr="00624150">
        <w:rPr>
          <w:sz w:val="21"/>
          <w:szCs w:val="21"/>
        </w:rPr>
        <w:t>A.3.2.7</w:t>
      </w:r>
      <w:r w:rsidRPr="00624150">
        <w:rPr>
          <w:rFonts w:hint="eastAsia"/>
          <w:sz w:val="21"/>
          <w:szCs w:val="21"/>
        </w:rPr>
        <w:t>使用阶段</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宋体" w:eastAsia="宋体" w:cs="宋体"/>
          <w:sz w:val="21"/>
          <w:szCs w:val="21"/>
        </w:rPr>
      </w:pPr>
      <w:r w:rsidRPr="00624150">
        <w:rPr>
          <w:rFonts w:ascii="宋体" w:eastAsia="宋体" w:cs="宋体" w:hint="eastAsia"/>
          <w:sz w:val="21"/>
          <w:szCs w:val="21"/>
        </w:rPr>
        <w:t>该阶段始于消费者拥有产品，结束于产品报废。包括使用</w:t>
      </w:r>
      <w:r w:rsidRPr="00624150">
        <w:rPr>
          <w:rFonts w:ascii="宋体" w:eastAsia="宋体" w:cs="宋体"/>
          <w:sz w:val="21"/>
          <w:szCs w:val="21"/>
        </w:rPr>
        <w:t>/</w:t>
      </w:r>
      <w:r w:rsidRPr="00624150">
        <w:rPr>
          <w:rFonts w:ascii="宋体" w:eastAsia="宋体" w:cs="宋体" w:hint="eastAsia"/>
          <w:sz w:val="21"/>
          <w:szCs w:val="21"/>
        </w:rPr>
        <w:t>消费模式、使用期间的资源、能源消耗等等。</w:t>
      </w:r>
    </w:p>
    <w:p w:rsidR="00624150" w:rsidRPr="00624150" w:rsidRDefault="00624150" w:rsidP="00624150">
      <w:pPr>
        <w:pStyle w:val="Default"/>
        <w:spacing w:before="240" w:after="240"/>
        <w:rPr>
          <w:rFonts w:ascii="宋体" w:eastAsia="宋体" w:cs="宋体"/>
          <w:sz w:val="21"/>
          <w:szCs w:val="21"/>
        </w:rPr>
      </w:pPr>
    </w:p>
    <w:p w:rsidR="00624150" w:rsidRPr="00624150" w:rsidRDefault="00624150" w:rsidP="00624150">
      <w:pPr>
        <w:pStyle w:val="Default"/>
        <w:spacing w:before="240" w:after="240"/>
        <w:rPr>
          <w:sz w:val="21"/>
          <w:szCs w:val="21"/>
        </w:rPr>
      </w:pPr>
      <w:r w:rsidRPr="00624150">
        <w:rPr>
          <w:sz w:val="21"/>
          <w:szCs w:val="21"/>
        </w:rPr>
        <w:t>A.3.2.8</w:t>
      </w:r>
      <w:r w:rsidRPr="00624150">
        <w:rPr>
          <w:rFonts w:hint="eastAsia"/>
          <w:sz w:val="21"/>
          <w:szCs w:val="21"/>
        </w:rPr>
        <w:t>物流</w:t>
      </w:r>
      <w:r w:rsidRPr="00624150">
        <w:rPr>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宋体" w:eastAsia="宋体" w:cs="宋体" w:hint="eastAsia"/>
          <w:szCs w:val="21"/>
        </w:rPr>
        <w:t>应考虑的运输参数包括运输方式、车辆类型、燃料消耗量、装货速率、回空数量、运输距离、根据负载限制因素（即高密度产品质量和低密度产品体积）的商品运输分配以及燃料用量。</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A.3.2.9</w:t>
      </w:r>
      <w:r w:rsidRPr="00624150">
        <w:rPr>
          <w:rFonts w:hint="eastAsia"/>
          <w:sz w:val="21"/>
          <w:szCs w:val="21"/>
        </w:rPr>
        <w:t>寿命终止</w:t>
      </w:r>
      <w:r w:rsidRPr="00624150">
        <w:rPr>
          <w:sz w:val="21"/>
          <w:szCs w:val="21"/>
        </w:rPr>
        <w:t xml:space="preserve"> </w:t>
      </w:r>
    </w:p>
    <w:p w:rsidR="00624150" w:rsidRPr="00624150" w:rsidRDefault="00624150" w:rsidP="00624150">
      <w:pPr>
        <w:pStyle w:val="Default"/>
        <w:spacing w:before="240" w:after="240"/>
        <w:ind w:firstLineChars="200" w:firstLine="420"/>
        <w:rPr>
          <w:rFonts w:ascii="宋体" w:eastAsia="宋体" w:cs="宋体"/>
          <w:sz w:val="21"/>
          <w:szCs w:val="21"/>
        </w:rPr>
      </w:pPr>
      <w:r w:rsidRPr="00624150">
        <w:rPr>
          <w:rFonts w:ascii="宋体" w:eastAsia="宋体" w:cs="宋体" w:hint="eastAsia"/>
          <w:sz w:val="21"/>
          <w:szCs w:val="21"/>
        </w:rPr>
        <w:t>该阶段始于用户终止使用，结束于产品作为废弃物再次进入流通领域或回收渠道。</w:t>
      </w:r>
    </w:p>
    <w:p w:rsidR="00624150" w:rsidRPr="00624150" w:rsidRDefault="00624150" w:rsidP="00624150">
      <w:pPr>
        <w:pStyle w:val="Default"/>
        <w:spacing w:before="240" w:after="240"/>
        <w:rPr>
          <w:rFonts w:ascii="宋体" w:eastAsia="宋体" w:cs="宋体"/>
          <w:sz w:val="21"/>
          <w:szCs w:val="21"/>
        </w:rPr>
      </w:pPr>
    </w:p>
    <w:p w:rsidR="00624150" w:rsidRPr="00624150" w:rsidRDefault="00624150" w:rsidP="00624150">
      <w:pPr>
        <w:pStyle w:val="Default"/>
        <w:spacing w:before="240" w:after="240"/>
        <w:rPr>
          <w:sz w:val="21"/>
          <w:szCs w:val="21"/>
        </w:rPr>
      </w:pPr>
      <w:r w:rsidRPr="00624150">
        <w:rPr>
          <w:sz w:val="21"/>
          <w:szCs w:val="21"/>
        </w:rPr>
        <w:t>A.3.3</w:t>
      </w:r>
      <w:r w:rsidRPr="00624150">
        <w:rPr>
          <w:rFonts w:hint="eastAsia"/>
          <w:sz w:val="21"/>
          <w:szCs w:val="21"/>
        </w:rPr>
        <w:t>数据分配</w:t>
      </w:r>
      <w:r w:rsidRPr="00624150">
        <w:rPr>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宋体" w:eastAsia="宋体" w:cs="宋体" w:hint="eastAsia"/>
          <w:szCs w:val="21"/>
        </w:rPr>
        <w:t>在进行一体化压缩机生命周期评价的过程中涉及到数据分配问题，特别是一体化压缩机的生产环节。对于一条流水线上或一个车间里会同时生产多种型号一体化压缩机。很难就某单个型号的产品生产来收集清单数据，往往会就某个车间、某条流水线或某个工艺来收集数据，然后再分配到具体的产品上。针对一体化压缩机生产阶段，因生产的产品主要材料、功能比较一致，因此本标准选取</w:t>
      </w:r>
      <w:r w:rsidRPr="00624150">
        <w:rPr>
          <w:rFonts w:ascii="宋体" w:eastAsia="宋体" w:cs="宋体"/>
          <w:szCs w:val="21"/>
        </w:rPr>
        <w:t>“</w:t>
      </w:r>
      <w:r w:rsidRPr="00624150">
        <w:rPr>
          <w:rFonts w:ascii="宋体" w:eastAsia="宋体" w:cs="宋体" w:hint="eastAsia"/>
          <w:szCs w:val="21"/>
        </w:rPr>
        <w:t>重量分配</w:t>
      </w:r>
      <w:r w:rsidRPr="00624150">
        <w:rPr>
          <w:rFonts w:ascii="宋体" w:eastAsia="宋体" w:cs="宋体"/>
          <w:szCs w:val="21"/>
        </w:rPr>
        <w:t>”</w:t>
      </w:r>
      <w:r w:rsidRPr="00624150">
        <w:rPr>
          <w:rFonts w:ascii="宋体" w:eastAsia="宋体" w:cs="宋体" w:hint="eastAsia"/>
          <w:szCs w:val="21"/>
        </w:rPr>
        <w:t>作为分摊的比例，即重量越大的产品，其分摊额度就越大。</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A.3.4</w:t>
      </w:r>
      <w:r w:rsidRPr="00624150">
        <w:rPr>
          <w:rFonts w:hint="eastAsia"/>
          <w:sz w:val="21"/>
          <w:szCs w:val="21"/>
        </w:rPr>
        <w:t>数据计算</w:t>
      </w:r>
      <w:r w:rsidRPr="00624150">
        <w:rPr>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t>A.3.4.1</w:t>
      </w:r>
      <w:r w:rsidRPr="00624150">
        <w:rPr>
          <w:rFonts w:hint="eastAsia"/>
          <w:sz w:val="21"/>
          <w:szCs w:val="21"/>
        </w:rPr>
        <w:t>数据分析</w:t>
      </w:r>
      <w:r w:rsidRPr="00624150">
        <w:rPr>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根据表</w:t>
      </w:r>
      <w:r w:rsidRPr="00624150">
        <w:rPr>
          <w:rFonts w:ascii="Times New Roman" w:eastAsia="宋体" w:hAnsi="Times New Roman" w:cs="Times New Roman"/>
          <w:sz w:val="21"/>
          <w:szCs w:val="21"/>
        </w:rPr>
        <w:t>A.1-A.4</w:t>
      </w:r>
      <w:r w:rsidRPr="00624150">
        <w:rPr>
          <w:rFonts w:ascii="Times New Roman" w:eastAsia="宋体" w:hAnsi="Times New Roman" w:cs="Times New Roman"/>
          <w:sz w:val="21"/>
          <w:szCs w:val="21"/>
        </w:rPr>
        <w:t>对应需要的数据，进行填报。</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 xml:space="preserve">a) </w:t>
      </w:r>
      <w:r w:rsidRPr="00624150">
        <w:rPr>
          <w:rFonts w:ascii="Times New Roman" w:eastAsia="宋体" w:hAnsi="Times New Roman" w:cs="Times New Roman"/>
          <w:sz w:val="21"/>
          <w:szCs w:val="21"/>
        </w:rPr>
        <w:t>现场数据可通过企业调研、上游厂家提供、采样监测等途径进行收集，所收集的数据要求为企业三年平均统计数据，并能够反映企业的实际生产水平。</w:t>
      </w:r>
      <w:r w:rsidRPr="00624150">
        <w:rPr>
          <w:rFonts w:ascii="Times New Roman" w:eastAsia="宋体" w:hAnsi="Times New Roman" w:cs="Times New Roman"/>
          <w:sz w:val="21"/>
          <w:szCs w:val="21"/>
        </w:rPr>
        <w:t xml:space="preserve"> </w:t>
      </w:r>
    </w:p>
    <w:p w:rsidR="00624150" w:rsidRPr="00624150" w:rsidRDefault="00624150" w:rsidP="00624150">
      <w:pPr>
        <w:pStyle w:val="Default"/>
        <w:adjustRightInd/>
        <w:spacing w:before="240" w:after="240"/>
        <w:ind w:firstLineChars="200" w:firstLine="420"/>
        <w:rPr>
          <w:rFonts w:ascii="Times New Roman" w:eastAsia="宋体" w:hAnsi="Times New Roman" w:cs="Times New Roman"/>
          <w:sz w:val="21"/>
          <w:szCs w:val="21"/>
        </w:rPr>
      </w:pPr>
      <w:r w:rsidRPr="00624150">
        <w:rPr>
          <w:rFonts w:ascii="Times New Roman" w:eastAsia="宋体" w:hAnsi="Times New Roman" w:cs="Times New Roman"/>
          <w:sz w:val="21"/>
          <w:szCs w:val="21"/>
        </w:rPr>
        <w:t xml:space="preserve">b) </w:t>
      </w:r>
      <w:r w:rsidRPr="00624150">
        <w:rPr>
          <w:rFonts w:ascii="Times New Roman" w:eastAsia="宋体" w:hAnsi="Times New Roman" w:cs="Times New Roman"/>
          <w:sz w:val="21"/>
          <w:szCs w:val="21"/>
        </w:rPr>
        <w:t>从实际调研过程中无法获得的数据，即背景数据，采用权威中国生命周期数据库等相关数据库进行替代，在这一步骤中所涉及到的单元过程包括一体化压缩机相关零部件生产、组装、包装材料、能源消耗以及产品的运输。</w:t>
      </w:r>
      <w:r w:rsidRPr="00624150">
        <w:rPr>
          <w:rFonts w:ascii="Times New Roman" w:eastAsia="宋体" w:hAnsi="Times New Roman" w:cs="Times New Roman"/>
          <w:sz w:val="21"/>
          <w:szCs w:val="21"/>
        </w:rPr>
        <w:t xml:space="preserve"> </w:t>
      </w:r>
    </w:p>
    <w:p w:rsidR="00624150" w:rsidRPr="00624150" w:rsidRDefault="00624150" w:rsidP="00624150">
      <w:pPr>
        <w:jc w:val="center"/>
        <w:rPr>
          <w:rFonts w:ascii="Arial" w:eastAsia="黑体" w:hAnsi="Arial" w:cs="Arial"/>
          <w:szCs w:val="21"/>
        </w:rPr>
      </w:pPr>
      <w:r w:rsidRPr="00624150">
        <w:rPr>
          <w:rFonts w:ascii="Arial" w:eastAsia="黑体" w:hAnsi="Arial" w:cs="Arial"/>
          <w:szCs w:val="21"/>
        </w:rPr>
        <w:t>表</w:t>
      </w:r>
      <w:r w:rsidRPr="00624150">
        <w:rPr>
          <w:rFonts w:ascii="Arial" w:eastAsia="黑体" w:hAnsi="Arial" w:cs="Arial"/>
          <w:szCs w:val="21"/>
        </w:rPr>
        <w:t xml:space="preserve">A.1 </w:t>
      </w:r>
      <w:r w:rsidRPr="00624150">
        <w:rPr>
          <w:rFonts w:ascii="Arial" w:eastAsia="黑体" w:hAnsi="Arial" w:cs="Arial"/>
          <w:szCs w:val="21"/>
        </w:rPr>
        <w:t>一体化压缩机所用原材料</w:t>
      </w:r>
      <w:r w:rsidRPr="00624150">
        <w:rPr>
          <w:rFonts w:ascii="Arial" w:eastAsia="黑体" w:hAnsi="Arial" w:cs="Arial"/>
          <w:szCs w:val="21"/>
        </w:rPr>
        <w:t>/</w:t>
      </w:r>
      <w:r w:rsidRPr="00624150">
        <w:rPr>
          <w:rFonts w:ascii="Arial" w:eastAsia="黑体" w:hAnsi="Arial" w:cs="Arial"/>
          <w:szCs w:val="21"/>
        </w:rPr>
        <w:t>预制部件清单</w:t>
      </w:r>
    </w:p>
    <w:tbl>
      <w:tblPr>
        <w:tblStyle w:val="af3"/>
        <w:tblW w:w="0" w:type="auto"/>
        <w:tblLook w:val="04A0" w:firstRow="1" w:lastRow="0" w:firstColumn="1" w:lastColumn="0" w:noHBand="0" w:noVBand="1"/>
      </w:tblPr>
      <w:tblGrid>
        <w:gridCol w:w="1185"/>
        <w:gridCol w:w="1185"/>
        <w:gridCol w:w="1185"/>
        <w:gridCol w:w="1185"/>
        <w:gridCol w:w="1185"/>
        <w:gridCol w:w="1185"/>
        <w:gridCol w:w="1186"/>
      </w:tblGrid>
      <w:tr w:rsidR="00624150" w:rsidRPr="00624150" w:rsidTr="00F95A4B">
        <w:tc>
          <w:tcPr>
            <w:tcW w:w="118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类型</w:t>
            </w:r>
          </w:p>
        </w:tc>
        <w:tc>
          <w:tcPr>
            <w:tcW w:w="1185" w:type="dxa"/>
            <w:vAlign w:val="center"/>
          </w:tcPr>
          <w:p w:rsidR="00624150" w:rsidRPr="00624150" w:rsidRDefault="00624150" w:rsidP="00F95A4B">
            <w:pPr>
              <w:jc w:val="center"/>
              <w:rPr>
                <w:rFonts w:ascii="Times New Roman" w:eastAsia="宋体" w:hAnsi="Times New Roman" w:cs="Times New Roman"/>
                <w:b/>
                <w:szCs w:val="21"/>
              </w:rPr>
            </w:pPr>
          </w:p>
        </w:tc>
        <w:tc>
          <w:tcPr>
            <w:tcW w:w="118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零部件名称</w:t>
            </w:r>
          </w:p>
        </w:tc>
        <w:tc>
          <w:tcPr>
            <w:tcW w:w="118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规格型号</w:t>
            </w:r>
          </w:p>
        </w:tc>
        <w:tc>
          <w:tcPr>
            <w:tcW w:w="118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材料种类</w:t>
            </w:r>
          </w:p>
        </w:tc>
        <w:tc>
          <w:tcPr>
            <w:tcW w:w="118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质量</w:t>
            </w:r>
            <w:r w:rsidRPr="00624150">
              <w:rPr>
                <w:rFonts w:ascii="Times New Roman" w:eastAsia="宋体" w:hAnsi="Times New Roman" w:cs="Times New Roman" w:hint="eastAsia"/>
                <w:b/>
                <w:szCs w:val="21"/>
              </w:rPr>
              <w:t>kg</w:t>
            </w:r>
          </w:p>
        </w:tc>
        <w:tc>
          <w:tcPr>
            <w:tcW w:w="1186"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数量</w:t>
            </w: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产品本体</w:t>
            </w: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r w:rsidRPr="00624150">
              <w:rPr>
                <w:rFonts w:ascii="Times New Roman" w:eastAsia="宋体" w:hAnsi="Times New Roman" w:cs="Times New Roman" w:hint="eastAsia"/>
                <w:szCs w:val="21"/>
              </w:rPr>
              <w:t>包装材料</w:t>
            </w: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5" w:type="dxa"/>
          </w:tcPr>
          <w:p w:rsidR="00624150" w:rsidRPr="00624150" w:rsidRDefault="00624150" w:rsidP="00F95A4B">
            <w:pPr>
              <w:rPr>
                <w:rFonts w:ascii="Times New Roman" w:eastAsia="宋体" w:hAnsi="Times New Roman" w:cs="Times New Roman"/>
                <w:szCs w:val="21"/>
              </w:rPr>
            </w:pPr>
          </w:p>
        </w:tc>
        <w:tc>
          <w:tcPr>
            <w:tcW w:w="1186" w:type="dxa"/>
          </w:tcPr>
          <w:p w:rsidR="00624150" w:rsidRPr="00624150" w:rsidRDefault="00624150" w:rsidP="00F95A4B">
            <w:pPr>
              <w:rPr>
                <w:rFonts w:ascii="Times New Roman" w:eastAsia="宋体" w:hAnsi="Times New Roman" w:cs="Times New Roman"/>
                <w:szCs w:val="21"/>
              </w:rPr>
            </w:pPr>
          </w:p>
        </w:tc>
      </w:tr>
    </w:tbl>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jc w:val="center"/>
        <w:rPr>
          <w:rFonts w:ascii="Arial" w:eastAsia="黑体" w:hAnsi="Arial" w:cs="Arial"/>
          <w:szCs w:val="21"/>
        </w:rPr>
      </w:pPr>
      <w:r w:rsidRPr="00624150">
        <w:rPr>
          <w:rFonts w:ascii="Arial" w:eastAsia="黑体" w:hAnsi="Arial" w:cs="Arial" w:hint="eastAsia"/>
          <w:szCs w:val="21"/>
        </w:rPr>
        <w:t>表</w:t>
      </w:r>
      <w:r w:rsidRPr="00624150">
        <w:rPr>
          <w:rFonts w:ascii="Arial" w:eastAsia="黑体" w:hAnsi="Arial" w:cs="Arial"/>
          <w:szCs w:val="21"/>
        </w:rPr>
        <w:t xml:space="preserve">A.2 </w:t>
      </w:r>
      <w:r w:rsidRPr="00624150">
        <w:rPr>
          <w:rFonts w:ascii="Arial" w:eastAsia="黑体" w:hAnsi="Arial" w:cs="Arial" w:hint="eastAsia"/>
          <w:szCs w:val="21"/>
        </w:rPr>
        <w:t>一体化压缩机运输阶段清单</w:t>
      </w:r>
    </w:p>
    <w:tbl>
      <w:tblPr>
        <w:tblStyle w:val="af3"/>
        <w:tblW w:w="0" w:type="auto"/>
        <w:tblLook w:val="04A0" w:firstRow="1" w:lastRow="0" w:firstColumn="1" w:lastColumn="0" w:noHBand="0" w:noVBand="1"/>
      </w:tblPr>
      <w:tblGrid>
        <w:gridCol w:w="1659"/>
        <w:gridCol w:w="1659"/>
        <w:gridCol w:w="1659"/>
        <w:gridCol w:w="1659"/>
        <w:gridCol w:w="1660"/>
      </w:tblGrid>
      <w:tr w:rsidR="00624150" w:rsidRPr="00624150" w:rsidTr="00F95A4B">
        <w:tc>
          <w:tcPr>
            <w:tcW w:w="1659"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运输对象</w:t>
            </w:r>
            <w:r w:rsidRPr="00624150">
              <w:rPr>
                <w:rFonts w:ascii="Times New Roman" w:eastAsia="宋体" w:hAnsi="Times New Roman" w:cs="Times New Roman" w:hint="eastAsia"/>
                <w:b/>
                <w:szCs w:val="21"/>
              </w:rPr>
              <w:t>/</w:t>
            </w:r>
            <w:r w:rsidRPr="00624150">
              <w:rPr>
                <w:rFonts w:ascii="Times New Roman" w:eastAsia="宋体" w:hAnsi="Times New Roman" w:cs="Times New Roman" w:hint="eastAsia"/>
                <w:b/>
                <w:szCs w:val="21"/>
              </w:rPr>
              <w:t>零部件名称</w:t>
            </w:r>
          </w:p>
        </w:tc>
        <w:tc>
          <w:tcPr>
            <w:tcW w:w="1659"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质量（公斤</w:t>
            </w:r>
            <w:r w:rsidRPr="00624150">
              <w:rPr>
                <w:rFonts w:ascii="Times New Roman" w:eastAsia="宋体" w:hAnsi="Times New Roman" w:cs="Times New Roman" w:hint="eastAsia"/>
                <w:b/>
                <w:szCs w:val="21"/>
              </w:rPr>
              <w:t>/kg</w:t>
            </w:r>
            <w:r w:rsidRPr="00624150">
              <w:rPr>
                <w:rFonts w:ascii="Times New Roman" w:eastAsia="宋体" w:hAnsi="Times New Roman" w:cs="Times New Roman" w:hint="eastAsia"/>
                <w:b/>
                <w:szCs w:val="21"/>
              </w:rPr>
              <w:t>）</w:t>
            </w:r>
          </w:p>
        </w:tc>
        <w:tc>
          <w:tcPr>
            <w:tcW w:w="1659"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运输距离（公里</w:t>
            </w:r>
            <w:r w:rsidRPr="00624150">
              <w:rPr>
                <w:rFonts w:ascii="Times New Roman" w:eastAsia="宋体" w:hAnsi="Times New Roman" w:cs="Times New Roman" w:hint="eastAsia"/>
                <w:b/>
                <w:szCs w:val="21"/>
              </w:rPr>
              <w:t>/km</w:t>
            </w:r>
            <w:r w:rsidRPr="00624150">
              <w:rPr>
                <w:rFonts w:ascii="Times New Roman" w:eastAsia="宋体" w:hAnsi="Times New Roman" w:cs="Times New Roman" w:hint="eastAsia"/>
                <w:b/>
                <w:szCs w:val="21"/>
              </w:rPr>
              <w:t>）</w:t>
            </w:r>
          </w:p>
        </w:tc>
        <w:tc>
          <w:tcPr>
            <w:tcW w:w="1659"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运输工具</w:t>
            </w:r>
          </w:p>
        </w:tc>
        <w:tc>
          <w:tcPr>
            <w:tcW w:w="1660"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燃料类型</w:t>
            </w:r>
          </w:p>
        </w:tc>
      </w:tr>
      <w:tr w:rsidR="00624150" w:rsidRPr="00624150" w:rsidTr="00F95A4B">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60"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60"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60"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59" w:type="dxa"/>
          </w:tcPr>
          <w:p w:rsidR="00624150" w:rsidRPr="00624150" w:rsidRDefault="00624150" w:rsidP="00F95A4B">
            <w:pPr>
              <w:rPr>
                <w:rFonts w:ascii="Times New Roman" w:eastAsia="宋体" w:hAnsi="Times New Roman" w:cs="Times New Roman"/>
                <w:szCs w:val="21"/>
              </w:rPr>
            </w:pPr>
          </w:p>
        </w:tc>
        <w:tc>
          <w:tcPr>
            <w:tcW w:w="1660" w:type="dxa"/>
          </w:tcPr>
          <w:p w:rsidR="00624150" w:rsidRPr="00624150" w:rsidRDefault="00624150" w:rsidP="00F95A4B">
            <w:pPr>
              <w:rPr>
                <w:rFonts w:ascii="Times New Roman" w:eastAsia="宋体" w:hAnsi="Times New Roman" w:cs="Times New Roman"/>
                <w:szCs w:val="21"/>
              </w:rPr>
            </w:pPr>
          </w:p>
        </w:tc>
      </w:tr>
    </w:tbl>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jc w:val="center"/>
        <w:rPr>
          <w:rFonts w:ascii="Arial" w:eastAsia="黑体" w:hAnsi="Arial" w:cs="Arial"/>
          <w:szCs w:val="21"/>
        </w:rPr>
      </w:pPr>
      <w:r w:rsidRPr="00624150">
        <w:rPr>
          <w:rFonts w:ascii="Arial" w:eastAsia="黑体" w:hAnsi="Arial" w:cs="Arial" w:hint="eastAsia"/>
          <w:szCs w:val="21"/>
        </w:rPr>
        <w:t>表</w:t>
      </w:r>
      <w:r w:rsidRPr="00624150">
        <w:rPr>
          <w:rFonts w:ascii="Arial" w:eastAsia="黑体" w:hAnsi="Arial" w:cs="Arial"/>
          <w:szCs w:val="21"/>
        </w:rPr>
        <w:t xml:space="preserve">A.3 </w:t>
      </w:r>
      <w:r w:rsidRPr="00624150">
        <w:rPr>
          <w:rFonts w:ascii="Arial" w:eastAsia="黑体" w:hAnsi="Arial" w:cs="Arial" w:hint="eastAsia"/>
          <w:szCs w:val="21"/>
        </w:rPr>
        <w:t>一体化压缩机生产阶段清单</w:t>
      </w:r>
    </w:p>
    <w:tbl>
      <w:tblPr>
        <w:tblStyle w:val="af3"/>
        <w:tblW w:w="0" w:type="auto"/>
        <w:tblLook w:val="04A0" w:firstRow="1" w:lastRow="0" w:firstColumn="1" w:lastColumn="0" w:noHBand="0" w:noVBand="1"/>
      </w:tblPr>
      <w:tblGrid>
        <w:gridCol w:w="2074"/>
        <w:gridCol w:w="2074"/>
        <w:gridCol w:w="2074"/>
        <w:gridCol w:w="2074"/>
      </w:tblGrid>
      <w:tr w:rsidR="00624150" w:rsidRPr="00624150" w:rsidTr="00F95A4B">
        <w:tc>
          <w:tcPr>
            <w:tcW w:w="2074"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能耗</w:t>
            </w:r>
            <w:r w:rsidRPr="00624150">
              <w:rPr>
                <w:rFonts w:ascii="Times New Roman" w:eastAsia="宋体" w:hAnsi="Times New Roman" w:cs="Times New Roman"/>
                <w:b/>
                <w:szCs w:val="21"/>
              </w:rPr>
              <w:t>/</w:t>
            </w:r>
            <w:r w:rsidRPr="00624150">
              <w:rPr>
                <w:rFonts w:ascii="Times New Roman" w:eastAsia="宋体" w:hAnsi="Times New Roman" w:cs="Times New Roman"/>
                <w:b/>
                <w:szCs w:val="21"/>
              </w:rPr>
              <w:t>其他物质消耗量种类</w:t>
            </w:r>
          </w:p>
        </w:tc>
        <w:tc>
          <w:tcPr>
            <w:tcW w:w="2074"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单位</w:t>
            </w:r>
          </w:p>
        </w:tc>
        <w:tc>
          <w:tcPr>
            <w:tcW w:w="2074"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热值</w:t>
            </w:r>
          </w:p>
        </w:tc>
        <w:tc>
          <w:tcPr>
            <w:tcW w:w="2074"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单位产品消耗量</w:t>
            </w:r>
          </w:p>
        </w:tc>
      </w:tr>
      <w:tr w:rsidR="00624150" w:rsidRPr="00624150" w:rsidTr="00F95A4B">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c>
          <w:tcPr>
            <w:tcW w:w="2074" w:type="dxa"/>
          </w:tcPr>
          <w:p w:rsidR="00624150" w:rsidRPr="00624150" w:rsidRDefault="00624150" w:rsidP="00F95A4B">
            <w:pPr>
              <w:rPr>
                <w:rFonts w:ascii="Times New Roman" w:eastAsia="宋体" w:hAnsi="Times New Roman" w:cs="Times New Roman"/>
                <w:szCs w:val="21"/>
              </w:rPr>
            </w:pPr>
          </w:p>
        </w:tc>
      </w:tr>
    </w:tbl>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jc w:val="center"/>
        <w:rPr>
          <w:rFonts w:ascii="Arial" w:eastAsia="黑体" w:hAnsi="Arial" w:cs="Arial"/>
          <w:szCs w:val="21"/>
        </w:rPr>
      </w:pPr>
      <w:r w:rsidRPr="00624150">
        <w:rPr>
          <w:rFonts w:ascii="Arial" w:eastAsia="黑体" w:hAnsi="Arial" w:cs="Arial" w:hint="eastAsia"/>
          <w:szCs w:val="21"/>
        </w:rPr>
        <w:t>表</w:t>
      </w:r>
      <w:r w:rsidRPr="00624150">
        <w:rPr>
          <w:rFonts w:ascii="Arial" w:eastAsia="黑体" w:hAnsi="Arial" w:cs="Arial"/>
          <w:szCs w:val="21"/>
        </w:rPr>
        <w:t xml:space="preserve">A.4 </w:t>
      </w:r>
      <w:r w:rsidRPr="00624150">
        <w:rPr>
          <w:rFonts w:ascii="Arial" w:eastAsia="黑体" w:hAnsi="Arial" w:cs="Arial" w:hint="eastAsia"/>
          <w:szCs w:val="21"/>
        </w:rPr>
        <w:t>一体化压缩机生产阶段清单</w:t>
      </w:r>
    </w:p>
    <w:tbl>
      <w:tblPr>
        <w:tblStyle w:val="af3"/>
        <w:tblW w:w="0" w:type="auto"/>
        <w:tblLook w:val="04A0" w:firstRow="1" w:lastRow="0" w:firstColumn="1" w:lastColumn="0" w:noHBand="0" w:noVBand="1"/>
      </w:tblPr>
      <w:tblGrid>
        <w:gridCol w:w="2765"/>
        <w:gridCol w:w="2765"/>
        <w:gridCol w:w="2766"/>
      </w:tblGrid>
      <w:tr w:rsidR="00624150" w:rsidRPr="00624150" w:rsidTr="00F95A4B">
        <w:tc>
          <w:tcPr>
            <w:tcW w:w="276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名称</w:t>
            </w:r>
          </w:p>
        </w:tc>
        <w:tc>
          <w:tcPr>
            <w:tcW w:w="2765"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单位</w:t>
            </w:r>
          </w:p>
        </w:tc>
        <w:tc>
          <w:tcPr>
            <w:tcW w:w="2766" w:type="dxa"/>
            <w:vAlign w:val="center"/>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数量</w:t>
            </w:r>
          </w:p>
        </w:tc>
      </w:tr>
      <w:tr w:rsidR="00624150" w:rsidRPr="00624150" w:rsidTr="00F95A4B">
        <w:tc>
          <w:tcPr>
            <w:tcW w:w="2765" w:type="dxa"/>
          </w:tcPr>
          <w:p w:rsidR="00624150" w:rsidRPr="00624150" w:rsidRDefault="00624150" w:rsidP="00F95A4B">
            <w:pPr>
              <w:rPr>
                <w:rFonts w:ascii="Times New Roman" w:eastAsia="宋体" w:hAnsi="Times New Roman" w:cs="Times New Roman"/>
                <w:szCs w:val="21"/>
              </w:rPr>
            </w:pPr>
          </w:p>
        </w:tc>
        <w:tc>
          <w:tcPr>
            <w:tcW w:w="2765" w:type="dxa"/>
          </w:tcPr>
          <w:p w:rsidR="00624150" w:rsidRPr="00624150" w:rsidRDefault="00624150" w:rsidP="00F95A4B">
            <w:pPr>
              <w:rPr>
                <w:rFonts w:ascii="Times New Roman" w:eastAsia="宋体" w:hAnsi="Times New Roman" w:cs="Times New Roman"/>
                <w:szCs w:val="21"/>
              </w:rPr>
            </w:pPr>
          </w:p>
        </w:tc>
        <w:tc>
          <w:tcPr>
            <w:tcW w:w="276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765" w:type="dxa"/>
          </w:tcPr>
          <w:p w:rsidR="00624150" w:rsidRPr="00624150" w:rsidRDefault="00624150" w:rsidP="00F95A4B">
            <w:pPr>
              <w:rPr>
                <w:rFonts w:ascii="Times New Roman" w:eastAsia="宋体" w:hAnsi="Times New Roman" w:cs="Times New Roman"/>
                <w:szCs w:val="21"/>
              </w:rPr>
            </w:pPr>
          </w:p>
        </w:tc>
        <w:tc>
          <w:tcPr>
            <w:tcW w:w="2765" w:type="dxa"/>
          </w:tcPr>
          <w:p w:rsidR="00624150" w:rsidRPr="00624150" w:rsidRDefault="00624150" w:rsidP="00F95A4B">
            <w:pPr>
              <w:rPr>
                <w:rFonts w:ascii="Times New Roman" w:eastAsia="宋体" w:hAnsi="Times New Roman" w:cs="Times New Roman"/>
                <w:szCs w:val="21"/>
              </w:rPr>
            </w:pPr>
          </w:p>
        </w:tc>
        <w:tc>
          <w:tcPr>
            <w:tcW w:w="2766" w:type="dxa"/>
          </w:tcPr>
          <w:p w:rsidR="00624150" w:rsidRPr="00624150" w:rsidRDefault="00624150" w:rsidP="00F95A4B">
            <w:pPr>
              <w:rPr>
                <w:rFonts w:ascii="Times New Roman" w:eastAsia="宋体" w:hAnsi="Times New Roman" w:cs="Times New Roman"/>
                <w:szCs w:val="21"/>
              </w:rPr>
            </w:pPr>
          </w:p>
        </w:tc>
      </w:tr>
      <w:tr w:rsidR="00624150" w:rsidRPr="00624150" w:rsidTr="00F95A4B">
        <w:tc>
          <w:tcPr>
            <w:tcW w:w="2765" w:type="dxa"/>
          </w:tcPr>
          <w:p w:rsidR="00624150" w:rsidRPr="00624150" w:rsidRDefault="00624150" w:rsidP="00F95A4B">
            <w:pPr>
              <w:rPr>
                <w:rFonts w:ascii="Times New Roman" w:eastAsia="宋体" w:hAnsi="Times New Roman" w:cs="Times New Roman"/>
                <w:szCs w:val="21"/>
              </w:rPr>
            </w:pPr>
          </w:p>
        </w:tc>
        <w:tc>
          <w:tcPr>
            <w:tcW w:w="2765" w:type="dxa"/>
          </w:tcPr>
          <w:p w:rsidR="00624150" w:rsidRPr="00624150" w:rsidRDefault="00624150" w:rsidP="00F95A4B">
            <w:pPr>
              <w:rPr>
                <w:rFonts w:ascii="Times New Roman" w:eastAsia="宋体" w:hAnsi="Times New Roman" w:cs="Times New Roman"/>
                <w:szCs w:val="21"/>
              </w:rPr>
            </w:pPr>
          </w:p>
        </w:tc>
        <w:tc>
          <w:tcPr>
            <w:tcW w:w="2766" w:type="dxa"/>
          </w:tcPr>
          <w:p w:rsidR="00624150" w:rsidRPr="00624150" w:rsidRDefault="00624150" w:rsidP="00F95A4B">
            <w:pPr>
              <w:rPr>
                <w:rFonts w:ascii="Times New Roman" w:eastAsia="宋体" w:hAnsi="Times New Roman" w:cs="Times New Roman"/>
                <w:szCs w:val="21"/>
              </w:rPr>
            </w:pPr>
          </w:p>
        </w:tc>
      </w:tr>
    </w:tbl>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A.3.4.2</w:t>
      </w:r>
      <w:r w:rsidRPr="00624150">
        <w:rPr>
          <w:rFonts w:hint="eastAsia"/>
          <w:sz w:val="21"/>
          <w:szCs w:val="21"/>
        </w:rPr>
        <w:t>清单分析</w:t>
      </w:r>
      <w:r w:rsidRPr="00624150">
        <w:rPr>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Times New Roman" w:eastAsia="宋体" w:hAnsi="Times New Roman" w:cs="Times New Roman"/>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w:t>
      </w:r>
      <w:r w:rsidRPr="00624150">
        <w:rPr>
          <w:rFonts w:ascii="Times New Roman" w:eastAsia="宋体" w:hAnsi="Times New Roman" w:cs="Times New Roman"/>
          <w:szCs w:val="21"/>
        </w:rPr>
        <w:t>A.4.2</w:t>
      </w:r>
      <w:r w:rsidRPr="00624150">
        <w:rPr>
          <w:rFonts w:ascii="Times New Roman" w:eastAsia="宋体" w:hAnsi="Times New Roman" w:cs="Times New Roman"/>
          <w:szCs w:val="21"/>
        </w:rPr>
        <w:t>中附表各个清单因子的量（以</w:t>
      </w:r>
      <w:r w:rsidRPr="00624150">
        <w:rPr>
          <w:rFonts w:ascii="Times New Roman" w:eastAsia="宋体" w:hAnsi="Times New Roman" w:cs="Times New Roman"/>
          <w:szCs w:val="21"/>
        </w:rPr>
        <w:t>kg</w:t>
      </w:r>
      <w:r w:rsidRPr="00624150">
        <w:rPr>
          <w:rFonts w:ascii="Times New Roman" w:eastAsia="宋体" w:hAnsi="Times New Roman" w:cs="Times New Roman"/>
          <w:szCs w:val="21"/>
        </w:rPr>
        <w:t>为单位），为分类评价做准备。</w:t>
      </w: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 xml:space="preserve">A.4 </w:t>
      </w:r>
      <w:r w:rsidRPr="00624150">
        <w:rPr>
          <w:rFonts w:hint="eastAsia"/>
          <w:sz w:val="21"/>
          <w:szCs w:val="21"/>
        </w:rPr>
        <w:t>影响评价</w:t>
      </w:r>
      <w:r w:rsidRPr="00624150">
        <w:rPr>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lastRenderedPageBreak/>
        <w:t xml:space="preserve">A.4.1 </w:t>
      </w:r>
      <w:r w:rsidRPr="00624150">
        <w:rPr>
          <w:rFonts w:hint="eastAsia"/>
          <w:sz w:val="21"/>
          <w:szCs w:val="21"/>
        </w:rPr>
        <w:t>影响类型</w:t>
      </w:r>
      <w:r w:rsidRPr="00624150">
        <w:rPr>
          <w:sz w:val="21"/>
          <w:szCs w:val="21"/>
        </w:rPr>
        <w:t xml:space="preserve"> </w:t>
      </w:r>
    </w:p>
    <w:p w:rsidR="00624150" w:rsidRPr="00624150" w:rsidRDefault="00624150" w:rsidP="00624150">
      <w:pPr>
        <w:pStyle w:val="Default"/>
        <w:spacing w:before="240" w:after="240"/>
        <w:rPr>
          <w:rFonts w:ascii="宋体" w:eastAsia="宋体" w:cs="宋体"/>
          <w:sz w:val="21"/>
          <w:szCs w:val="21"/>
        </w:rPr>
      </w:pPr>
      <w:r w:rsidRPr="00624150">
        <w:rPr>
          <w:rFonts w:ascii="宋体" w:eastAsia="宋体" w:cs="宋体" w:hint="eastAsia"/>
          <w:sz w:val="21"/>
          <w:szCs w:val="21"/>
        </w:rPr>
        <w:t>一体化压缩机的影响类型采用气候变化指标。</w:t>
      </w:r>
      <w:r w:rsidRPr="00624150">
        <w:rPr>
          <w:rFonts w:ascii="宋体" w:eastAsia="宋体" w:cs="宋体"/>
          <w:sz w:val="21"/>
          <w:szCs w:val="21"/>
        </w:rPr>
        <w:t xml:space="preserve"> </w:t>
      </w:r>
    </w:p>
    <w:p w:rsidR="00624150" w:rsidRPr="00624150" w:rsidRDefault="00624150" w:rsidP="00624150">
      <w:pPr>
        <w:pStyle w:val="Default"/>
        <w:spacing w:before="240" w:after="240"/>
        <w:rPr>
          <w:sz w:val="21"/>
          <w:szCs w:val="21"/>
        </w:rPr>
      </w:pPr>
      <w:r w:rsidRPr="00624150">
        <w:rPr>
          <w:sz w:val="21"/>
          <w:szCs w:val="21"/>
        </w:rPr>
        <w:t xml:space="preserve">A.4.2 </w:t>
      </w:r>
      <w:r w:rsidRPr="00624150">
        <w:rPr>
          <w:rFonts w:hint="eastAsia"/>
          <w:sz w:val="21"/>
          <w:szCs w:val="21"/>
        </w:rPr>
        <w:t>清单因子归类</w:t>
      </w:r>
      <w:r w:rsidRPr="00624150">
        <w:rPr>
          <w:sz w:val="21"/>
          <w:szCs w:val="21"/>
        </w:rPr>
        <w:t xml:space="preserve"> </w:t>
      </w:r>
    </w:p>
    <w:p w:rsidR="00624150" w:rsidRPr="00624150" w:rsidRDefault="00624150" w:rsidP="00624150">
      <w:pPr>
        <w:ind w:firstLineChars="200" w:firstLine="420"/>
        <w:rPr>
          <w:rFonts w:ascii="Times New Roman" w:eastAsia="宋体" w:hAnsi="Times New Roman" w:cs="Times New Roman"/>
          <w:szCs w:val="21"/>
        </w:rPr>
      </w:pPr>
      <w:r w:rsidRPr="00624150">
        <w:rPr>
          <w:rFonts w:ascii="宋体" w:eastAsia="宋体" w:cs="宋体" w:hint="eastAsia"/>
          <w:szCs w:val="21"/>
        </w:rPr>
        <w:t>根据清单因子的物理化学性质，将对某影响类型有贡献的因子归到一起。例如，将对气候变化有贡献的二氧化碳、一氧化二氮等清单因子归到气候变化影响类型里面。</w:t>
      </w:r>
    </w:p>
    <w:p w:rsidR="00624150" w:rsidRPr="00624150" w:rsidRDefault="00624150" w:rsidP="00624150">
      <w:pPr>
        <w:jc w:val="center"/>
        <w:rPr>
          <w:rFonts w:ascii="Arial" w:eastAsia="黑体" w:hAnsi="Arial" w:cs="Arial"/>
          <w:szCs w:val="21"/>
        </w:rPr>
      </w:pPr>
      <w:r w:rsidRPr="00624150">
        <w:rPr>
          <w:rFonts w:ascii="Arial" w:eastAsia="黑体" w:hAnsi="Arial" w:cs="Arial" w:hint="eastAsia"/>
          <w:szCs w:val="21"/>
        </w:rPr>
        <w:t>表</w:t>
      </w:r>
      <w:r w:rsidRPr="00624150">
        <w:rPr>
          <w:rFonts w:ascii="Arial" w:eastAsia="黑体" w:hAnsi="Arial" w:cs="Arial"/>
          <w:szCs w:val="21"/>
        </w:rPr>
        <w:t xml:space="preserve">A.5 </w:t>
      </w:r>
      <w:r w:rsidRPr="00624150">
        <w:rPr>
          <w:rFonts w:ascii="Arial" w:eastAsia="黑体" w:hAnsi="Arial" w:cs="Arial" w:hint="eastAsia"/>
          <w:szCs w:val="21"/>
        </w:rPr>
        <w:t>一体化压缩机生命周期清单因子归类示例</w:t>
      </w:r>
    </w:p>
    <w:tbl>
      <w:tblPr>
        <w:tblStyle w:val="af3"/>
        <w:tblW w:w="0" w:type="auto"/>
        <w:tblLook w:val="04A0" w:firstRow="1" w:lastRow="0" w:firstColumn="1" w:lastColumn="0" w:noHBand="0" w:noVBand="1"/>
      </w:tblPr>
      <w:tblGrid>
        <w:gridCol w:w="4148"/>
        <w:gridCol w:w="4148"/>
      </w:tblGrid>
      <w:tr w:rsidR="00624150" w:rsidRPr="00624150" w:rsidTr="00F95A4B">
        <w:tc>
          <w:tcPr>
            <w:tcW w:w="4148"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影响类型</w:t>
            </w:r>
          </w:p>
        </w:tc>
        <w:tc>
          <w:tcPr>
            <w:tcW w:w="4148"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hint="eastAsia"/>
                <w:b/>
                <w:szCs w:val="21"/>
              </w:rPr>
              <w:t>清单因子归类</w:t>
            </w:r>
          </w:p>
        </w:tc>
      </w:tr>
      <w:tr w:rsidR="00624150" w:rsidRPr="00624150" w:rsidTr="00F95A4B">
        <w:tc>
          <w:tcPr>
            <w:tcW w:w="4148" w:type="dxa"/>
          </w:tcPr>
          <w:p w:rsidR="00624150" w:rsidRPr="00624150" w:rsidRDefault="00624150" w:rsidP="00F95A4B">
            <w:pPr>
              <w:pStyle w:val="Default"/>
              <w:spacing w:before="240" w:after="240"/>
              <w:jc w:val="center"/>
              <w:rPr>
                <w:rFonts w:ascii="Times New Roman" w:eastAsia="宋体" w:hAnsi="Times New Roman" w:cs="Times New Roman"/>
                <w:sz w:val="21"/>
                <w:szCs w:val="21"/>
              </w:rPr>
            </w:pPr>
            <w:r w:rsidRPr="00624150">
              <w:rPr>
                <w:rFonts w:ascii="Times New Roman" w:eastAsia="宋体" w:hAnsi="Times New Roman" w:cs="Times New Roman"/>
                <w:sz w:val="21"/>
                <w:szCs w:val="21"/>
              </w:rPr>
              <w:t>气候变化</w:t>
            </w:r>
            <w:r w:rsidRPr="00624150">
              <w:rPr>
                <w:rFonts w:ascii="Times New Roman" w:eastAsia="宋体" w:hAnsi="Times New Roman" w:cs="Times New Roman"/>
                <w:sz w:val="21"/>
                <w:szCs w:val="21"/>
              </w:rPr>
              <w:t>/</w:t>
            </w:r>
            <w:r w:rsidRPr="00624150">
              <w:rPr>
                <w:rFonts w:ascii="Times New Roman" w:eastAsia="宋体" w:hAnsi="Times New Roman" w:cs="Times New Roman"/>
                <w:sz w:val="21"/>
                <w:szCs w:val="21"/>
              </w:rPr>
              <w:t>碳足迹</w:t>
            </w:r>
          </w:p>
        </w:tc>
        <w:tc>
          <w:tcPr>
            <w:tcW w:w="4148" w:type="dxa"/>
          </w:tcPr>
          <w:p w:rsidR="00624150" w:rsidRPr="00624150" w:rsidRDefault="00624150" w:rsidP="00F95A4B">
            <w:pPr>
              <w:pStyle w:val="Default"/>
              <w:spacing w:before="240" w:after="240"/>
              <w:jc w:val="center"/>
              <w:rPr>
                <w:rFonts w:ascii="Times New Roman" w:eastAsia="宋体" w:hAnsi="Times New Roman" w:cs="Times New Roman"/>
                <w:sz w:val="21"/>
                <w:szCs w:val="21"/>
              </w:rPr>
            </w:pPr>
            <w:r w:rsidRPr="00624150">
              <w:rPr>
                <w:rFonts w:ascii="Times New Roman" w:eastAsia="宋体" w:hAnsi="Times New Roman" w:cs="Times New Roman"/>
                <w:sz w:val="21"/>
                <w:szCs w:val="21"/>
              </w:rPr>
              <w:t>二氧化碳（</w:t>
            </w:r>
            <w:r w:rsidRPr="00624150">
              <w:rPr>
                <w:rFonts w:ascii="Times New Roman" w:eastAsia="宋体" w:hAnsi="Times New Roman" w:cs="Times New Roman"/>
                <w:sz w:val="21"/>
                <w:szCs w:val="21"/>
              </w:rPr>
              <w:t>CO</w:t>
            </w:r>
            <w:r w:rsidRPr="00624150">
              <w:rPr>
                <w:rFonts w:ascii="Times New Roman" w:eastAsia="宋体" w:hAnsi="Times New Roman" w:cs="Times New Roman"/>
                <w:sz w:val="21"/>
                <w:szCs w:val="21"/>
                <w:vertAlign w:val="subscript"/>
              </w:rPr>
              <w:t>2</w:t>
            </w:r>
            <w:r w:rsidRPr="00624150">
              <w:rPr>
                <w:rFonts w:ascii="Times New Roman" w:eastAsia="宋体" w:hAnsi="Times New Roman" w:cs="Times New Roman"/>
                <w:sz w:val="21"/>
                <w:szCs w:val="21"/>
              </w:rPr>
              <w:t>）、甲烷（</w:t>
            </w:r>
            <w:r w:rsidRPr="00624150">
              <w:rPr>
                <w:rFonts w:ascii="Times New Roman" w:eastAsia="宋体" w:hAnsi="Times New Roman" w:cs="Times New Roman"/>
                <w:sz w:val="21"/>
                <w:szCs w:val="21"/>
              </w:rPr>
              <w:t>CH</w:t>
            </w:r>
            <w:r w:rsidRPr="00624150">
              <w:rPr>
                <w:rFonts w:ascii="Times New Roman" w:eastAsia="宋体" w:hAnsi="Times New Roman" w:cs="Times New Roman"/>
                <w:sz w:val="21"/>
                <w:szCs w:val="21"/>
                <w:vertAlign w:val="subscript"/>
              </w:rPr>
              <w:t>4</w:t>
            </w:r>
            <w:r w:rsidRPr="00624150">
              <w:rPr>
                <w:rFonts w:ascii="Times New Roman" w:eastAsia="宋体" w:hAnsi="Times New Roman" w:cs="Times New Roman"/>
                <w:sz w:val="21"/>
                <w:szCs w:val="21"/>
              </w:rPr>
              <w:t>）、氧化亚氮（</w:t>
            </w:r>
            <w:r w:rsidRPr="00624150">
              <w:rPr>
                <w:rFonts w:ascii="Times New Roman" w:eastAsia="宋体" w:hAnsi="Times New Roman" w:cs="Times New Roman"/>
                <w:sz w:val="21"/>
                <w:szCs w:val="21"/>
              </w:rPr>
              <w:t>N</w:t>
            </w:r>
            <w:r w:rsidRPr="00624150">
              <w:rPr>
                <w:rFonts w:ascii="Times New Roman" w:eastAsia="宋体" w:hAnsi="Times New Roman" w:cs="Times New Roman"/>
                <w:sz w:val="21"/>
                <w:szCs w:val="21"/>
                <w:vertAlign w:val="subscript"/>
              </w:rPr>
              <w:t>2</w:t>
            </w:r>
            <w:r w:rsidRPr="00624150">
              <w:rPr>
                <w:rFonts w:ascii="Times New Roman" w:eastAsia="宋体" w:hAnsi="Times New Roman" w:cs="Times New Roman"/>
                <w:sz w:val="21"/>
                <w:szCs w:val="21"/>
              </w:rPr>
              <w:t>O</w:t>
            </w:r>
            <w:r w:rsidRPr="00624150">
              <w:rPr>
                <w:rFonts w:ascii="Times New Roman" w:eastAsia="宋体" w:hAnsi="Times New Roman" w:cs="Times New Roman"/>
                <w:sz w:val="21"/>
                <w:szCs w:val="21"/>
              </w:rPr>
              <w:t>）、氢氟碳化物（</w:t>
            </w:r>
            <w:r w:rsidRPr="00624150">
              <w:rPr>
                <w:rFonts w:ascii="Times New Roman" w:eastAsia="宋体" w:hAnsi="Times New Roman" w:cs="Times New Roman"/>
                <w:sz w:val="21"/>
                <w:szCs w:val="21"/>
              </w:rPr>
              <w:t>HFCs</w:t>
            </w:r>
            <w:r w:rsidRPr="00624150">
              <w:rPr>
                <w:rFonts w:ascii="Times New Roman" w:eastAsia="宋体" w:hAnsi="Times New Roman" w:cs="Times New Roman"/>
                <w:sz w:val="21"/>
                <w:szCs w:val="21"/>
              </w:rPr>
              <w:t>）、全氟碳化物（</w:t>
            </w:r>
            <w:r w:rsidRPr="00624150">
              <w:rPr>
                <w:rFonts w:ascii="Times New Roman" w:eastAsia="宋体" w:hAnsi="Times New Roman" w:cs="Times New Roman"/>
                <w:sz w:val="21"/>
                <w:szCs w:val="21"/>
              </w:rPr>
              <w:t>PFCs</w:t>
            </w:r>
            <w:r w:rsidRPr="00624150">
              <w:rPr>
                <w:rFonts w:ascii="Times New Roman" w:eastAsia="宋体" w:hAnsi="Times New Roman" w:cs="Times New Roman"/>
                <w:sz w:val="21"/>
                <w:szCs w:val="21"/>
              </w:rPr>
              <w:t>）、六氟化硫（</w:t>
            </w:r>
            <w:r w:rsidRPr="00624150">
              <w:rPr>
                <w:rFonts w:ascii="Times New Roman" w:eastAsia="宋体" w:hAnsi="Times New Roman" w:cs="Times New Roman"/>
                <w:sz w:val="21"/>
                <w:szCs w:val="21"/>
              </w:rPr>
              <w:t>SF</w:t>
            </w:r>
            <w:r w:rsidRPr="00624150">
              <w:rPr>
                <w:rFonts w:ascii="Times New Roman" w:eastAsia="宋体" w:hAnsi="Times New Roman" w:cs="Times New Roman"/>
                <w:sz w:val="21"/>
                <w:szCs w:val="21"/>
                <w:vertAlign w:val="subscript"/>
              </w:rPr>
              <w:t>6</w:t>
            </w:r>
            <w:r w:rsidRPr="00624150">
              <w:rPr>
                <w:rFonts w:ascii="Times New Roman" w:eastAsia="宋体" w:hAnsi="Times New Roman" w:cs="Times New Roman"/>
                <w:sz w:val="21"/>
                <w:szCs w:val="21"/>
              </w:rPr>
              <w:t>）</w:t>
            </w:r>
          </w:p>
        </w:tc>
      </w:tr>
    </w:tbl>
    <w:p w:rsidR="00624150" w:rsidRPr="00624150" w:rsidRDefault="00624150" w:rsidP="00624150">
      <w:pPr>
        <w:pStyle w:val="Default"/>
        <w:spacing w:before="240" w:after="240"/>
        <w:rPr>
          <w:sz w:val="21"/>
          <w:szCs w:val="21"/>
        </w:rPr>
      </w:pPr>
    </w:p>
    <w:p w:rsidR="00624150" w:rsidRPr="00624150" w:rsidRDefault="00624150" w:rsidP="00624150">
      <w:pPr>
        <w:pStyle w:val="Default"/>
        <w:spacing w:before="240" w:after="240"/>
        <w:rPr>
          <w:sz w:val="21"/>
          <w:szCs w:val="21"/>
        </w:rPr>
      </w:pPr>
      <w:r w:rsidRPr="00624150">
        <w:rPr>
          <w:sz w:val="21"/>
          <w:szCs w:val="21"/>
        </w:rPr>
        <w:t xml:space="preserve">A.4.3 </w:t>
      </w:r>
      <w:r w:rsidRPr="00624150">
        <w:rPr>
          <w:rFonts w:hint="eastAsia"/>
          <w:sz w:val="21"/>
          <w:szCs w:val="21"/>
        </w:rPr>
        <w:t>分类评价</w:t>
      </w:r>
      <w:r w:rsidRPr="00624150">
        <w:rPr>
          <w:sz w:val="21"/>
          <w:szCs w:val="21"/>
        </w:rPr>
        <w:t xml:space="preserve"> </w:t>
      </w:r>
    </w:p>
    <w:p w:rsidR="00624150" w:rsidRPr="00624150" w:rsidRDefault="00624150" w:rsidP="00624150">
      <w:pPr>
        <w:ind w:firstLineChars="200" w:firstLine="420"/>
        <w:jc w:val="left"/>
        <w:rPr>
          <w:rFonts w:ascii="Arial" w:eastAsia="黑体" w:hAnsi="Arial" w:cs="Arial"/>
          <w:szCs w:val="21"/>
        </w:rPr>
      </w:pPr>
      <w:r w:rsidRPr="00624150">
        <w:rPr>
          <w:rFonts w:ascii="宋体" w:eastAsia="宋体" w:cs="宋体" w:hint="eastAsia"/>
          <w:szCs w:val="21"/>
        </w:rPr>
        <w:t>计算出不同影响类型的特征化模型，采用公式（</w:t>
      </w:r>
      <w:r w:rsidRPr="00624150">
        <w:rPr>
          <w:rFonts w:ascii="宋体" w:eastAsia="宋体" w:cs="宋体"/>
          <w:szCs w:val="21"/>
        </w:rPr>
        <w:t>1</w:t>
      </w:r>
      <w:r w:rsidRPr="00624150">
        <w:rPr>
          <w:rFonts w:ascii="宋体" w:eastAsia="宋体" w:cs="宋体" w:hint="eastAsia"/>
          <w:szCs w:val="21"/>
        </w:rPr>
        <w:t>）进行计算。分类评价的结果采用附表中的当量物质表示。</w:t>
      </w:r>
    </w:p>
    <w:p w:rsidR="00624150" w:rsidRPr="00624150" w:rsidRDefault="00624150" w:rsidP="00624150">
      <w:pPr>
        <w:jc w:val="center"/>
        <w:rPr>
          <w:rFonts w:ascii="Arial" w:eastAsia="黑体" w:hAnsi="Arial" w:cs="Arial"/>
          <w:szCs w:val="21"/>
        </w:rPr>
      </w:pPr>
      <w:r w:rsidRPr="00624150">
        <w:rPr>
          <w:rFonts w:ascii="Arial" w:eastAsia="黑体" w:hAnsi="Arial" w:cs="Arial" w:hint="eastAsia"/>
          <w:szCs w:val="21"/>
        </w:rPr>
        <w:t>表</w:t>
      </w:r>
      <w:r w:rsidRPr="00624150">
        <w:rPr>
          <w:rFonts w:ascii="Arial" w:eastAsia="黑体" w:hAnsi="Arial" w:cs="Arial"/>
          <w:szCs w:val="21"/>
        </w:rPr>
        <w:t xml:space="preserve">A.6 </w:t>
      </w:r>
      <w:r w:rsidRPr="00624150">
        <w:rPr>
          <w:rFonts w:ascii="Arial" w:eastAsia="黑体" w:hAnsi="Arial" w:cs="Arial" w:hint="eastAsia"/>
          <w:szCs w:val="21"/>
        </w:rPr>
        <w:t>一体化压缩机生命周期影响评价的特征化因子</w:t>
      </w:r>
    </w:p>
    <w:tbl>
      <w:tblPr>
        <w:tblStyle w:val="af3"/>
        <w:tblW w:w="0" w:type="auto"/>
        <w:tblLook w:val="04A0" w:firstRow="1" w:lastRow="0" w:firstColumn="1" w:lastColumn="0" w:noHBand="0" w:noVBand="1"/>
      </w:tblPr>
      <w:tblGrid>
        <w:gridCol w:w="2074"/>
        <w:gridCol w:w="2074"/>
        <w:gridCol w:w="2074"/>
        <w:gridCol w:w="2074"/>
      </w:tblGrid>
      <w:tr w:rsidR="00624150" w:rsidRPr="00624150" w:rsidTr="00F95A4B">
        <w:tc>
          <w:tcPr>
            <w:tcW w:w="2074"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影响类型</w:t>
            </w:r>
          </w:p>
        </w:tc>
        <w:tc>
          <w:tcPr>
            <w:tcW w:w="2074"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单位</w:t>
            </w:r>
          </w:p>
        </w:tc>
        <w:tc>
          <w:tcPr>
            <w:tcW w:w="2074"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指标参数</w:t>
            </w:r>
          </w:p>
        </w:tc>
        <w:tc>
          <w:tcPr>
            <w:tcW w:w="2074" w:type="dxa"/>
          </w:tcPr>
          <w:p w:rsidR="00624150" w:rsidRPr="00624150" w:rsidRDefault="00624150" w:rsidP="00F95A4B">
            <w:pPr>
              <w:jc w:val="center"/>
              <w:rPr>
                <w:rFonts w:ascii="Times New Roman" w:eastAsia="宋体" w:hAnsi="Times New Roman" w:cs="Times New Roman"/>
                <w:b/>
                <w:szCs w:val="21"/>
              </w:rPr>
            </w:pPr>
            <w:r w:rsidRPr="00624150">
              <w:rPr>
                <w:rFonts w:ascii="Times New Roman" w:eastAsia="宋体" w:hAnsi="Times New Roman" w:cs="Times New Roman"/>
                <w:b/>
                <w:szCs w:val="21"/>
              </w:rPr>
              <w:t>特征化因子</w:t>
            </w:r>
          </w:p>
        </w:tc>
      </w:tr>
      <w:tr w:rsidR="00624150" w:rsidRPr="00624150" w:rsidTr="00F95A4B">
        <w:tc>
          <w:tcPr>
            <w:tcW w:w="2074" w:type="dxa"/>
            <w:vMerge w:val="restart"/>
            <w:vAlign w:val="center"/>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全球变暖</w:t>
            </w:r>
          </w:p>
        </w:tc>
        <w:tc>
          <w:tcPr>
            <w:tcW w:w="2074" w:type="dxa"/>
            <w:vMerge w:val="restart"/>
            <w:vAlign w:val="center"/>
          </w:tcPr>
          <w:p w:rsidR="00624150" w:rsidRPr="00624150" w:rsidRDefault="00624150" w:rsidP="00F95A4B">
            <w:pPr>
              <w:jc w:val="center"/>
              <w:rPr>
                <w:rFonts w:ascii="Times New Roman" w:eastAsia="宋体" w:hAnsi="Times New Roman" w:cs="Times New Roman"/>
                <w:szCs w:val="21"/>
                <w:vertAlign w:val="superscript"/>
              </w:rPr>
            </w:pPr>
            <w:r w:rsidRPr="00624150">
              <w:rPr>
                <w:rFonts w:ascii="Times New Roman" w:eastAsia="宋体" w:hAnsi="Times New Roman" w:cs="Times New Roman" w:hint="eastAsia"/>
                <w:szCs w:val="21"/>
              </w:rPr>
              <w:t>C</w:t>
            </w:r>
            <w:r w:rsidRPr="00624150">
              <w:rPr>
                <w:rFonts w:ascii="Times New Roman" w:eastAsia="宋体" w:hAnsi="Times New Roman" w:cs="Times New Roman"/>
                <w:szCs w:val="21"/>
              </w:rPr>
              <w:t>O</w:t>
            </w:r>
            <w:r w:rsidRPr="00624150">
              <w:rPr>
                <w:rFonts w:ascii="Times New Roman" w:eastAsia="宋体" w:hAnsi="Times New Roman" w:cs="Times New Roman"/>
                <w:szCs w:val="21"/>
                <w:vertAlign w:val="subscript"/>
              </w:rPr>
              <w:t>2</w:t>
            </w:r>
            <w:r w:rsidRPr="00624150">
              <w:rPr>
                <w:rFonts w:ascii="Times New Roman" w:eastAsia="宋体" w:hAnsi="Times New Roman" w:cs="Times New Roman" w:hint="eastAsia"/>
                <w:szCs w:val="21"/>
              </w:rPr>
              <w:t>当量</w:t>
            </w:r>
            <w:r w:rsidRPr="00624150">
              <w:rPr>
                <w:rFonts w:ascii="Times New Roman" w:eastAsia="宋体" w:hAnsi="Times New Roman" w:cs="Times New Roman"/>
                <w:szCs w:val="21"/>
              </w:rPr>
              <w:sym w:font="Wingdings" w:char="F09E"/>
            </w:r>
            <w:r w:rsidRPr="00624150">
              <w:rPr>
                <w:rFonts w:ascii="Times New Roman" w:eastAsia="宋体" w:hAnsi="Times New Roman" w:cs="Times New Roman" w:hint="eastAsia"/>
                <w:szCs w:val="21"/>
              </w:rPr>
              <w:t>kg</w:t>
            </w:r>
            <w:r w:rsidRPr="00624150">
              <w:rPr>
                <w:rFonts w:ascii="Times New Roman" w:eastAsia="宋体" w:hAnsi="Times New Roman" w:cs="Times New Roman" w:hint="eastAsia"/>
                <w:szCs w:val="21"/>
                <w:vertAlign w:val="superscript"/>
              </w:rPr>
              <w:t>-1</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二氧化碳（</w:t>
            </w:r>
            <w:r w:rsidRPr="00624150">
              <w:rPr>
                <w:rFonts w:ascii="Times New Roman" w:eastAsia="宋体" w:hAnsi="Times New Roman" w:cs="Times New Roman" w:hint="eastAsia"/>
                <w:szCs w:val="21"/>
              </w:rPr>
              <w:t>CO</w:t>
            </w:r>
            <w:r w:rsidRPr="00624150">
              <w:rPr>
                <w:rFonts w:ascii="Times New Roman" w:eastAsia="宋体" w:hAnsi="Times New Roman" w:cs="Times New Roman"/>
                <w:szCs w:val="21"/>
                <w:vertAlign w:val="subscript"/>
              </w:rPr>
              <w:t>2</w:t>
            </w:r>
            <w:r w:rsidRPr="00624150">
              <w:rPr>
                <w:rFonts w:ascii="Times New Roman" w:eastAsia="宋体" w:hAnsi="Times New Roman" w:cs="Times New Roman" w:hint="eastAsia"/>
                <w:szCs w:val="21"/>
              </w:rPr>
              <w:t>）</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甲烷（</w:t>
            </w:r>
            <w:r w:rsidRPr="00624150">
              <w:rPr>
                <w:rFonts w:ascii="Times New Roman" w:eastAsia="宋体" w:hAnsi="Times New Roman" w:cs="Times New Roman" w:hint="eastAsia"/>
                <w:szCs w:val="21"/>
              </w:rPr>
              <w:t>CH</w:t>
            </w:r>
            <w:r w:rsidRPr="00624150">
              <w:rPr>
                <w:rFonts w:ascii="Times New Roman" w:eastAsia="宋体" w:hAnsi="Times New Roman" w:cs="Times New Roman"/>
                <w:szCs w:val="21"/>
                <w:vertAlign w:val="subscript"/>
              </w:rPr>
              <w:t>4</w:t>
            </w:r>
            <w:r w:rsidRPr="00624150">
              <w:rPr>
                <w:rFonts w:ascii="Times New Roman" w:eastAsia="宋体" w:hAnsi="Times New Roman" w:cs="Times New Roman" w:hint="eastAsia"/>
                <w:szCs w:val="21"/>
              </w:rPr>
              <w:t>）</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2</w:t>
            </w:r>
            <w:r w:rsidRPr="00624150">
              <w:rPr>
                <w:rFonts w:ascii="Times New Roman" w:eastAsia="宋体" w:hAnsi="Times New Roman" w:cs="Times New Roman"/>
                <w:szCs w:val="21"/>
              </w:rPr>
              <w:t>5</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氧化亚氮（</w:t>
            </w:r>
            <w:r w:rsidRPr="00624150">
              <w:rPr>
                <w:rFonts w:ascii="Times New Roman" w:eastAsia="宋体" w:hAnsi="Times New Roman" w:cs="Times New Roman" w:hint="eastAsia"/>
                <w:szCs w:val="21"/>
              </w:rPr>
              <w:t>N</w:t>
            </w:r>
            <w:r w:rsidRPr="00624150">
              <w:rPr>
                <w:rFonts w:ascii="Times New Roman" w:eastAsia="宋体" w:hAnsi="Times New Roman" w:cs="Times New Roman"/>
                <w:szCs w:val="21"/>
                <w:vertAlign w:val="subscript"/>
              </w:rPr>
              <w:t>2</w:t>
            </w:r>
            <w:r w:rsidRPr="00624150">
              <w:rPr>
                <w:rFonts w:ascii="Times New Roman" w:eastAsia="宋体" w:hAnsi="Times New Roman" w:cs="Times New Roman" w:hint="eastAsia"/>
                <w:szCs w:val="21"/>
              </w:rPr>
              <w:t>O</w:t>
            </w:r>
            <w:r w:rsidRPr="00624150">
              <w:rPr>
                <w:rFonts w:ascii="Times New Roman" w:eastAsia="宋体" w:hAnsi="Times New Roman" w:cs="Times New Roman" w:hint="eastAsia"/>
                <w:szCs w:val="21"/>
              </w:rPr>
              <w:t>）</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2</w:t>
            </w:r>
            <w:r w:rsidRPr="00624150">
              <w:rPr>
                <w:rFonts w:ascii="Times New Roman" w:eastAsia="宋体" w:hAnsi="Times New Roman" w:cs="Times New Roman"/>
                <w:szCs w:val="21"/>
              </w:rPr>
              <w:t>98</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11</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4</w:t>
            </w:r>
            <w:r w:rsidRPr="00624150">
              <w:rPr>
                <w:rFonts w:ascii="Times New Roman" w:eastAsia="宋体" w:hAnsi="Times New Roman" w:cs="Times New Roman"/>
                <w:szCs w:val="21"/>
              </w:rPr>
              <w:t>.75E</w:t>
            </w:r>
            <w:r w:rsidRPr="00624150">
              <w:rPr>
                <w:rFonts w:ascii="Times New Roman" w:eastAsia="宋体" w:hAnsi="Times New Roman" w:cs="Times New Roman" w:hint="eastAsia"/>
                <w:szCs w:val="21"/>
              </w:rPr>
              <w:t>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szCs w:val="21"/>
              </w:rPr>
              <w:t>R12</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.09E004</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113</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6</w:t>
            </w:r>
            <w:r w:rsidRPr="00624150">
              <w:rPr>
                <w:rFonts w:ascii="Times New Roman" w:eastAsia="宋体" w:hAnsi="Times New Roman" w:cs="Times New Roman"/>
                <w:szCs w:val="21"/>
              </w:rPr>
              <w:t>.13R003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114</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E004</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115</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7</w:t>
            </w:r>
            <w:r w:rsidRPr="00624150">
              <w:rPr>
                <w:rFonts w:ascii="Times New Roman" w:eastAsia="宋体" w:hAnsi="Times New Roman" w:cs="Times New Roman"/>
                <w:szCs w:val="21"/>
              </w:rPr>
              <w:t>.37E003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500</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3</w:t>
            </w:r>
            <w:r w:rsidRPr="00624150">
              <w:rPr>
                <w:rFonts w:ascii="Times New Roman" w:eastAsia="宋体" w:hAnsi="Times New Roman" w:cs="Times New Roman"/>
                <w:szCs w:val="21"/>
              </w:rPr>
              <w:t>7</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502</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0</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22</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.81E003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123</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7</w:t>
            </w:r>
            <w:r w:rsidRPr="00624150">
              <w:rPr>
                <w:rFonts w:ascii="Times New Roman" w:eastAsia="宋体" w:hAnsi="Times New Roman" w:cs="Times New Roman"/>
                <w:szCs w:val="21"/>
              </w:rPr>
              <w:t>7</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141b</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7</w:t>
            </w:r>
            <w:r w:rsidRPr="00624150">
              <w:rPr>
                <w:rFonts w:ascii="Times New Roman" w:eastAsia="宋体" w:hAnsi="Times New Roman" w:cs="Times New Roman"/>
                <w:szCs w:val="21"/>
              </w:rPr>
              <w:t>25</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142b</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2</w:t>
            </w:r>
            <w:r w:rsidRPr="00624150">
              <w:rPr>
                <w:rFonts w:ascii="Times New Roman" w:eastAsia="宋体" w:hAnsi="Times New Roman" w:cs="Times New Roman"/>
                <w:szCs w:val="21"/>
              </w:rPr>
              <w:t>.31E003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134a</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.43E003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125</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3</w:t>
            </w:r>
            <w:r w:rsidRPr="00624150">
              <w:rPr>
                <w:rFonts w:ascii="Times New Roman" w:eastAsia="宋体" w:hAnsi="Times New Roman" w:cs="Times New Roman"/>
                <w:szCs w:val="21"/>
              </w:rPr>
              <w:t>.5E003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32</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6</w:t>
            </w:r>
            <w:r w:rsidRPr="00624150">
              <w:rPr>
                <w:rFonts w:ascii="Times New Roman" w:eastAsia="宋体" w:hAnsi="Times New Roman" w:cs="Times New Roman"/>
                <w:szCs w:val="21"/>
              </w:rPr>
              <w:t>75</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407Cc</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.5E003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410A</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1</w:t>
            </w:r>
            <w:r w:rsidRPr="00624150">
              <w:rPr>
                <w:rFonts w:ascii="Times New Roman" w:eastAsia="宋体" w:hAnsi="Times New Roman" w:cs="Times New Roman"/>
                <w:szCs w:val="21"/>
              </w:rPr>
              <w:t>.7E003</w:t>
            </w:r>
          </w:p>
        </w:tc>
      </w:tr>
      <w:tr w:rsidR="00624150" w:rsidRPr="00624150" w:rsidTr="00F95A4B">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vMerge/>
          </w:tcPr>
          <w:p w:rsidR="00624150" w:rsidRPr="00624150" w:rsidRDefault="00624150" w:rsidP="00F95A4B">
            <w:pPr>
              <w:jc w:val="center"/>
              <w:rPr>
                <w:rFonts w:ascii="Times New Roman" w:eastAsia="宋体" w:hAnsi="Times New Roman" w:cs="Times New Roman"/>
                <w:szCs w:val="21"/>
              </w:rPr>
            </w:pP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R</w:t>
            </w:r>
            <w:r w:rsidRPr="00624150">
              <w:rPr>
                <w:rFonts w:ascii="Times New Roman" w:eastAsia="宋体" w:hAnsi="Times New Roman" w:cs="Times New Roman"/>
                <w:szCs w:val="21"/>
              </w:rPr>
              <w:t>152</w:t>
            </w:r>
          </w:p>
        </w:tc>
        <w:tc>
          <w:tcPr>
            <w:tcW w:w="2074" w:type="dxa"/>
          </w:tcPr>
          <w:p w:rsidR="00624150" w:rsidRPr="00624150" w:rsidRDefault="00624150" w:rsidP="00F95A4B">
            <w:pPr>
              <w:jc w:val="center"/>
              <w:rPr>
                <w:rFonts w:ascii="Times New Roman" w:eastAsia="宋体" w:hAnsi="Times New Roman" w:cs="Times New Roman"/>
                <w:szCs w:val="21"/>
              </w:rPr>
            </w:pPr>
            <w:r w:rsidRPr="00624150">
              <w:rPr>
                <w:rFonts w:ascii="Times New Roman" w:eastAsia="宋体" w:hAnsi="Times New Roman" w:cs="Times New Roman" w:hint="eastAsia"/>
                <w:szCs w:val="21"/>
              </w:rPr>
              <w:t>4</w:t>
            </w:r>
            <w:r w:rsidRPr="00624150">
              <w:rPr>
                <w:rFonts w:ascii="Times New Roman" w:eastAsia="宋体" w:hAnsi="Times New Roman" w:cs="Times New Roman"/>
                <w:szCs w:val="21"/>
              </w:rPr>
              <w:t>5</w:t>
            </w:r>
          </w:p>
        </w:tc>
      </w:tr>
    </w:tbl>
    <w:p w:rsidR="00624150" w:rsidRPr="00624150" w:rsidRDefault="00624150" w:rsidP="00624150">
      <w:pPr>
        <w:jc w:val="center"/>
        <w:rPr>
          <w:rFonts w:ascii="Arial" w:eastAsia="黑体" w:hAnsi="Arial" w:cs="Arial"/>
          <w:szCs w:val="21"/>
        </w:rPr>
      </w:pPr>
    </w:p>
    <w:p w:rsidR="00624150" w:rsidRPr="00624150" w:rsidRDefault="00624150" w:rsidP="00624150">
      <w:pPr>
        <w:ind w:firstLineChars="200" w:firstLine="420"/>
        <w:rPr>
          <w:rFonts w:ascii="Times New Roman" w:eastAsia="宋体" w:hAnsi="Times New Roman" w:cs="Times New Roman"/>
          <w:szCs w:val="21"/>
        </w:rPr>
      </w:pPr>
    </w:p>
    <w:p w:rsidR="00624150" w:rsidRPr="00624150" w:rsidRDefault="00624150" w:rsidP="00624150">
      <w:pPr>
        <w:pStyle w:val="Default"/>
        <w:spacing w:before="240" w:after="240"/>
        <w:rPr>
          <w:sz w:val="21"/>
          <w:szCs w:val="21"/>
        </w:rPr>
      </w:pPr>
      <w:r w:rsidRPr="00624150">
        <w:rPr>
          <w:sz w:val="21"/>
          <w:szCs w:val="21"/>
        </w:rPr>
        <w:t xml:space="preserve">A.4.4 </w:t>
      </w:r>
      <w:r w:rsidRPr="00624150">
        <w:rPr>
          <w:rFonts w:hint="eastAsia"/>
          <w:sz w:val="21"/>
          <w:szCs w:val="21"/>
        </w:rPr>
        <w:t>计算方法</w:t>
      </w:r>
    </w:p>
    <w:p w:rsidR="00624150" w:rsidRPr="00624150" w:rsidRDefault="00624150" w:rsidP="00624150">
      <w:pPr>
        <w:wordWrap w:val="0"/>
        <w:ind w:firstLineChars="200" w:firstLine="420"/>
        <w:jc w:val="right"/>
        <w:rPr>
          <w:rFonts w:ascii="Times New Roman" w:eastAsia="宋体" w:hAnsi="Times New Roman" w:cs="Times New Roman"/>
          <w:szCs w:val="21"/>
        </w:rPr>
      </w:pPr>
      <w:r w:rsidRPr="00624150">
        <w:rPr>
          <w:rFonts w:ascii="Times New Roman" w:eastAsia="宋体" w:hAnsi="Times New Roman" w:cs="Times New Roman"/>
          <w:position w:val="-14"/>
          <w:szCs w:val="21"/>
        </w:rPr>
        <w:object w:dxaOrig="265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6pt;height:19.95pt" o:ole="">
            <v:imagedata r:id="rId11" o:title=""/>
          </v:shape>
          <o:OLEObject Type="Embed" ProgID="Equation.DSMT4" ShapeID="_x0000_i1026" DrawAspect="Content" ObjectID="_1615708395" r:id="rId12"/>
        </w:object>
      </w:r>
      <w:r w:rsidRPr="00624150">
        <w:rPr>
          <w:rFonts w:ascii="Times New Roman" w:eastAsia="宋体" w:hAnsi="Times New Roman" w:cs="Times New Roman"/>
          <w:szCs w:val="21"/>
        </w:rPr>
        <w:t xml:space="preserve">                     (1)</w:t>
      </w:r>
    </w:p>
    <w:p w:rsidR="00624150" w:rsidRPr="00624150" w:rsidRDefault="00624150" w:rsidP="00624150">
      <w:pPr>
        <w:ind w:firstLineChars="200" w:firstLine="420"/>
        <w:jc w:val="left"/>
        <w:rPr>
          <w:rFonts w:ascii="宋体" w:eastAsia="宋体" w:cs="宋体"/>
          <w:szCs w:val="21"/>
        </w:rPr>
      </w:pPr>
      <w:r w:rsidRPr="00624150">
        <w:rPr>
          <w:rFonts w:ascii="宋体" w:eastAsia="宋体" w:cs="宋体" w:hint="eastAsia"/>
          <w:szCs w:val="21"/>
        </w:rPr>
        <w:t>式中:</w:t>
      </w:r>
    </w:p>
    <w:p w:rsidR="00624150" w:rsidRPr="00624150" w:rsidRDefault="00624150" w:rsidP="00624150">
      <w:pPr>
        <w:ind w:firstLineChars="200" w:firstLine="420"/>
        <w:jc w:val="left"/>
        <w:rPr>
          <w:rFonts w:ascii="Times New Roman" w:eastAsia="宋体" w:hAnsi="Times New Roman" w:cs="Times New Roman"/>
          <w:szCs w:val="21"/>
        </w:rPr>
      </w:pPr>
      <w:r w:rsidRPr="00624150">
        <w:rPr>
          <w:rFonts w:ascii="Times New Roman" w:eastAsia="宋体" w:hAnsi="Times New Roman" w:cs="Times New Roman"/>
          <w:i/>
          <w:szCs w:val="21"/>
        </w:rPr>
        <w:t>EP</w:t>
      </w:r>
      <w:r w:rsidRPr="00624150">
        <w:rPr>
          <w:rFonts w:ascii="Times New Roman" w:eastAsia="宋体" w:hAnsi="Times New Roman" w:cs="Times New Roman"/>
          <w:i/>
          <w:szCs w:val="21"/>
          <w:vertAlign w:val="subscript"/>
        </w:rPr>
        <w:t>i</w:t>
      </w:r>
      <w:r w:rsidRPr="00624150">
        <w:rPr>
          <w:rFonts w:ascii="Times New Roman" w:eastAsia="宋体" w:hAnsi="Times New Roman" w:cs="Times New Roman"/>
          <w:i/>
          <w:szCs w:val="21"/>
        </w:rPr>
        <w:t xml:space="preserve"> </w:t>
      </w:r>
      <w:r w:rsidRPr="00624150">
        <w:rPr>
          <w:rFonts w:ascii="Times New Roman" w:eastAsia="宋体" w:hAnsi="Times New Roman" w:cs="Times New Roman"/>
          <w:szCs w:val="21"/>
        </w:rPr>
        <w:t xml:space="preserve">—— </w:t>
      </w:r>
      <w:r w:rsidRPr="00624150">
        <w:rPr>
          <w:rFonts w:ascii="Times New Roman" w:eastAsia="宋体" w:hAnsi="Times New Roman" w:cs="Times New Roman"/>
          <w:szCs w:val="21"/>
        </w:rPr>
        <w:t>第</w:t>
      </w:r>
      <w:r w:rsidRPr="00624150">
        <w:rPr>
          <w:rFonts w:ascii="Times New Roman" w:eastAsia="宋体" w:hAnsi="Times New Roman" w:cs="Times New Roman"/>
          <w:i/>
          <w:szCs w:val="21"/>
        </w:rPr>
        <w:t>i</w:t>
      </w:r>
      <w:r w:rsidRPr="00624150">
        <w:rPr>
          <w:rFonts w:ascii="Times New Roman" w:eastAsia="宋体" w:hAnsi="Times New Roman" w:cs="Times New Roman"/>
          <w:szCs w:val="21"/>
        </w:rPr>
        <w:t>种环境类别特征化值；</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jc w:val="left"/>
        <w:rPr>
          <w:rFonts w:ascii="Times New Roman" w:eastAsia="宋体" w:hAnsi="Times New Roman" w:cs="Times New Roman"/>
          <w:szCs w:val="21"/>
        </w:rPr>
      </w:pPr>
      <w:r w:rsidRPr="00624150">
        <w:rPr>
          <w:rFonts w:ascii="Times New Roman" w:eastAsia="宋体" w:hAnsi="Times New Roman" w:cs="Times New Roman"/>
          <w:i/>
          <w:szCs w:val="21"/>
        </w:rPr>
        <w:t>EP</w:t>
      </w:r>
      <w:r w:rsidRPr="00624150">
        <w:rPr>
          <w:rFonts w:ascii="Times New Roman" w:eastAsia="宋体" w:hAnsi="Times New Roman" w:cs="Times New Roman"/>
          <w:i/>
          <w:szCs w:val="21"/>
          <w:vertAlign w:val="subscript"/>
        </w:rPr>
        <w:t>ij</w:t>
      </w:r>
      <w:r w:rsidRPr="00624150">
        <w:rPr>
          <w:rFonts w:ascii="Times New Roman" w:eastAsia="宋体" w:hAnsi="Times New Roman" w:cs="Times New Roman"/>
          <w:szCs w:val="21"/>
        </w:rPr>
        <w:t xml:space="preserve"> —— </w:t>
      </w:r>
      <w:r w:rsidRPr="00624150">
        <w:rPr>
          <w:rFonts w:ascii="Times New Roman" w:eastAsia="宋体" w:hAnsi="Times New Roman" w:cs="Times New Roman"/>
          <w:szCs w:val="21"/>
        </w:rPr>
        <w:t>第</w:t>
      </w:r>
      <w:r w:rsidRPr="00624150">
        <w:rPr>
          <w:rFonts w:ascii="Times New Roman" w:eastAsia="宋体" w:hAnsi="Times New Roman" w:cs="Times New Roman"/>
          <w:i/>
          <w:szCs w:val="21"/>
        </w:rPr>
        <w:t>i</w:t>
      </w:r>
      <w:r w:rsidRPr="00624150">
        <w:rPr>
          <w:rFonts w:ascii="Times New Roman" w:eastAsia="宋体" w:hAnsi="Times New Roman" w:cs="Times New Roman"/>
          <w:szCs w:val="21"/>
        </w:rPr>
        <w:t>种环境类别中第</w:t>
      </w:r>
      <w:r w:rsidRPr="00624150">
        <w:rPr>
          <w:rFonts w:ascii="Times New Roman" w:eastAsia="宋体" w:hAnsi="Times New Roman" w:cs="Times New Roman"/>
          <w:i/>
          <w:szCs w:val="21"/>
        </w:rPr>
        <w:t>j</w:t>
      </w:r>
      <w:r w:rsidRPr="00624150">
        <w:rPr>
          <w:rFonts w:ascii="Times New Roman" w:eastAsia="宋体" w:hAnsi="Times New Roman" w:cs="Times New Roman"/>
          <w:szCs w:val="21"/>
        </w:rPr>
        <w:t>种污染物的贡献；</w:t>
      </w:r>
      <w:r w:rsidRPr="00624150">
        <w:rPr>
          <w:rFonts w:ascii="Times New Roman" w:eastAsia="宋体" w:hAnsi="Times New Roman" w:cs="Times New Roman"/>
          <w:szCs w:val="21"/>
        </w:rPr>
        <w:t xml:space="preserve"> </w:t>
      </w:r>
    </w:p>
    <w:p w:rsidR="00624150" w:rsidRPr="00624150" w:rsidRDefault="00624150" w:rsidP="00624150">
      <w:pPr>
        <w:ind w:firstLineChars="200" w:firstLine="420"/>
        <w:jc w:val="left"/>
        <w:rPr>
          <w:rFonts w:ascii="Times New Roman" w:eastAsia="宋体" w:hAnsi="Times New Roman" w:cs="Times New Roman"/>
          <w:szCs w:val="21"/>
        </w:rPr>
      </w:pPr>
      <w:r w:rsidRPr="00624150">
        <w:rPr>
          <w:rFonts w:ascii="Times New Roman" w:eastAsia="宋体" w:hAnsi="Times New Roman" w:cs="Times New Roman"/>
          <w:i/>
          <w:szCs w:val="21"/>
        </w:rPr>
        <w:t>Q</w:t>
      </w:r>
      <w:r w:rsidRPr="00624150">
        <w:rPr>
          <w:rFonts w:ascii="Times New Roman" w:eastAsia="宋体" w:hAnsi="Times New Roman" w:cs="Times New Roman"/>
          <w:i/>
          <w:szCs w:val="21"/>
          <w:vertAlign w:val="subscript"/>
        </w:rPr>
        <w:t xml:space="preserve">j </w:t>
      </w:r>
      <w:r w:rsidRPr="00624150">
        <w:rPr>
          <w:rFonts w:ascii="Times New Roman" w:eastAsia="宋体" w:hAnsi="Times New Roman" w:cs="Times New Roman"/>
          <w:szCs w:val="21"/>
        </w:rPr>
        <w:t xml:space="preserve">—— </w:t>
      </w:r>
      <w:r w:rsidRPr="00624150">
        <w:rPr>
          <w:rFonts w:ascii="Times New Roman" w:eastAsia="宋体" w:hAnsi="Times New Roman" w:cs="Times New Roman"/>
          <w:szCs w:val="21"/>
        </w:rPr>
        <w:t>第</w:t>
      </w:r>
      <w:r w:rsidRPr="00624150">
        <w:rPr>
          <w:rFonts w:ascii="Times New Roman" w:eastAsia="宋体" w:hAnsi="Times New Roman" w:cs="Times New Roman"/>
          <w:i/>
          <w:szCs w:val="21"/>
        </w:rPr>
        <w:t>j</w:t>
      </w:r>
      <w:r w:rsidRPr="00624150">
        <w:rPr>
          <w:rFonts w:ascii="Times New Roman" w:eastAsia="宋体" w:hAnsi="Times New Roman" w:cs="Times New Roman"/>
          <w:szCs w:val="21"/>
        </w:rPr>
        <w:t>种污染物的排放量；</w:t>
      </w:r>
      <w:r w:rsidRPr="00624150">
        <w:rPr>
          <w:rFonts w:ascii="Times New Roman" w:eastAsia="宋体" w:hAnsi="Times New Roman" w:cs="Times New Roman"/>
          <w:szCs w:val="21"/>
        </w:rPr>
        <w:t xml:space="preserve"> </w:t>
      </w:r>
    </w:p>
    <w:p w:rsidR="00624150" w:rsidRPr="0019176D" w:rsidRDefault="00624150" w:rsidP="00624150">
      <w:pPr>
        <w:ind w:firstLineChars="200" w:firstLine="420"/>
        <w:jc w:val="left"/>
        <w:rPr>
          <w:rFonts w:ascii="Times New Roman" w:eastAsia="宋体" w:hAnsi="Times New Roman" w:cs="Times New Roman"/>
          <w:szCs w:val="21"/>
        </w:rPr>
      </w:pPr>
      <w:r w:rsidRPr="00624150">
        <w:rPr>
          <w:rFonts w:ascii="Times New Roman" w:eastAsia="宋体" w:hAnsi="Times New Roman" w:cs="Times New Roman"/>
          <w:i/>
          <w:szCs w:val="21"/>
        </w:rPr>
        <w:t>EF</w:t>
      </w:r>
      <w:r w:rsidRPr="00624150">
        <w:rPr>
          <w:rFonts w:ascii="Times New Roman" w:eastAsia="宋体" w:hAnsi="Times New Roman" w:cs="Times New Roman"/>
          <w:i/>
          <w:szCs w:val="21"/>
          <w:vertAlign w:val="subscript"/>
        </w:rPr>
        <w:t>ij</w:t>
      </w:r>
      <w:r w:rsidRPr="00624150">
        <w:rPr>
          <w:rFonts w:ascii="Times New Roman" w:eastAsia="宋体" w:hAnsi="Times New Roman" w:cs="Times New Roman"/>
          <w:szCs w:val="21"/>
          <w:vertAlign w:val="subscript"/>
        </w:rPr>
        <w:t xml:space="preserve"> </w:t>
      </w:r>
      <w:r w:rsidRPr="00624150">
        <w:rPr>
          <w:rFonts w:ascii="Times New Roman" w:eastAsia="宋体" w:hAnsi="Times New Roman" w:cs="Times New Roman"/>
          <w:szCs w:val="21"/>
        </w:rPr>
        <w:t xml:space="preserve">—— </w:t>
      </w:r>
      <w:r w:rsidRPr="00624150">
        <w:rPr>
          <w:rFonts w:ascii="Times New Roman" w:eastAsia="宋体" w:hAnsi="Times New Roman" w:cs="Times New Roman"/>
          <w:szCs w:val="21"/>
        </w:rPr>
        <w:t>第</w:t>
      </w:r>
      <w:r w:rsidRPr="00624150">
        <w:rPr>
          <w:rFonts w:ascii="Times New Roman" w:eastAsia="宋体" w:hAnsi="Times New Roman" w:cs="Times New Roman"/>
          <w:i/>
          <w:szCs w:val="21"/>
        </w:rPr>
        <w:t>i</w:t>
      </w:r>
      <w:r w:rsidRPr="00624150">
        <w:rPr>
          <w:rFonts w:ascii="Times New Roman" w:eastAsia="宋体" w:hAnsi="Times New Roman" w:cs="Times New Roman"/>
          <w:szCs w:val="21"/>
        </w:rPr>
        <w:t>种环境类别中第</w:t>
      </w:r>
      <w:r w:rsidRPr="00624150">
        <w:rPr>
          <w:rFonts w:ascii="Times New Roman" w:eastAsia="宋体" w:hAnsi="Times New Roman" w:cs="Times New Roman"/>
          <w:i/>
          <w:szCs w:val="21"/>
        </w:rPr>
        <w:t>j</w:t>
      </w:r>
      <w:r w:rsidRPr="00624150">
        <w:rPr>
          <w:rFonts w:ascii="Times New Roman" w:eastAsia="宋体" w:hAnsi="Times New Roman" w:cs="Times New Roman"/>
          <w:szCs w:val="21"/>
        </w:rPr>
        <w:t>种污染物的特征化因子。</w:t>
      </w:r>
    </w:p>
    <w:p w:rsidR="00624150" w:rsidRDefault="00624150" w:rsidP="00624150">
      <w:pPr>
        <w:rPr>
          <w:rFonts w:ascii="Times New Roman" w:eastAsia="宋体" w:hAnsi="Times New Roman" w:cs="Times New Roman"/>
          <w:szCs w:val="21"/>
        </w:rPr>
      </w:pPr>
    </w:p>
    <w:p w:rsidR="00624150" w:rsidRDefault="00624150" w:rsidP="00624150">
      <w:pPr>
        <w:rPr>
          <w:rFonts w:ascii="Times New Roman" w:eastAsia="宋体" w:hAnsi="Times New Roman" w:cs="Times New Roman"/>
          <w:szCs w:val="21"/>
        </w:rPr>
      </w:pPr>
    </w:p>
    <w:p w:rsidR="00624150" w:rsidRPr="0019176D" w:rsidRDefault="00624150" w:rsidP="00624150">
      <w:pPr>
        <w:rPr>
          <w:rFonts w:ascii="Times New Roman" w:eastAsia="宋体" w:hAnsi="Times New Roman" w:cs="Times New Roman"/>
          <w:szCs w:val="21"/>
          <w:u w:val="single"/>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u w:val="single"/>
        </w:rPr>
        <w:t xml:space="preserve"> </w:t>
      </w:r>
      <w:r>
        <w:rPr>
          <w:rFonts w:ascii="Times New Roman" w:eastAsia="宋体" w:hAnsi="Times New Roman" w:cs="Times New Roman"/>
          <w:szCs w:val="21"/>
          <w:u w:val="single"/>
        </w:rPr>
        <w:t xml:space="preserve">                          </w:t>
      </w:r>
    </w:p>
    <w:sectPr w:rsidR="00624150" w:rsidRPr="0019176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D2" w:rsidRDefault="00292FD2">
      <w:r>
        <w:separator/>
      </w:r>
    </w:p>
  </w:endnote>
  <w:endnote w:type="continuationSeparator" w:id="0">
    <w:p w:rsidR="00292FD2" w:rsidRDefault="0029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9B" w:rsidRDefault="00292FD2">
    <w:pPr>
      <w:pStyle w:val="ad"/>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997E9B" w:rsidRDefault="004D14B4">
                <w:pPr>
                  <w:pStyle w:val="ad"/>
                </w:pPr>
                <w:r>
                  <w:rPr>
                    <w:rFonts w:hint="eastAsia"/>
                  </w:rPr>
                  <w:fldChar w:fldCharType="begin"/>
                </w:r>
                <w:r>
                  <w:rPr>
                    <w:rFonts w:hint="eastAsia"/>
                  </w:rPr>
                  <w:instrText xml:space="preserve"> PAGE  \* MERGEFORMAT </w:instrText>
                </w:r>
                <w:r>
                  <w:rPr>
                    <w:rFonts w:hint="eastAsia"/>
                  </w:rPr>
                  <w:fldChar w:fldCharType="separate"/>
                </w:r>
                <w:r w:rsidR="00624150">
                  <w:rPr>
                    <w:noProof/>
                  </w:rPr>
                  <w:t>16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D2" w:rsidRDefault="00292FD2">
      <w:r>
        <w:separator/>
      </w:r>
    </w:p>
  </w:footnote>
  <w:footnote w:type="continuationSeparator" w:id="0">
    <w:p w:rsidR="00292FD2" w:rsidRDefault="00292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9B" w:rsidRDefault="004D14B4">
    <w:pPr>
      <w:pStyle w:val="af"/>
      <w:pBdr>
        <w:bottom w:val="none" w:sz="0" w:space="0" w:color="auto"/>
      </w:pBdr>
      <w:jc w:val="right"/>
      <w:rPr>
        <w:sz w:val="21"/>
        <w:szCs w:val="21"/>
      </w:rPr>
    </w:pPr>
    <w:r>
      <w:rPr>
        <w:rFonts w:ascii="宋体" w:cs="宋体" w:hint="eastAsia"/>
        <w:color w:val="000000"/>
        <w:kern w:val="0"/>
        <w:szCs w:val="21"/>
      </w:rPr>
      <w:t>T/</w:t>
    </w:r>
    <w:r>
      <w:rPr>
        <w:rFonts w:ascii="宋体" w:cs="宋体" w:hint="eastAsia"/>
        <w:color w:val="FF0000"/>
        <w:kern w:val="0"/>
        <w:szCs w:val="21"/>
      </w:rPr>
      <w:t>CSTE</w:t>
    </w:r>
    <w:r>
      <w:rPr>
        <w:rFonts w:ascii="宋体" w:cs="宋体"/>
        <w:color w:val="FF0000"/>
        <w:kern w:val="0"/>
        <w:szCs w:val="21"/>
      </w:rPr>
      <w:t xml:space="preserve"> </w:t>
    </w:r>
    <w:r>
      <w:rPr>
        <w:rFonts w:hint="eastAsia"/>
        <w:color w:val="FF0000"/>
        <w:sz w:val="21"/>
        <w:szCs w:val="21"/>
      </w:rPr>
      <w:t>00XX</w:t>
    </w:r>
    <w:r>
      <w:rPr>
        <w:color w:val="FF0000"/>
        <w:sz w:val="21"/>
        <w:szCs w:val="21"/>
      </w:rPr>
      <w:t>—201</w:t>
    </w:r>
    <w:r w:rsidR="00F56E0A">
      <w:rPr>
        <w:color w:val="FF0000"/>
        <w:sz w:val="21"/>
        <w:szCs w:val="21"/>
      </w:rPr>
      <w:t>9</w:t>
    </w:r>
    <w:r>
      <w:rPr>
        <w:rFonts w:ascii="宋体" w:cs="宋体"/>
        <w:color w:val="000000"/>
        <w:kern w:val="0"/>
        <w:szCs w:val="21"/>
        <w:lang w:val="zh-CN"/>
      </w:rPr>
      <w:t xml:space="preserve">                                                                          </w:t>
    </w:r>
  </w:p>
  <w:p w:rsidR="00997E9B" w:rsidRDefault="00997E9B">
    <w:pPr>
      <w:pStyle w:val="af"/>
      <w:pBdr>
        <w:bottom w:val="none" w:sz="0" w:space="0" w:color="auto"/>
      </w:pBdr>
      <w:jc w:val="righ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9B" w:rsidRDefault="004D14B4">
    <w:pPr>
      <w:pStyle w:val="af"/>
      <w:pBdr>
        <w:bottom w:val="none" w:sz="0" w:space="0" w:color="auto"/>
      </w:pBdr>
      <w:jc w:val="right"/>
      <w:rPr>
        <w:color w:val="FF0000"/>
        <w:sz w:val="21"/>
        <w:szCs w:val="21"/>
      </w:rPr>
    </w:pPr>
    <w:r>
      <w:rPr>
        <w:rFonts w:ascii="宋体" w:cs="宋体"/>
        <w:color w:val="000000"/>
        <w:kern w:val="0"/>
        <w:szCs w:val="21"/>
      </w:rPr>
      <w:t xml:space="preserve">                                                                           </w:t>
    </w:r>
    <w:r>
      <w:rPr>
        <w:rFonts w:ascii="宋体" w:cs="宋体" w:hint="eastAsia"/>
        <w:color w:val="000000"/>
        <w:kern w:val="0"/>
        <w:szCs w:val="21"/>
      </w:rPr>
      <w:t>T/</w:t>
    </w:r>
    <w:r>
      <w:rPr>
        <w:rFonts w:ascii="宋体" w:cs="宋体" w:hint="eastAsia"/>
        <w:color w:val="FF0000"/>
        <w:kern w:val="0"/>
        <w:szCs w:val="21"/>
      </w:rPr>
      <w:t>CSTE</w:t>
    </w:r>
    <w:r>
      <w:rPr>
        <w:rFonts w:hint="eastAsia"/>
        <w:color w:val="FF0000"/>
        <w:sz w:val="21"/>
        <w:szCs w:val="21"/>
      </w:rPr>
      <w:t>00XX</w:t>
    </w:r>
    <w:r>
      <w:rPr>
        <w:color w:val="FF0000"/>
        <w:sz w:val="21"/>
        <w:szCs w:val="21"/>
      </w:rPr>
      <w:t>—201</w:t>
    </w:r>
    <w:r w:rsidR="00F56E0A">
      <w:rPr>
        <w:color w:val="FF0000"/>
        <w:sz w:val="21"/>
        <w:szCs w:val="21"/>
      </w:rPr>
      <w:t>9</w:t>
    </w:r>
  </w:p>
  <w:p w:rsidR="00997E9B" w:rsidRDefault="00997E9B">
    <w:pPr>
      <w:pStyle w:val="af"/>
      <w:pBdr>
        <w:bottom w:val="none" w:sz="0" w:space="0" w:color="auto"/>
      </w:pBd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E82"/>
    <w:multiLevelType w:val="multilevel"/>
    <w:tmpl w:val="10F77E82"/>
    <w:lvl w:ilvl="0">
      <w:start w:val="1"/>
      <w:numFmt w:val="decimal"/>
      <w:lvlText w:val="%1."/>
      <w:lvlJc w:val="left"/>
      <w:pPr>
        <w:ind w:left="960" w:hanging="420"/>
      </w:p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142"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0E47255"/>
    <w:multiLevelType w:val="hybridMultilevel"/>
    <w:tmpl w:val="34C270A4"/>
    <w:lvl w:ilvl="0" w:tplc="FB4088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DD0F1A"/>
    <w:multiLevelType w:val="hybridMultilevel"/>
    <w:tmpl w:val="01BA97F8"/>
    <w:lvl w:ilvl="0" w:tplc="FB4088E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D733618"/>
    <w:multiLevelType w:val="multilevel"/>
    <w:tmpl w:val="3D733618"/>
    <w:lvl w:ilvl="0">
      <w:start w:val="1"/>
      <w:numFmt w:val="decimal"/>
      <w:pStyle w:val="a5"/>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5" w15:restartNumberingAfterBreak="0">
    <w:nsid w:val="5BA470FB"/>
    <w:multiLevelType w:val="multilevel"/>
    <w:tmpl w:val="5BA470FB"/>
    <w:lvl w:ilvl="0">
      <w:start w:val="1"/>
      <w:numFmt w:val="lowerLetter"/>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7E4"/>
    <w:rsid w:val="00013766"/>
    <w:rsid w:val="00015BCB"/>
    <w:rsid w:val="00104AF1"/>
    <w:rsid w:val="002042DE"/>
    <w:rsid w:val="00292FD2"/>
    <w:rsid w:val="002D0E80"/>
    <w:rsid w:val="002E7745"/>
    <w:rsid w:val="00326845"/>
    <w:rsid w:val="003E12CE"/>
    <w:rsid w:val="00444269"/>
    <w:rsid w:val="0046190F"/>
    <w:rsid w:val="004D14B4"/>
    <w:rsid w:val="00522A7B"/>
    <w:rsid w:val="00593EA9"/>
    <w:rsid w:val="005B64CD"/>
    <w:rsid w:val="00624150"/>
    <w:rsid w:val="00710AFF"/>
    <w:rsid w:val="00715BB1"/>
    <w:rsid w:val="00804F65"/>
    <w:rsid w:val="00861AA3"/>
    <w:rsid w:val="00867957"/>
    <w:rsid w:val="009563AC"/>
    <w:rsid w:val="00997E9B"/>
    <w:rsid w:val="00A40942"/>
    <w:rsid w:val="00AA7091"/>
    <w:rsid w:val="00AC2CA4"/>
    <w:rsid w:val="00B264A6"/>
    <w:rsid w:val="00BD7277"/>
    <w:rsid w:val="00C144DB"/>
    <w:rsid w:val="00CC7262"/>
    <w:rsid w:val="00D217E4"/>
    <w:rsid w:val="00D51568"/>
    <w:rsid w:val="00D5436E"/>
    <w:rsid w:val="00E40263"/>
    <w:rsid w:val="00E44544"/>
    <w:rsid w:val="00E674D1"/>
    <w:rsid w:val="00E72A40"/>
    <w:rsid w:val="00E92CE3"/>
    <w:rsid w:val="00ED50E1"/>
    <w:rsid w:val="00EF6C9A"/>
    <w:rsid w:val="00F56E0A"/>
    <w:rsid w:val="02C118F1"/>
    <w:rsid w:val="049C2D6D"/>
    <w:rsid w:val="0719229B"/>
    <w:rsid w:val="08992664"/>
    <w:rsid w:val="08C6311B"/>
    <w:rsid w:val="0D5E1BC3"/>
    <w:rsid w:val="0E5D1215"/>
    <w:rsid w:val="0FAC3A5F"/>
    <w:rsid w:val="113E0739"/>
    <w:rsid w:val="1383480C"/>
    <w:rsid w:val="147B2995"/>
    <w:rsid w:val="155F7FCA"/>
    <w:rsid w:val="1BB02EC0"/>
    <w:rsid w:val="1E630FA5"/>
    <w:rsid w:val="1F4C77D6"/>
    <w:rsid w:val="1F66774B"/>
    <w:rsid w:val="204B7270"/>
    <w:rsid w:val="237B1F06"/>
    <w:rsid w:val="23AA51F1"/>
    <w:rsid w:val="295447F0"/>
    <w:rsid w:val="2AB72EE9"/>
    <w:rsid w:val="3105307D"/>
    <w:rsid w:val="3260478A"/>
    <w:rsid w:val="37E90622"/>
    <w:rsid w:val="387F4B4B"/>
    <w:rsid w:val="38A43916"/>
    <w:rsid w:val="3C424B82"/>
    <w:rsid w:val="3D817480"/>
    <w:rsid w:val="3FAE3454"/>
    <w:rsid w:val="423728B9"/>
    <w:rsid w:val="4D944551"/>
    <w:rsid w:val="4F6C0F99"/>
    <w:rsid w:val="516A1F6B"/>
    <w:rsid w:val="519627D8"/>
    <w:rsid w:val="56241E48"/>
    <w:rsid w:val="56892E6A"/>
    <w:rsid w:val="56B03A31"/>
    <w:rsid w:val="5B483964"/>
    <w:rsid w:val="6830137E"/>
    <w:rsid w:val="6AB26041"/>
    <w:rsid w:val="6AD76F6C"/>
    <w:rsid w:val="6FC64911"/>
    <w:rsid w:val="70AC5DB4"/>
    <w:rsid w:val="71310078"/>
    <w:rsid w:val="74200B95"/>
    <w:rsid w:val="74E736D1"/>
    <w:rsid w:val="7B1B16FB"/>
    <w:rsid w:val="7D870B6F"/>
    <w:rsid w:val="7FD0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AutoShape 3"/>
      </o:rules>
    </o:shapelayout>
  </w:shapeDefaults>
  <w:decimalSymbol w:val="."/>
  <w:listSeparator w:val=","/>
  <w14:docId w14:val="5F9D3C72"/>
  <w15:docId w15:val="{2EB10CE3-37C0-4198-83F8-B6174CFA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6"/>
    <w:next w:val="a6"/>
    <w:link w:val="10"/>
    <w:uiPriority w:val="9"/>
    <w:qFormat/>
    <w:rsid w:val="00624150"/>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rPr>
      <w:rFonts w:ascii="Arial" w:hAnsi="Arial" w:cs="Arial"/>
      <w:sz w:val="18"/>
    </w:rPr>
  </w:style>
  <w:style w:type="paragraph" w:styleId="3">
    <w:name w:val="toc 3"/>
    <w:basedOn w:val="a6"/>
    <w:next w:val="a6"/>
    <w:uiPriority w:val="39"/>
    <w:qFormat/>
    <w:pPr>
      <w:tabs>
        <w:tab w:val="right" w:leader="dot" w:pos="9214"/>
        <w:tab w:val="right" w:leader="dot" w:pos="9241"/>
      </w:tabs>
      <w:ind w:firstLineChars="100" w:firstLine="210"/>
      <w:jc w:val="left"/>
    </w:pPr>
    <w:rPr>
      <w:rFonts w:ascii="宋体"/>
      <w:szCs w:val="21"/>
    </w:rPr>
  </w:style>
  <w:style w:type="paragraph" w:styleId="ab">
    <w:name w:val="Balloon Text"/>
    <w:basedOn w:val="a6"/>
    <w:link w:val="ac"/>
    <w:uiPriority w:val="99"/>
    <w:semiHidden/>
    <w:unhideWhenUsed/>
    <w:rPr>
      <w:sz w:val="18"/>
      <w:szCs w:val="18"/>
    </w:rPr>
  </w:style>
  <w:style w:type="paragraph" w:styleId="ad">
    <w:name w:val="footer"/>
    <w:basedOn w:val="a6"/>
    <w:link w:val="ae"/>
    <w:uiPriority w:val="99"/>
    <w:unhideWhenUsed/>
    <w:pPr>
      <w:tabs>
        <w:tab w:val="center" w:pos="4153"/>
        <w:tab w:val="right" w:pos="8306"/>
      </w:tabs>
      <w:snapToGrid w:val="0"/>
      <w:jc w:val="left"/>
    </w:pPr>
    <w:rPr>
      <w:sz w:val="18"/>
      <w:szCs w:val="18"/>
    </w:rPr>
  </w:style>
  <w:style w:type="paragraph" w:styleId="af">
    <w:name w:val="header"/>
    <w:basedOn w:val="a6"/>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6"/>
    <w:next w:val="a6"/>
    <w:uiPriority w:val="39"/>
    <w:qFormat/>
    <w:pPr>
      <w:tabs>
        <w:tab w:val="right" w:leader="dot" w:pos="9214"/>
        <w:tab w:val="right" w:leader="dot" w:pos="9241"/>
      </w:tabs>
      <w:spacing w:beforeLines="20" w:afterLines="25"/>
      <w:jc w:val="left"/>
    </w:pPr>
    <w:rPr>
      <w:rFonts w:ascii="宋体"/>
      <w:szCs w:val="21"/>
    </w:rPr>
  </w:style>
  <w:style w:type="paragraph" w:styleId="a5">
    <w:name w:val="footnote text"/>
    <w:basedOn w:val="a6"/>
    <w:pPr>
      <w:numPr>
        <w:numId w:val="1"/>
      </w:numPr>
      <w:snapToGrid w:val="0"/>
      <w:jc w:val="left"/>
    </w:pPr>
    <w:rPr>
      <w:rFonts w:ascii="宋体"/>
      <w:sz w:val="18"/>
      <w:szCs w:val="18"/>
    </w:rPr>
  </w:style>
  <w:style w:type="character" w:styleId="af1">
    <w:name w:val="Hyperlink"/>
    <w:basedOn w:val="a7"/>
    <w:uiPriority w:val="99"/>
    <w:unhideWhenUsed/>
    <w:qFormat/>
    <w:rPr>
      <w:color w:val="0000FF" w:themeColor="hyperlink"/>
      <w:u w:val="single"/>
    </w:rPr>
  </w:style>
  <w:style w:type="character" w:styleId="af2">
    <w:name w:val="footnote reference"/>
    <w:semiHidden/>
    <w:qFormat/>
    <w:rPr>
      <w:vertAlign w:val="superscript"/>
    </w:rPr>
  </w:style>
  <w:style w:type="table" w:styleId="af3">
    <w:name w:val="Table Grid"/>
    <w:basedOn w:val="a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7"/>
    <w:link w:val="af"/>
    <w:uiPriority w:val="99"/>
    <w:rPr>
      <w:sz w:val="18"/>
      <w:szCs w:val="18"/>
    </w:rPr>
  </w:style>
  <w:style w:type="character" w:customStyle="1" w:styleId="ae">
    <w:name w:val="页脚 字符"/>
    <w:basedOn w:val="a7"/>
    <w:link w:val="ad"/>
    <w:uiPriority w:val="99"/>
    <w:rPr>
      <w:sz w:val="18"/>
      <w:szCs w:val="18"/>
    </w:rPr>
  </w:style>
  <w:style w:type="character" w:customStyle="1" w:styleId="ac">
    <w:name w:val="批注框文本 字符"/>
    <w:basedOn w:val="a7"/>
    <w:link w:val="ab"/>
    <w:uiPriority w:val="99"/>
    <w:semiHidden/>
    <w:rPr>
      <w:sz w:val="18"/>
      <w:szCs w:val="18"/>
    </w:rPr>
  </w:style>
  <w:style w:type="paragraph" w:customStyle="1" w:styleId="af4">
    <w:name w:val="目次、标准名称标题"/>
    <w:basedOn w:val="a6"/>
    <w:next w:val="af5"/>
    <w:uiPriority w:val="99"/>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5">
    <w:name w:val="段"/>
    <w:link w:val="Char"/>
    <w:uiPriority w:val="99"/>
    <w:qFormat/>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5"/>
    <w:uiPriority w:val="99"/>
    <w:qFormat/>
    <w:rPr>
      <w:rFonts w:ascii="宋体" w:eastAsia="宋体" w:hAnsi="Times New Roman" w:cs="Times New Roman"/>
      <w:kern w:val="0"/>
      <w:szCs w:val="20"/>
    </w:rPr>
  </w:style>
  <w:style w:type="paragraph" w:customStyle="1" w:styleId="a0">
    <w:name w:val="一级条标题"/>
    <w:next w:val="af5"/>
    <w:qFormat/>
    <w:pPr>
      <w:numPr>
        <w:ilvl w:val="1"/>
        <w:numId w:val="2"/>
      </w:numPr>
      <w:spacing w:beforeLines="50" w:afterLines="50"/>
      <w:outlineLvl w:val="2"/>
    </w:pPr>
    <w:rPr>
      <w:rFonts w:ascii="黑体" w:eastAsia="黑体"/>
      <w:sz w:val="21"/>
      <w:szCs w:val="21"/>
    </w:rPr>
  </w:style>
  <w:style w:type="paragraph" w:customStyle="1" w:styleId="a">
    <w:name w:val="章标题"/>
    <w:next w:val="af5"/>
    <w:qFormat/>
    <w:pPr>
      <w:numPr>
        <w:numId w:val="2"/>
      </w:numPr>
      <w:spacing w:beforeLines="100" w:afterLines="100"/>
      <w:ind w:left="0"/>
      <w:jc w:val="both"/>
      <w:outlineLvl w:val="1"/>
    </w:pPr>
    <w:rPr>
      <w:rFonts w:ascii="黑体" w:eastAsia="黑体"/>
      <w:sz w:val="21"/>
    </w:rPr>
  </w:style>
  <w:style w:type="paragraph" w:customStyle="1" w:styleId="a1">
    <w:name w:val="二级条标题"/>
    <w:basedOn w:val="a0"/>
    <w:next w:val="af5"/>
    <w:qFormat/>
    <w:pPr>
      <w:numPr>
        <w:ilvl w:val="2"/>
      </w:numPr>
      <w:spacing w:before="50" w:after="50"/>
      <w:outlineLvl w:val="3"/>
    </w:pPr>
  </w:style>
  <w:style w:type="paragraph" w:customStyle="1" w:styleId="a2">
    <w:name w:val="三级条标题"/>
    <w:basedOn w:val="a1"/>
    <w:next w:val="af5"/>
    <w:qFormat/>
    <w:pPr>
      <w:numPr>
        <w:ilvl w:val="3"/>
      </w:numPr>
      <w:outlineLvl w:val="4"/>
    </w:pPr>
  </w:style>
  <w:style w:type="paragraph" w:customStyle="1" w:styleId="a3">
    <w:name w:val="四级条标题"/>
    <w:basedOn w:val="a2"/>
    <w:next w:val="af5"/>
    <w:qFormat/>
    <w:pPr>
      <w:numPr>
        <w:ilvl w:val="4"/>
      </w:numPr>
      <w:outlineLvl w:val="5"/>
    </w:pPr>
  </w:style>
  <w:style w:type="paragraph" w:customStyle="1" w:styleId="a4">
    <w:name w:val="五级条标题"/>
    <w:basedOn w:val="a3"/>
    <w:next w:val="af5"/>
    <w:qFormat/>
    <w:pPr>
      <w:numPr>
        <w:ilvl w:val="5"/>
      </w:numPr>
      <w:outlineLvl w:val="6"/>
    </w:pPr>
  </w:style>
  <w:style w:type="paragraph" w:customStyle="1" w:styleId="af6">
    <w:name w:val="前言、引言标题"/>
    <w:next w:val="af5"/>
    <w:uiPriority w:val="99"/>
    <w:qFormat/>
    <w:pPr>
      <w:keepNext/>
      <w:pageBreakBefore/>
      <w:shd w:val="clear" w:color="FFFFFF" w:fill="FFFFFF"/>
      <w:spacing w:before="640" w:after="560"/>
      <w:jc w:val="center"/>
      <w:outlineLvl w:val="0"/>
    </w:pPr>
    <w:rPr>
      <w:rFonts w:ascii="黑体" w:eastAsia="黑体"/>
      <w:sz w:val="32"/>
    </w:rPr>
  </w:style>
  <w:style w:type="paragraph" w:styleId="af7">
    <w:name w:val="List Paragraph"/>
    <w:basedOn w:val="a6"/>
    <w:uiPriority w:val="34"/>
    <w:qFormat/>
    <w:pPr>
      <w:ind w:firstLineChars="200" w:firstLine="420"/>
    </w:pPr>
    <w:rPr>
      <w:rFonts w:ascii="Calibri" w:eastAsia="宋体" w:hAnsi="Calibri" w:cs="Times New Roman"/>
      <w:szCs w:val="21"/>
    </w:rPr>
  </w:style>
  <w:style w:type="paragraph" w:customStyle="1" w:styleId="af8">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9">
    <w:name w:val="标准书脚_奇数页"/>
    <w:qFormat/>
    <w:pPr>
      <w:spacing w:before="120"/>
      <w:ind w:right="198"/>
      <w:jc w:val="right"/>
    </w:pPr>
    <w:rPr>
      <w:rFonts w:ascii="宋体"/>
      <w:sz w:val="18"/>
      <w:szCs w:val="18"/>
    </w:rPr>
  </w:style>
  <w:style w:type="paragraph" w:customStyle="1" w:styleId="p0">
    <w:name w:val="p0"/>
    <w:basedOn w:val="a6"/>
    <w:qFormat/>
    <w:pPr>
      <w:widowControl/>
      <w:spacing w:line="360" w:lineRule="atLeast"/>
    </w:pPr>
    <w:rPr>
      <w:kern w:val="0"/>
      <w:szCs w:val="20"/>
    </w:rPr>
  </w:style>
  <w:style w:type="paragraph" w:customStyle="1" w:styleId="2BulletList">
    <w:name w:val="2Bullet List"/>
    <w:qFormat/>
    <w:rPr>
      <w:rFonts w:eastAsia="Times New Roman"/>
      <w:snapToGrid w:val="0"/>
      <w:sz w:val="24"/>
      <w:lang w:eastAsia="en-US"/>
    </w:rPr>
  </w:style>
  <w:style w:type="paragraph" w:customStyle="1" w:styleId="afa">
    <w:name w:val="终结线"/>
    <w:basedOn w:val="a6"/>
    <w:qFormat/>
    <w:pPr>
      <w:framePr w:hSpace="181" w:vSpace="181" w:wrap="around" w:vAnchor="text" w:hAnchor="margin" w:xAlign="center" w:y="285"/>
    </w:pPr>
  </w:style>
  <w:style w:type="paragraph" w:customStyle="1" w:styleId="WPSOffice1">
    <w:name w:val="WPSOffice手动目录 1"/>
  </w:style>
  <w:style w:type="paragraph" w:customStyle="1" w:styleId="WPSOffice2">
    <w:name w:val="WPSOffice手动目录 2"/>
    <w:pPr>
      <w:ind w:leftChars="200" w:left="200"/>
    </w:pPr>
  </w:style>
  <w:style w:type="character" w:customStyle="1" w:styleId="10">
    <w:name w:val="标题 1 字符"/>
    <w:basedOn w:val="a7"/>
    <w:link w:val="1"/>
    <w:uiPriority w:val="9"/>
    <w:rsid w:val="00624150"/>
    <w:rPr>
      <w:rFonts w:asciiTheme="minorHAnsi" w:eastAsiaTheme="minorEastAsia" w:hAnsiTheme="minorHAnsi" w:cstheme="minorBidi"/>
      <w:b/>
      <w:bCs/>
      <w:kern w:val="44"/>
      <w:sz w:val="44"/>
      <w:szCs w:val="44"/>
    </w:rPr>
  </w:style>
  <w:style w:type="paragraph" w:styleId="TOC">
    <w:name w:val="TOC Heading"/>
    <w:basedOn w:val="1"/>
    <w:next w:val="a6"/>
    <w:uiPriority w:val="39"/>
    <w:unhideWhenUsed/>
    <w:qFormat/>
    <w:rsid w:val="00624150"/>
    <w:pPr>
      <w:outlineLvl w:val="9"/>
    </w:pPr>
  </w:style>
  <w:style w:type="paragraph" w:customStyle="1" w:styleId="Default">
    <w:name w:val="Default"/>
    <w:rsid w:val="00624150"/>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2"/>
  </w:compat>
  <w:rsids>
    <w:rsidRoot w:val="00B050BA"/>
    <w:rsid w:val="004E50CF"/>
    <w:rsid w:val="00864C11"/>
    <w:rsid w:val="00B05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0" textRotate="1"/>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1AC5E-311D-4BBE-9EBF-3814A5B1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侯姗</cp:lastModifiedBy>
  <cp:revision>6</cp:revision>
  <dcterms:created xsi:type="dcterms:W3CDTF">2018-09-13T07:29:00Z</dcterms:created>
  <dcterms:modified xsi:type="dcterms:W3CDTF">2019-04-02T03:07:00Z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