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仿宋_GB2312" w:eastAsia="仿宋_GB2312"/>
          <w:b/>
          <w:sz w:val="36"/>
          <w:szCs w:val="36"/>
        </w:rPr>
      </w:pPr>
      <w:r>
        <w:rPr>
          <w:rFonts w:hint="eastAsia" w:ascii="仿宋_GB2312" w:eastAsia="仿宋_GB2312"/>
          <w:b/>
          <w:sz w:val="36"/>
          <w:szCs w:val="36"/>
        </w:rPr>
        <w:t>《加氢站安全评价的标准格式》编制说明</w:t>
      </w:r>
    </w:p>
    <w:p>
      <w:pPr>
        <w:pStyle w:val="2"/>
        <w:snapToGrid w:val="0"/>
        <w:spacing w:line="240" w:lineRule="auto"/>
      </w:pPr>
      <w:r>
        <w:rPr>
          <w:rFonts w:hint="eastAsia"/>
        </w:rPr>
        <w:t>一、标准制定背景</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加氢站是最重要的氢能基础设施之一，其直接面向终端用户。随着产业规模的扩大和应用场景的增加，加氢站已成为制约氢能产业持续发展的关键因素。但是加氢站标准法规不健全，导致审批流程不畅，目前全国大部分地区的加氢站开发建设并不顺利。另一方面，加氢站储存大量氢气，未来如果大量建设，将成为城市中的重要危险源，在其建设之前应当开展系统的安全评价工作。</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2018年，武汉市经济技术开发区出台了国内首个加氢站审批及管理办法，其中明确提出加氢站建设单位应委托有资质的机构进行安全预评价。2019年，湖北省老河口市也出台了类似规定。不过，目前对于如何开展加氢站安全评价以及安全评价报告应包含哪些内容，并没有明确标准予以约束，这不利于具体评价工作和审批工作的开展。</w:t>
      </w:r>
    </w:p>
    <w:p>
      <w:pPr>
        <w:adjustRightInd w:val="0"/>
        <w:snapToGrid w:val="0"/>
        <w:spacing w:line="360" w:lineRule="auto"/>
        <w:ind w:firstLine="640" w:firstLineChars="200"/>
        <w:rPr>
          <w:rFonts w:ascii="仿宋_GB2312" w:eastAsia="仿宋_GB2312"/>
          <w:color w:val="FF0000"/>
          <w:sz w:val="32"/>
          <w:szCs w:val="32"/>
        </w:rPr>
      </w:pPr>
      <w:r>
        <w:rPr>
          <w:rFonts w:hint="eastAsia" w:ascii="仿宋_GB2312" w:eastAsia="仿宋_GB2312"/>
          <w:sz w:val="32"/>
          <w:szCs w:val="32"/>
        </w:rPr>
        <w:t>标准主要起草单位之一国核华清（北京）核电技术研发中心有限公司，主要业务为工程技术与试验研究、技术开发、技术转让等。自2009年成立起，该公司承担核能及氢能领域的多个国家重大专项、国际原子能机构（IAEA）国际合作项目、北京市科委课题等，尤其在核安全及氢安全领域具有丰富的研究经验，熟悉核电安全评价思路和方法体系，熟练掌握核安全及氢安全相关研究工具。同时公司具有标准制定经验，曾参与中国核能行业协会团体标准项目。</w:t>
      </w:r>
    </w:p>
    <w:p>
      <w:pPr>
        <w:pStyle w:val="2"/>
        <w:snapToGrid w:val="0"/>
        <w:spacing w:line="240" w:lineRule="auto"/>
      </w:pPr>
      <w:r>
        <w:rPr>
          <w:rFonts w:hint="eastAsia"/>
        </w:rPr>
        <w:t>二、标准制定目的意义</w:t>
      </w:r>
    </w:p>
    <w:p>
      <w:pPr>
        <w:snapToGrid w:val="0"/>
        <w:spacing w:line="360" w:lineRule="auto"/>
        <w:ind w:firstLine="640" w:firstLineChars="200"/>
        <w:rPr>
          <w:rFonts w:ascii="仿宋_GB2312" w:eastAsia="仿宋_GB2312"/>
          <w:sz w:val="32"/>
          <w:szCs w:val="32"/>
          <w:highlight w:val="yellow"/>
        </w:rPr>
      </w:pPr>
      <w:r>
        <w:rPr>
          <w:rFonts w:hint="eastAsia" w:ascii="仿宋_GB2312" w:eastAsia="仿宋_GB2312"/>
          <w:sz w:val="32"/>
          <w:szCs w:val="32"/>
        </w:rPr>
        <w:t>加氢站安全评价是指系统的分析加氢站工艺过程的变量波动、设备误动作或故障、假想的事故后果等，识别加氢站潜在的风险，判断其安全水平，为安全有关问题的决策提供完整的方法。</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本标准的目的是研究建立加氢站安全评价的标准，对加氢站安全评价报告的格式和内容进行规范，指导加氢站建设单位进行安全评价，明确安全评价须提供的资料，为提供的资料建立统一格式，利用此格式有助于保证所提供资料的完整性。同时，本标准规定了安全评价的内容和深度，以确保加氢站安全评价报告的完整性和统一性。</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本标准将为加氢站的审批提供依据，有助于加氢站安全审查工作的开展，对于推动加氢站建设，进而推动氢能产业发展具有重要意义。此外，本标准首次提出对加氢站安全评价报告的格式和内容进行规范，相关研究工作和成果将起到引领和示范作用。</w:t>
      </w:r>
    </w:p>
    <w:p>
      <w:pPr>
        <w:pStyle w:val="2"/>
        <w:snapToGrid w:val="0"/>
        <w:spacing w:line="240" w:lineRule="auto"/>
      </w:pPr>
      <w:r>
        <w:rPr>
          <w:rFonts w:hint="eastAsia"/>
        </w:rPr>
        <w:t>三、标准的编写原则</w:t>
      </w:r>
    </w:p>
    <w:p>
      <w:pPr>
        <w:snapToGrid w:val="0"/>
        <w:spacing w:line="360" w:lineRule="auto"/>
        <w:ind w:firstLine="645"/>
        <w:rPr>
          <w:rFonts w:ascii="仿宋_GB2312" w:eastAsia="仿宋_GB2312"/>
          <w:sz w:val="32"/>
          <w:szCs w:val="32"/>
        </w:rPr>
      </w:pPr>
      <w:r>
        <w:rPr>
          <w:rFonts w:hint="eastAsia" w:ascii="仿宋_GB2312" w:eastAsia="仿宋_GB2312"/>
          <w:sz w:val="32"/>
          <w:szCs w:val="32"/>
        </w:rPr>
        <w:t>本标准在编制过程中，主要遵循了科学性、</w:t>
      </w:r>
      <w:r>
        <w:rPr>
          <w:rFonts w:hint="default" w:ascii="仿宋_GB2312" w:eastAsia="仿宋_GB2312"/>
          <w:sz w:val="32"/>
          <w:szCs w:val="32"/>
        </w:rPr>
        <w:t>适用</w:t>
      </w:r>
      <w:r>
        <w:rPr>
          <w:rFonts w:hint="eastAsia" w:ascii="仿宋_GB2312" w:eastAsia="仿宋_GB2312"/>
          <w:sz w:val="32"/>
          <w:szCs w:val="32"/>
        </w:rPr>
        <w:t>性、规范性的原则。</w:t>
      </w:r>
    </w:p>
    <w:p>
      <w:pPr>
        <w:pStyle w:val="21"/>
        <w:snapToGrid w:val="0"/>
        <w:spacing w:line="360" w:lineRule="auto"/>
        <w:ind w:firstLine="640"/>
        <w:rPr>
          <w:rFonts w:ascii="仿宋_GB2312" w:eastAsia="仿宋_GB2312"/>
          <w:sz w:val="32"/>
          <w:szCs w:val="32"/>
        </w:rPr>
      </w:pPr>
      <w:r>
        <w:rPr>
          <w:rFonts w:hint="eastAsia" w:ascii="仿宋_GB2312" w:eastAsia="仿宋_GB2312"/>
          <w:sz w:val="32"/>
          <w:szCs w:val="32"/>
        </w:rPr>
        <w:t>1、科学性。根据《中华人民共和国标准化法》相关法律法规，主要参照了GB 4962《氢气使用安全技术规程》，GB/T34584《加氢站安全技术规范》，GB/T24499 《氢气、氢能与氢能系统术语》，GB/T29279《氢系统安全的基本要求》，GB50177《氢气站设计规范》，GB 50516-2010《加氢站技术规范》，GB/T 19773《变压吸附提纯氢系统技术要求》，GB/T 19774《水电解制氢系统技术要求》，GB50016《建筑设计的防火规范》，GB4962《氢气使用安全技术规程》等相关标准，确定了标准条款。</w:t>
      </w:r>
    </w:p>
    <w:p>
      <w:pPr>
        <w:snapToGrid w:val="0"/>
        <w:spacing w:line="360" w:lineRule="auto"/>
        <w:ind w:firstLine="645"/>
        <w:rPr>
          <w:rFonts w:ascii="仿宋_GB2312" w:eastAsia="仿宋_GB2312"/>
          <w:kern w:val="0"/>
          <w:sz w:val="32"/>
          <w:szCs w:val="32"/>
        </w:rPr>
      </w:pPr>
      <w:r>
        <w:rPr>
          <w:rFonts w:hint="eastAsia" w:ascii="仿宋_GB2312" w:eastAsia="仿宋_GB2312"/>
          <w:kern w:val="0"/>
          <w:sz w:val="32"/>
          <w:szCs w:val="32"/>
        </w:rPr>
        <w:t>2、适用性。标准内容经过起草编制小组反复讨论，语言表达力求准确、精炼，条理清晰，便于实施，适用性强，并且易于被其它的标准或文件引用。</w:t>
      </w:r>
    </w:p>
    <w:p>
      <w:pPr>
        <w:snapToGrid w:val="0"/>
        <w:spacing w:line="360" w:lineRule="auto"/>
        <w:ind w:firstLine="645"/>
        <w:rPr>
          <w:rFonts w:ascii="仿宋_GB2312" w:eastAsia="仿宋_GB2312"/>
          <w:kern w:val="0"/>
          <w:sz w:val="32"/>
          <w:szCs w:val="32"/>
        </w:rPr>
      </w:pPr>
      <w:r>
        <w:rPr>
          <w:rFonts w:hint="eastAsia" w:ascii="仿宋_GB2312" w:eastAsia="仿宋_GB2312"/>
          <w:kern w:val="0"/>
          <w:sz w:val="32"/>
          <w:szCs w:val="32"/>
        </w:rPr>
        <w:t>3、规范性。标准格式按照GB/T 1.1-2009《标准化工作导则 第一部分：标准的结构和编写规则》编写。</w:t>
      </w:r>
    </w:p>
    <w:p>
      <w:pPr>
        <w:pStyle w:val="2"/>
        <w:snapToGrid w:val="0"/>
        <w:spacing w:line="240" w:lineRule="auto"/>
      </w:pPr>
      <w:r>
        <w:rPr>
          <w:rFonts w:hint="eastAsia"/>
        </w:rPr>
        <w:t>四、主要工作过程</w:t>
      </w:r>
    </w:p>
    <w:p>
      <w:pPr>
        <w:snapToGrid w:val="0"/>
        <w:spacing w:line="360" w:lineRule="auto"/>
        <w:ind w:firstLine="646"/>
        <w:jc w:val="left"/>
        <w:rPr>
          <w:rFonts w:ascii="仿宋_GB2312" w:eastAsia="仿宋_GB2312"/>
          <w:sz w:val="32"/>
          <w:szCs w:val="32"/>
        </w:rPr>
      </w:pPr>
      <w:r>
        <w:rPr>
          <w:rFonts w:hint="eastAsia" w:ascii="仿宋_GB2312" w:eastAsia="仿宋_GB2312"/>
          <w:sz w:val="32"/>
          <w:szCs w:val="32"/>
        </w:rPr>
        <w:t>筹备阶段——2019年9月-11月，组建项目工作小组，制定工作方案和进度安排，明确小组成员工作任务。成员包括企业技术人员、标准化专业人员等，确保了标准的制定规范化。</w:t>
      </w:r>
    </w:p>
    <w:p>
      <w:pPr>
        <w:snapToGrid w:val="0"/>
        <w:spacing w:line="360" w:lineRule="auto"/>
        <w:ind w:firstLine="646"/>
        <w:jc w:val="left"/>
        <w:rPr>
          <w:rFonts w:ascii="仿宋_GB2312" w:eastAsia="仿宋_GB2312"/>
          <w:sz w:val="32"/>
          <w:szCs w:val="32"/>
        </w:rPr>
      </w:pPr>
      <w:r>
        <w:rPr>
          <w:rFonts w:hint="eastAsia" w:ascii="仿宋_GB2312" w:eastAsia="仿宋_GB2312"/>
          <w:sz w:val="32"/>
          <w:szCs w:val="32"/>
        </w:rPr>
        <w:t>调研阶段——2019年11月-12月，调研氢安全相关国内外标准。</w:t>
      </w:r>
    </w:p>
    <w:p>
      <w:pPr>
        <w:snapToGrid w:val="0"/>
        <w:spacing w:line="360" w:lineRule="auto"/>
        <w:ind w:firstLine="646"/>
        <w:jc w:val="left"/>
        <w:rPr>
          <w:rFonts w:ascii="仿宋_GB2312" w:eastAsia="仿宋_GB2312"/>
          <w:sz w:val="32"/>
          <w:szCs w:val="32"/>
        </w:rPr>
      </w:pPr>
      <w:r>
        <w:rPr>
          <w:rFonts w:hint="eastAsia" w:ascii="仿宋_GB2312" w:eastAsia="仿宋_GB2312"/>
          <w:sz w:val="32"/>
          <w:szCs w:val="32"/>
        </w:rPr>
        <w:t>标准研制阶段——2019年12月-2020年</w:t>
      </w:r>
      <w:r>
        <w:rPr>
          <w:rFonts w:hint="default" w:ascii="仿宋_GB2312" w:eastAsia="仿宋_GB2312"/>
          <w:sz w:val="32"/>
          <w:szCs w:val="32"/>
        </w:rPr>
        <w:t>1</w:t>
      </w:r>
      <w:r>
        <w:rPr>
          <w:rFonts w:hint="eastAsia" w:ascii="仿宋_GB2312" w:eastAsia="仿宋_GB2312"/>
          <w:sz w:val="32"/>
          <w:szCs w:val="32"/>
        </w:rPr>
        <w:t>月，以现行文件为依据，根据调研情况，编写标准，形成标准草案。</w:t>
      </w:r>
    </w:p>
    <w:p>
      <w:pPr>
        <w:snapToGrid w:val="0"/>
        <w:spacing w:line="360" w:lineRule="auto"/>
        <w:ind w:firstLine="646"/>
        <w:jc w:val="left"/>
        <w:rPr>
          <w:rFonts w:ascii="仿宋_GB2312" w:eastAsia="仿宋_GB2312"/>
          <w:sz w:val="32"/>
          <w:szCs w:val="32"/>
        </w:rPr>
      </w:pPr>
      <w:r>
        <w:rPr>
          <w:rFonts w:hint="eastAsia" w:ascii="仿宋_GB2312" w:eastAsia="仿宋_GB2312"/>
          <w:sz w:val="32"/>
          <w:szCs w:val="32"/>
        </w:rPr>
        <w:t>标准</w:t>
      </w:r>
      <w:r>
        <w:rPr>
          <w:rFonts w:ascii="仿宋_GB2312" w:eastAsia="仿宋_GB2312"/>
          <w:sz w:val="32"/>
          <w:szCs w:val="32"/>
        </w:rPr>
        <w:t>立项阶段</w:t>
      </w:r>
      <w:r>
        <w:rPr>
          <w:rFonts w:hint="eastAsia" w:ascii="仿宋_GB2312" w:eastAsia="仿宋_GB2312"/>
          <w:sz w:val="32"/>
          <w:szCs w:val="32"/>
        </w:rPr>
        <w:t>——2020年</w:t>
      </w:r>
      <w:r>
        <w:rPr>
          <w:rFonts w:hint="default" w:ascii="仿宋_GB2312" w:eastAsia="仿宋_GB2312"/>
          <w:sz w:val="32"/>
          <w:szCs w:val="32"/>
        </w:rPr>
        <w:t>1</w:t>
      </w:r>
      <w:r>
        <w:rPr>
          <w:rFonts w:hint="eastAsia" w:ascii="仿宋_GB2312" w:eastAsia="仿宋_GB2312"/>
          <w:sz w:val="32"/>
          <w:szCs w:val="32"/>
        </w:rPr>
        <w:t>月-4月，团体标准立项，形成标准征求意见稿。</w:t>
      </w:r>
    </w:p>
    <w:p>
      <w:pPr>
        <w:pStyle w:val="2"/>
        <w:snapToGrid w:val="0"/>
        <w:spacing w:line="240" w:lineRule="auto"/>
      </w:pPr>
      <w:r>
        <w:rPr>
          <w:rFonts w:hint="eastAsia"/>
        </w:rPr>
        <w:t>五、标准主要内容说明</w:t>
      </w:r>
    </w:p>
    <w:p>
      <w:pPr>
        <w:snapToGrid w:val="0"/>
        <w:spacing w:line="360" w:lineRule="auto"/>
        <w:ind w:firstLine="645"/>
        <w:jc w:val="left"/>
        <w:rPr>
          <w:rFonts w:ascii="仿宋_GB2312" w:eastAsia="仿宋_GB2312"/>
          <w:sz w:val="32"/>
          <w:szCs w:val="32"/>
        </w:rPr>
      </w:pPr>
      <w:r>
        <w:rPr>
          <w:rFonts w:hint="eastAsia" w:ascii="仿宋_GB2312" w:eastAsia="仿宋_GB2312"/>
          <w:sz w:val="32"/>
          <w:szCs w:val="32"/>
        </w:rPr>
        <w:t>本标准在编制过程中，严格遵照国家标准和联盟标准管理规定的程序进行。标准的编写符合GB/T 1.1-2018的规定，本标准中主要条款编制说明如下：</w:t>
      </w:r>
    </w:p>
    <w:p>
      <w:pPr>
        <w:snapToGrid w:val="0"/>
        <w:spacing w:line="360" w:lineRule="auto"/>
        <w:ind w:firstLine="645"/>
        <w:jc w:val="left"/>
        <w:rPr>
          <w:rFonts w:ascii="仿宋_GB2312" w:eastAsia="仿宋_GB2312"/>
          <w:sz w:val="32"/>
          <w:szCs w:val="32"/>
          <w:highlight w:val="yellow"/>
        </w:rPr>
      </w:pPr>
      <w:r>
        <w:rPr>
          <w:rFonts w:hint="eastAsia" w:ascii="仿宋_GB2312" w:eastAsia="仿宋_GB2312"/>
          <w:sz w:val="32"/>
          <w:szCs w:val="32"/>
        </w:rPr>
        <w:t>一、基本要求</w:t>
      </w:r>
    </w:p>
    <w:p>
      <w:pPr>
        <w:snapToGrid w:val="0"/>
        <w:spacing w:line="360" w:lineRule="auto"/>
        <w:ind w:firstLine="645"/>
        <w:jc w:val="left"/>
        <w:rPr>
          <w:rFonts w:ascii="仿宋_GB2312" w:eastAsia="仿宋_GB2312"/>
          <w:sz w:val="32"/>
          <w:szCs w:val="32"/>
        </w:rPr>
      </w:pPr>
      <w:r>
        <w:rPr>
          <w:rFonts w:hint="eastAsia" w:ascii="仿宋_GB2312" w:eastAsia="仿宋_GB2312"/>
          <w:sz w:val="32"/>
          <w:szCs w:val="32"/>
        </w:rPr>
        <w:t>供氢：加氢站可采用氢气长管拖车、管道运输或自备制氢系统等方式供氢。</w:t>
      </w:r>
    </w:p>
    <w:p>
      <w:pPr>
        <w:snapToGrid w:val="0"/>
        <w:spacing w:line="360" w:lineRule="auto"/>
        <w:ind w:firstLine="645"/>
        <w:jc w:val="left"/>
        <w:rPr>
          <w:rFonts w:ascii="仿宋_GB2312" w:eastAsia="仿宋_GB2312"/>
          <w:sz w:val="32"/>
          <w:szCs w:val="32"/>
        </w:rPr>
      </w:pPr>
      <w:r>
        <w:rPr>
          <w:rFonts w:hint="eastAsia" w:ascii="仿宋_GB2312" w:eastAsia="仿宋_GB2312"/>
          <w:sz w:val="32"/>
          <w:szCs w:val="32"/>
        </w:rPr>
        <w:t>火灾危险：加氢站的火灾危险类别应为甲类。加氢站内有爆炸危险房间或区域的爆炸危险等级应为1区或2区。</w:t>
      </w:r>
    </w:p>
    <w:p>
      <w:pPr>
        <w:snapToGrid w:val="0"/>
        <w:spacing w:line="360" w:lineRule="auto"/>
        <w:ind w:firstLine="645"/>
        <w:jc w:val="left"/>
        <w:rPr>
          <w:rFonts w:ascii="仿宋_GB2312" w:eastAsia="仿宋_GB2312"/>
          <w:sz w:val="32"/>
          <w:szCs w:val="32"/>
        </w:rPr>
      </w:pPr>
      <w:r>
        <w:rPr>
          <w:rFonts w:hint="eastAsia" w:ascii="仿宋_GB2312" w:eastAsia="仿宋_GB2312"/>
          <w:sz w:val="32"/>
          <w:szCs w:val="32"/>
        </w:rPr>
        <w:t>等级划分：加氢站的等级划分，应符合表1的规定。</w:t>
      </w:r>
    </w:p>
    <w:p>
      <w:pPr>
        <w:spacing w:line="360" w:lineRule="auto"/>
        <w:jc w:val="center"/>
        <w:rPr>
          <w:sz w:val="24"/>
        </w:rPr>
      </w:pPr>
      <w:r>
        <w:rPr>
          <w:sz w:val="24"/>
        </w:rPr>
        <w:t>表 1 加氢站的等级划分</w:t>
      </w:r>
    </w:p>
    <w:tbl>
      <w:tblPr>
        <w:tblStyle w:val="1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2840" w:type="dxa"/>
            <w:vMerge w:val="restart"/>
          </w:tcPr>
          <w:p>
            <w:pPr>
              <w:spacing w:line="360" w:lineRule="auto"/>
              <w:jc w:val="center"/>
              <w:rPr>
                <w:sz w:val="24"/>
              </w:rPr>
            </w:pPr>
            <w:r>
              <w:rPr>
                <w:sz w:val="24"/>
              </w:rPr>
              <w:t>等级</w:t>
            </w:r>
          </w:p>
        </w:tc>
        <w:tc>
          <w:tcPr>
            <w:tcW w:w="5682" w:type="dxa"/>
            <w:gridSpan w:val="2"/>
          </w:tcPr>
          <w:p>
            <w:pPr>
              <w:spacing w:line="360" w:lineRule="auto"/>
              <w:jc w:val="center"/>
              <w:rPr>
                <w:sz w:val="24"/>
              </w:rPr>
            </w:pPr>
            <w:r>
              <w:rPr>
                <w:sz w:val="24"/>
              </w:rPr>
              <w:t>储氢罐容量（kg）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2840" w:type="dxa"/>
            <w:vMerge w:val="continue"/>
          </w:tcPr>
          <w:p>
            <w:pPr>
              <w:spacing w:line="360" w:lineRule="auto"/>
              <w:jc w:val="center"/>
              <w:rPr>
                <w:sz w:val="24"/>
              </w:rPr>
            </w:pPr>
          </w:p>
        </w:tc>
        <w:tc>
          <w:tcPr>
            <w:tcW w:w="2841" w:type="dxa"/>
          </w:tcPr>
          <w:p>
            <w:pPr>
              <w:spacing w:line="360" w:lineRule="auto"/>
              <w:jc w:val="center"/>
              <w:rPr>
                <w:sz w:val="24"/>
              </w:rPr>
            </w:pPr>
            <w:r>
              <w:rPr>
                <w:sz w:val="24"/>
              </w:rPr>
              <w:t>总容量G</w:t>
            </w:r>
          </w:p>
        </w:tc>
        <w:tc>
          <w:tcPr>
            <w:tcW w:w="2841" w:type="dxa"/>
          </w:tcPr>
          <w:p>
            <w:pPr>
              <w:spacing w:line="360" w:lineRule="auto"/>
              <w:jc w:val="center"/>
              <w:rPr>
                <w:sz w:val="24"/>
              </w:rPr>
            </w:pPr>
            <w:r>
              <w:rPr>
                <w:sz w:val="24"/>
              </w:rPr>
              <w:t>单管容量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2840" w:type="dxa"/>
          </w:tcPr>
          <w:p>
            <w:pPr>
              <w:spacing w:line="360" w:lineRule="auto"/>
              <w:jc w:val="center"/>
              <w:rPr>
                <w:sz w:val="24"/>
              </w:rPr>
            </w:pPr>
            <w:r>
              <w:rPr>
                <w:sz w:val="24"/>
              </w:rPr>
              <w:t>一级</w:t>
            </w:r>
          </w:p>
        </w:tc>
        <w:tc>
          <w:tcPr>
            <w:tcW w:w="2841" w:type="dxa"/>
          </w:tcPr>
          <w:p>
            <w:pPr>
              <w:widowControl/>
              <w:wordWrap w:val="0"/>
              <w:spacing w:line="520" w:lineRule="atLeast"/>
              <w:jc w:val="center"/>
              <w:rPr>
                <w:sz w:val="24"/>
              </w:rPr>
            </w:pPr>
            <w:r>
              <w:rPr>
                <w:sz w:val="24"/>
              </w:rPr>
              <w:t>4000&lt;G≤8000</w:t>
            </w:r>
          </w:p>
        </w:tc>
        <w:tc>
          <w:tcPr>
            <w:tcW w:w="2841" w:type="dxa"/>
          </w:tcPr>
          <w:p>
            <w:pPr>
              <w:spacing w:line="360" w:lineRule="auto"/>
              <w:jc w:val="center"/>
              <w:rPr>
                <w:sz w:val="24"/>
              </w:rPr>
            </w:pPr>
            <w:r>
              <w:rPr>
                <w:sz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2840" w:type="dxa"/>
          </w:tcPr>
          <w:p>
            <w:pPr>
              <w:spacing w:line="360" w:lineRule="auto"/>
              <w:jc w:val="center"/>
              <w:rPr>
                <w:sz w:val="24"/>
              </w:rPr>
            </w:pPr>
            <w:r>
              <w:rPr>
                <w:sz w:val="24"/>
              </w:rPr>
              <w:t>二级</w:t>
            </w:r>
          </w:p>
        </w:tc>
        <w:tc>
          <w:tcPr>
            <w:tcW w:w="2841" w:type="dxa"/>
          </w:tcPr>
          <w:p>
            <w:pPr>
              <w:spacing w:line="360" w:lineRule="auto"/>
              <w:jc w:val="center"/>
              <w:rPr>
                <w:sz w:val="24"/>
              </w:rPr>
            </w:pPr>
            <w:r>
              <w:rPr>
                <w:sz w:val="24"/>
              </w:rPr>
              <w:t>1000&lt;G≤4000</w:t>
            </w:r>
          </w:p>
        </w:tc>
        <w:tc>
          <w:tcPr>
            <w:tcW w:w="2841" w:type="dxa"/>
          </w:tcPr>
          <w:p>
            <w:pPr>
              <w:spacing w:line="360" w:lineRule="auto"/>
              <w:jc w:val="center"/>
              <w:rPr>
                <w:sz w:val="24"/>
              </w:rPr>
            </w:pPr>
            <w:r>
              <w:rPr>
                <w:sz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2840" w:type="dxa"/>
          </w:tcPr>
          <w:p>
            <w:pPr>
              <w:spacing w:line="360" w:lineRule="auto"/>
              <w:jc w:val="center"/>
              <w:rPr>
                <w:sz w:val="24"/>
              </w:rPr>
            </w:pPr>
            <w:r>
              <w:rPr>
                <w:sz w:val="24"/>
              </w:rPr>
              <w:t>三级</w:t>
            </w:r>
          </w:p>
        </w:tc>
        <w:tc>
          <w:tcPr>
            <w:tcW w:w="2841" w:type="dxa"/>
          </w:tcPr>
          <w:p>
            <w:pPr>
              <w:spacing w:line="360" w:lineRule="auto"/>
              <w:jc w:val="center"/>
              <w:rPr>
                <w:sz w:val="24"/>
              </w:rPr>
            </w:pPr>
            <w:r>
              <w:rPr>
                <w:sz w:val="24"/>
              </w:rPr>
              <w:t>G≤1000</w:t>
            </w:r>
          </w:p>
        </w:tc>
        <w:tc>
          <w:tcPr>
            <w:tcW w:w="2841" w:type="dxa"/>
          </w:tcPr>
          <w:p>
            <w:pPr>
              <w:spacing w:line="360" w:lineRule="auto"/>
              <w:jc w:val="center"/>
              <w:rPr>
                <w:sz w:val="24"/>
              </w:rPr>
            </w:pPr>
            <w:r>
              <w:rPr>
                <w:sz w:val="24"/>
              </w:rPr>
              <w:t>≤500</w:t>
            </w:r>
          </w:p>
        </w:tc>
      </w:tr>
    </w:tbl>
    <w:p>
      <w:pPr>
        <w:spacing w:line="360" w:lineRule="auto"/>
        <w:rPr>
          <w:sz w:val="24"/>
        </w:rPr>
      </w:pPr>
    </w:p>
    <w:p>
      <w:pPr>
        <w:snapToGrid w:val="0"/>
        <w:spacing w:line="360" w:lineRule="auto"/>
        <w:ind w:firstLine="645"/>
        <w:jc w:val="left"/>
        <w:rPr>
          <w:rFonts w:hint="eastAsia" w:ascii="仿宋_GB2312" w:eastAsia="仿宋_GB2312"/>
          <w:sz w:val="32"/>
          <w:szCs w:val="32"/>
        </w:rPr>
      </w:pPr>
      <w:r>
        <w:rPr>
          <w:rFonts w:hint="eastAsia" w:ascii="仿宋_GB2312" w:eastAsia="仿宋_GB2312"/>
          <w:sz w:val="32"/>
          <w:szCs w:val="32"/>
        </w:rPr>
        <w:t>制氢：加氢站内若设有自备制氢系统时，应符合现行国家标准《氢气站设计规范》GB50177的有关规定；根据制氢方式应符合现行国家标准</w:t>
      </w:r>
      <w:bookmarkStart w:id="0" w:name="_GoBack"/>
      <w:bookmarkEnd w:id="0"/>
      <w:r>
        <w:rPr>
          <w:rFonts w:hint="eastAsia" w:ascii="仿宋_GB2312" w:eastAsia="仿宋_GB2312"/>
          <w:sz w:val="32"/>
          <w:szCs w:val="32"/>
        </w:rPr>
        <w:t>《水电解制氢系统技术要求》GB/T 19774或《变压吸附提纯氢系统技术要求》GB/T 19773的有关规定。</w:t>
      </w:r>
    </w:p>
    <w:p>
      <w:pPr>
        <w:snapToGrid w:val="0"/>
        <w:spacing w:line="360" w:lineRule="auto"/>
        <w:ind w:firstLine="645"/>
        <w:jc w:val="left"/>
        <w:rPr>
          <w:rFonts w:ascii="仿宋_GB2312" w:eastAsia="仿宋_GB2312"/>
          <w:sz w:val="32"/>
          <w:szCs w:val="32"/>
        </w:rPr>
      </w:pPr>
      <w:r>
        <w:rPr>
          <w:rFonts w:hint="eastAsia" w:ascii="仿宋_GB2312" w:eastAsia="仿宋_GB2312"/>
          <w:sz w:val="32"/>
          <w:szCs w:val="32"/>
        </w:rPr>
        <w:t>二、安全评价</w:t>
      </w:r>
    </w:p>
    <w:p>
      <w:pPr>
        <w:snapToGrid w:val="0"/>
        <w:spacing w:line="360" w:lineRule="auto"/>
        <w:ind w:firstLine="645"/>
        <w:jc w:val="left"/>
        <w:rPr>
          <w:rFonts w:ascii="仿宋_GB2312" w:eastAsia="仿宋_GB2312"/>
          <w:sz w:val="32"/>
          <w:szCs w:val="32"/>
        </w:rPr>
      </w:pPr>
      <w:r>
        <w:rPr>
          <w:rFonts w:hint="eastAsia" w:ascii="仿宋_GB2312" w:eastAsia="仿宋_GB2312"/>
          <w:sz w:val="32"/>
          <w:szCs w:val="32"/>
        </w:rPr>
        <w:t>加氢站项目的项目建设单位应进行安全评价，并提供安全评价报告。</w:t>
      </w:r>
    </w:p>
    <w:p>
      <w:pPr>
        <w:snapToGrid w:val="0"/>
        <w:spacing w:line="360" w:lineRule="auto"/>
        <w:ind w:firstLine="645"/>
        <w:jc w:val="left"/>
        <w:rPr>
          <w:rFonts w:ascii="仿宋_GB2312" w:eastAsia="仿宋_GB2312"/>
          <w:sz w:val="32"/>
          <w:szCs w:val="32"/>
        </w:rPr>
      </w:pPr>
      <w:r>
        <w:rPr>
          <w:rFonts w:hint="eastAsia" w:ascii="仿宋_GB2312" w:eastAsia="仿宋_GB2312"/>
          <w:sz w:val="32"/>
          <w:szCs w:val="32"/>
        </w:rPr>
        <w:t>借鉴核电厂安全分析的原则和系统性方法，创新性的进行适用性研究，简化应用到加氢站安全评价领域，研究得到《加氢站安全评价报告的标准格式》。</w:t>
      </w:r>
    </w:p>
    <w:p>
      <w:pPr>
        <w:snapToGrid w:val="0"/>
        <w:spacing w:line="360" w:lineRule="auto"/>
        <w:ind w:firstLine="645"/>
        <w:jc w:val="left"/>
        <w:rPr>
          <w:rFonts w:ascii="仿宋_GB2312" w:eastAsia="仿宋_GB2312"/>
          <w:sz w:val="32"/>
          <w:szCs w:val="32"/>
        </w:rPr>
      </w:pPr>
      <w:r>
        <w:rPr>
          <w:rFonts w:hint="eastAsia" w:ascii="仿宋_GB2312" w:eastAsia="仿宋_GB2312"/>
          <w:sz w:val="32"/>
          <w:szCs w:val="32"/>
        </w:rPr>
        <w:t>加氢站安全评价报告的标准格式应包括但不限于以下四个章节：加氢站概述、系统设计描述、安全分析、总体安全评价及质量保证要求。其中，加氢站概述、系统设计描述两个章节主要为安全评价提供输入材料。安全分析、总体安全评价及质量保证要求两个章节主要为加氢站的安全评价及建议。</w:t>
      </w:r>
    </w:p>
    <w:p>
      <w:pPr>
        <w:snapToGrid w:val="0"/>
        <w:spacing w:line="360" w:lineRule="auto"/>
        <w:ind w:firstLine="645"/>
        <w:jc w:val="left"/>
        <w:rPr>
          <w:rFonts w:ascii="仿宋_GB2312"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仿宋_GB2312">
    <w:altName w:val="汉仪仿宋KW"/>
    <w:panose1 w:val="00000000000000000000"/>
    <w:charset w:val="86"/>
    <w:family w:val="modern"/>
    <w:pitch w:val="default"/>
    <w:sig w:usb0="00000000" w:usb1="00000000" w:usb2="00000000" w:usb3="00000000" w:csb0="00040000" w:csb1="00000000"/>
  </w:font>
  <w:font w:name="汉仪仿宋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0"/>
    </w:sdtPr>
    <w:sdtContent>
      <w:p>
        <w:pPr>
          <w:pStyle w:val="7"/>
          <w:jc w:val="center"/>
        </w:pPr>
        <w:r>
          <w:fldChar w:fldCharType="begin"/>
        </w:r>
        <w:r>
          <w:instrText xml:space="preserve">PAGE   \* MERGEFORMAT</w:instrText>
        </w:r>
        <w:r>
          <w:fldChar w:fldCharType="separate"/>
        </w:r>
        <w:r>
          <w:rPr>
            <w:lang w:val="zh-CN"/>
          </w:rPr>
          <w:t>1</w:t>
        </w:r>
        <w: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97B"/>
    <w:rsid w:val="00001C01"/>
    <w:rsid w:val="000216BB"/>
    <w:rsid w:val="00036C8F"/>
    <w:rsid w:val="00052002"/>
    <w:rsid w:val="00056434"/>
    <w:rsid w:val="00057380"/>
    <w:rsid w:val="00065B5C"/>
    <w:rsid w:val="000729EB"/>
    <w:rsid w:val="000863EE"/>
    <w:rsid w:val="000B0879"/>
    <w:rsid w:val="000F0B68"/>
    <w:rsid w:val="001035F1"/>
    <w:rsid w:val="001126BA"/>
    <w:rsid w:val="001238B2"/>
    <w:rsid w:val="00127F4C"/>
    <w:rsid w:val="00140CE7"/>
    <w:rsid w:val="001579C4"/>
    <w:rsid w:val="0016286B"/>
    <w:rsid w:val="00165DEA"/>
    <w:rsid w:val="001D002A"/>
    <w:rsid w:val="001D0518"/>
    <w:rsid w:val="001F1CB9"/>
    <w:rsid w:val="001F639B"/>
    <w:rsid w:val="0022419D"/>
    <w:rsid w:val="00231FCF"/>
    <w:rsid w:val="00237F68"/>
    <w:rsid w:val="00246227"/>
    <w:rsid w:val="00254A0C"/>
    <w:rsid w:val="0026397B"/>
    <w:rsid w:val="002671B6"/>
    <w:rsid w:val="0027094C"/>
    <w:rsid w:val="00287E74"/>
    <w:rsid w:val="002A15DB"/>
    <w:rsid w:val="002A2464"/>
    <w:rsid w:val="002A76B6"/>
    <w:rsid w:val="002D1E35"/>
    <w:rsid w:val="00303AB5"/>
    <w:rsid w:val="00311C12"/>
    <w:rsid w:val="00324703"/>
    <w:rsid w:val="00327325"/>
    <w:rsid w:val="0036151C"/>
    <w:rsid w:val="003C1F17"/>
    <w:rsid w:val="003E1825"/>
    <w:rsid w:val="003F7C1E"/>
    <w:rsid w:val="0040239B"/>
    <w:rsid w:val="00415650"/>
    <w:rsid w:val="00421389"/>
    <w:rsid w:val="00433D56"/>
    <w:rsid w:val="004667A7"/>
    <w:rsid w:val="00481733"/>
    <w:rsid w:val="00491F4E"/>
    <w:rsid w:val="004B67DA"/>
    <w:rsid w:val="004D2B8C"/>
    <w:rsid w:val="004D6564"/>
    <w:rsid w:val="004E61E4"/>
    <w:rsid w:val="00532140"/>
    <w:rsid w:val="0053365F"/>
    <w:rsid w:val="00551269"/>
    <w:rsid w:val="00562BC5"/>
    <w:rsid w:val="006047D7"/>
    <w:rsid w:val="00626B2E"/>
    <w:rsid w:val="0062750B"/>
    <w:rsid w:val="0063078E"/>
    <w:rsid w:val="00634563"/>
    <w:rsid w:val="00642E57"/>
    <w:rsid w:val="00671EFA"/>
    <w:rsid w:val="006741D5"/>
    <w:rsid w:val="00684BE7"/>
    <w:rsid w:val="0069193F"/>
    <w:rsid w:val="00703176"/>
    <w:rsid w:val="00704F8A"/>
    <w:rsid w:val="007235E4"/>
    <w:rsid w:val="00730B67"/>
    <w:rsid w:val="0073429C"/>
    <w:rsid w:val="00746EC4"/>
    <w:rsid w:val="00750245"/>
    <w:rsid w:val="00760556"/>
    <w:rsid w:val="007744EA"/>
    <w:rsid w:val="00781B75"/>
    <w:rsid w:val="00783409"/>
    <w:rsid w:val="007D115A"/>
    <w:rsid w:val="007D2424"/>
    <w:rsid w:val="007E4AD8"/>
    <w:rsid w:val="007F71FF"/>
    <w:rsid w:val="008057E5"/>
    <w:rsid w:val="00806E1D"/>
    <w:rsid w:val="00807AE2"/>
    <w:rsid w:val="00822D44"/>
    <w:rsid w:val="00825997"/>
    <w:rsid w:val="008407A7"/>
    <w:rsid w:val="008469D2"/>
    <w:rsid w:val="008612A2"/>
    <w:rsid w:val="00864C11"/>
    <w:rsid w:val="008865B2"/>
    <w:rsid w:val="008A106F"/>
    <w:rsid w:val="008B5974"/>
    <w:rsid w:val="008B5A64"/>
    <w:rsid w:val="008D41AB"/>
    <w:rsid w:val="008E789E"/>
    <w:rsid w:val="00902CB2"/>
    <w:rsid w:val="00913015"/>
    <w:rsid w:val="00921EB4"/>
    <w:rsid w:val="00930522"/>
    <w:rsid w:val="00950AD9"/>
    <w:rsid w:val="00981CDF"/>
    <w:rsid w:val="009A6537"/>
    <w:rsid w:val="009A7E97"/>
    <w:rsid w:val="009F7688"/>
    <w:rsid w:val="00A11B46"/>
    <w:rsid w:val="00A12969"/>
    <w:rsid w:val="00A15E64"/>
    <w:rsid w:val="00A3284F"/>
    <w:rsid w:val="00A45EFF"/>
    <w:rsid w:val="00A75DAB"/>
    <w:rsid w:val="00A85537"/>
    <w:rsid w:val="00A907A9"/>
    <w:rsid w:val="00A92D1D"/>
    <w:rsid w:val="00A96987"/>
    <w:rsid w:val="00AA72CB"/>
    <w:rsid w:val="00AB4B17"/>
    <w:rsid w:val="00AC3761"/>
    <w:rsid w:val="00AD2928"/>
    <w:rsid w:val="00B0213B"/>
    <w:rsid w:val="00B07B48"/>
    <w:rsid w:val="00B252CA"/>
    <w:rsid w:val="00B36C2C"/>
    <w:rsid w:val="00B42D8D"/>
    <w:rsid w:val="00BB5596"/>
    <w:rsid w:val="00BF5765"/>
    <w:rsid w:val="00C043E4"/>
    <w:rsid w:val="00C16326"/>
    <w:rsid w:val="00C24D24"/>
    <w:rsid w:val="00C26EA6"/>
    <w:rsid w:val="00C40B1C"/>
    <w:rsid w:val="00C463F0"/>
    <w:rsid w:val="00C80C5B"/>
    <w:rsid w:val="00C87AFC"/>
    <w:rsid w:val="00CB6147"/>
    <w:rsid w:val="00CC19F2"/>
    <w:rsid w:val="00CC6D47"/>
    <w:rsid w:val="00CE490F"/>
    <w:rsid w:val="00CE6D46"/>
    <w:rsid w:val="00D13BFA"/>
    <w:rsid w:val="00D16C52"/>
    <w:rsid w:val="00D266A0"/>
    <w:rsid w:val="00D30A69"/>
    <w:rsid w:val="00D47B1C"/>
    <w:rsid w:val="00D52277"/>
    <w:rsid w:val="00D553B9"/>
    <w:rsid w:val="00D85979"/>
    <w:rsid w:val="00D91191"/>
    <w:rsid w:val="00DD587C"/>
    <w:rsid w:val="00DD6DCA"/>
    <w:rsid w:val="00DE0A45"/>
    <w:rsid w:val="00E01372"/>
    <w:rsid w:val="00E1111D"/>
    <w:rsid w:val="00E1731F"/>
    <w:rsid w:val="00E17CBB"/>
    <w:rsid w:val="00E450AC"/>
    <w:rsid w:val="00E478C4"/>
    <w:rsid w:val="00E6723E"/>
    <w:rsid w:val="00E74815"/>
    <w:rsid w:val="00E84881"/>
    <w:rsid w:val="00EA7A8E"/>
    <w:rsid w:val="00EE772E"/>
    <w:rsid w:val="00F12F42"/>
    <w:rsid w:val="00F2401A"/>
    <w:rsid w:val="00F3359A"/>
    <w:rsid w:val="00F508DE"/>
    <w:rsid w:val="00F50CD4"/>
    <w:rsid w:val="00F53721"/>
    <w:rsid w:val="00F66F20"/>
    <w:rsid w:val="00F732A7"/>
    <w:rsid w:val="00F73698"/>
    <w:rsid w:val="00F82AAD"/>
    <w:rsid w:val="00F96648"/>
    <w:rsid w:val="00FA3CF5"/>
    <w:rsid w:val="00FD7488"/>
    <w:rsid w:val="036F5048"/>
    <w:rsid w:val="08594D67"/>
    <w:rsid w:val="09F255B3"/>
    <w:rsid w:val="25AFE9CB"/>
    <w:rsid w:val="60D70468"/>
    <w:rsid w:val="6CDD0421"/>
    <w:rsid w:val="6EEDB39D"/>
    <w:rsid w:val="745625DA"/>
    <w:rsid w:val="7C9C78A3"/>
    <w:rsid w:val="7CEF30ED"/>
    <w:rsid w:val="8CFEB39F"/>
    <w:rsid w:val="DDAB8ED3"/>
    <w:rsid w:val="F3FDB0F1"/>
    <w:rsid w:val="F9DD3A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6"/>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17"/>
    <w:unhideWhenUsed/>
    <w:qFormat/>
    <w:uiPriority w:val="0"/>
    <w:pPr>
      <w:keepNext/>
      <w:keepLines/>
      <w:spacing w:before="260" w:after="260" w:line="416" w:lineRule="auto"/>
      <w:outlineLvl w:val="2"/>
    </w:pPr>
    <w:rPr>
      <w:b/>
      <w:bCs/>
      <w:sz w:val="32"/>
      <w:szCs w:val="32"/>
    </w:rPr>
  </w:style>
  <w:style w:type="character" w:default="1" w:styleId="10">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26"/>
    <w:unhideWhenUsed/>
    <w:qFormat/>
    <w:uiPriority w:val="99"/>
    <w:rPr>
      <w:b/>
      <w:bCs/>
    </w:rPr>
  </w:style>
  <w:style w:type="paragraph" w:styleId="5">
    <w:name w:val="annotation text"/>
    <w:basedOn w:val="1"/>
    <w:link w:val="25"/>
    <w:unhideWhenUsed/>
    <w:qFormat/>
    <w:uiPriority w:val="99"/>
    <w:pPr>
      <w:jc w:val="left"/>
    </w:pPr>
  </w:style>
  <w:style w:type="paragraph" w:styleId="6">
    <w:name w:val="Balloon Text"/>
    <w:basedOn w:val="1"/>
    <w:link w:val="24"/>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1">
    <w:name w:val="Strong"/>
    <w:qFormat/>
    <w:uiPriority w:val="0"/>
    <w:rPr>
      <w:b/>
      <w:bCs/>
    </w:rPr>
  </w:style>
  <w:style w:type="character" w:styleId="12">
    <w:name w:val="Emphasis"/>
    <w:qFormat/>
    <w:uiPriority w:val="0"/>
    <w:rPr>
      <w:i/>
      <w:iCs/>
    </w:rPr>
  </w:style>
  <w:style w:type="character" w:styleId="13">
    <w:name w:val="annotation reference"/>
    <w:basedOn w:val="10"/>
    <w:unhideWhenUsed/>
    <w:qFormat/>
    <w:uiPriority w:val="99"/>
    <w:rPr>
      <w:sz w:val="21"/>
      <w:szCs w:val="21"/>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
    <w:name w:val="标题 2 Char"/>
    <w:basedOn w:val="10"/>
    <w:link w:val="2"/>
    <w:qFormat/>
    <w:uiPriority w:val="0"/>
    <w:rPr>
      <w:rFonts w:asciiTheme="majorHAnsi" w:hAnsiTheme="majorHAnsi" w:eastAsiaTheme="majorEastAsia" w:cstheme="majorBidi"/>
      <w:b/>
      <w:bCs/>
      <w:kern w:val="2"/>
      <w:sz w:val="32"/>
      <w:szCs w:val="32"/>
    </w:rPr>
  </w:style>
  <w:style w:type="character" w:customStyle="1" w:styleId="17">
    <w:name w:val="标题 3 Char"/>
    <w:basedOn w:val="10"/>
    <w:link w:val="3"/>
    <w:semiHidden/>
    <w:qFormat/>
    <w:uiPriority w:val="0"/>
    <w:rPr>
      <w:b/>
      <w:bCs/>
      <w:kern w:val="2"/>
      <w:sz w:val="32"/>
      <w:szCs w:val="32"/>
    </w:rPr>
  </w:style>
  <w:style w:type="character" w:customStyle="1" w:styleId="18">
    <w:name w:val="页眉 Char"/>
    <w:basedOn w:val="10"/>
    <w:link w:val="8"/>
    <w:qFormat/>
    <w:uiPriority w:val="99"/>
    <w:rPr>
      <w:kern w:val="2"/>
      <w:sz w:val="18"/>
      <w:szCs w:val="18"/>
    </w:rPr>
  </w:style>
  <w:style w:type="character" w:customStyle="1" w:styleId="19">
    <w:name w:val="页脚 Char"/>
    <w:basedOn w:val="10"/>
    <w:link w:val="7"/>
    <w:qFormat/>
    <w:uiPriority w:val="99"/>
    <w:rPr>
      <w:kern w:val="2"/>
      <w:sz w:val="18"/>
      <w:szCs w:val="18"/>
    </w:rPr>
  </w:style>
  <w:style w:type="paragraph" w:customStyle="1" w:styleId="20">
    <w:name w:val="newstyle16"/>
    <w:basedOn w:val="1"/>
    <w:qFormat/>
    <w:uiPriority w:val="0"/>
    <w:pPr>
      <w:widowControl/>
      <w:spacing w:before="100" w:beforeAutospacing="1" w:after="100" w:afterAutospacing="1"/>
      <w:jc w:val="left"/>
    </w:pPr>
    <w:rPr>
      <w:rFonts w:ascii="宋体" w:hAnsi="宋体" w:cs="宋体"/>
      <w:kern w:val="0"/>
      <w:sz w:val="24"/>
    </w:rPr>
  </w:style>
  <w:style w:type="paragraph" w:customStyle="1" w:styleId="21">
    <w:name w:val="段"/>
    <w:link w:val="2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2">
    <w:name w:val="段 Char"/>
    <w:link w:val="21"/>
    <w:qFormat/>
    <w:uiPriority w:val="0"/>
    <w:rPr>
      <w:rFonts w:ascii="宋体"/>
      <w:sz w:val="21"/>
    </w:rPr>
  </w:style>
  <w:style w:type="paragraph" w:customStyle="1" w:styleId="23">
    <w:name w:val="列出段落1"/>
    <w:basedOn w:val="1"/>
    <w:qFormat/>
    <w:uiPriority w:val="34"/>
    <w:pPr>
      <w:ind w:firstLine="420" w:firstLineChars="200"/>
    </w:pPr>
  </w:style>
  <w:style w:type="character" w:customStyle="1" w:styleId="24">
    <w:name w:val="批注框文本 Char"/>
    <w:basedOn w:val="10"/>
    <w:link w:val="6"/>
    <w:semiHidden/>
    <w:qFormat/>
    <w:uiPriority w:val="99"/>
    <w:rPr>
      <w:kern w:val="2"/>
      <w:sz w:val="18"/>
      <w:szCs w:val="18"/>
    </w:rPr>
  </w:style>
  <w:style w:type="character" w:customStyle="1" w:styleId="25">
    <w:name w:val="批注文字 Char"/>
    <w:basedOn w:val="10"/>
    <w:link w:val="5"/>
    <w:semiHidden/>
    <w:qFormat/>
    <w:uiPriority w:val="99"/>
    <w:rPr>
      <w:kern w:val="2"/>
      <w:sz w:val="21"/>
      <w:szCs w:val="24"/>
    </w:rPr>
  </w:style>
  <w:style w:type="character" w:customStyle="1" w:styleId="26">
    <w:name w:val="批注主题 Char"/>
    <w:basedOn w:val="25"/>
    <w:link w:val="4"/>
    <w:semiHidden/>
    <w:qFormat/>
    <w:uiPriority w:val="99"/>
    <w:rPr>
      <w:b/>
      <w:bCs/>
      <w:kern w:val="2"/>
      <w:sz w:val="21"/>
      <w:szCs w:val="24"/>
    </w:rPr>
  </w:style>
  <w:style w:type="paragraph" w:customStyle="1" w:styleId="27">
    <w:name w:val="p1"/>
    <w:basedOn w:val="1"/>
    <w:uiPriority w:val="0"/>
    <w:pPr>
      <w:spacing w:before="0" w:beforeAutospacing="0" w:after="0" w:afterAutospacing="0" w:line="380" w:lineRule="atLeast"/>
      <w:ind w:left="0" w:right="0"/>
      <w:jc w:val="left"/>
    </w:pPr>
    <w:rPr>
      <w:rFonts w:ascii="Helvetica Neue" w:hAnsi="Helvetica Neue" w:eastAsia="Helvetica Neue" w:cs="Helvetica Neue"/>
      <w:color w:val="000000"/>
      <w:kern w:val="0"/>
      <w:sz w:val="26"/>
      <w:szCs w:val="26"/>
      <w:lang w:val="en-US" w:eastAsia="zh-CN" w:bidi="ar"/>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341</Words>
  <Characters>1947</Characters>
  <Lines>16</Lines>
  <Paragraphs>4</Paragraphs>
  <ScaleCrop>false</ScaleCrop>
  <LinksUpToDate>false</LinksUpToDate>
  <CharactersWithSpaces>2284</CharactersWithSpaces>
  <Application>WPS Office_1.3.1.1688_F1E327BC-269C-435d-A152-05C5408002CA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2020-02-04T10:16:00Z</dcterms:created>
  <dc:creator>admin</dc:creator>
  <cp:lastModifiedBy>jhj</cp:lastModifiedBy>
  <dcterms:modified xsi:type="dcterms:W3CDTF">2020-02-03T21:11:31Z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2052-1.3.1.1688</vt:lpwstr>
  </property>
</Properties>
</file>