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D1" w:rsidRDefault="00E47A8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-748665</wp:posOffset>
                </wp:positionV>
                <wp:extent cx="2359025" cy="497205"/>
                <wp:effectExtent l="5080" t="5080" r="13335" b="1587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A61AD1" w:rsidRDefault="00E47A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ICS 43.180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7.85pt;margin-top:-58.95pt;height:39.15pt;width:185.75pt;z-index:251676672;mso-width-relative:margin;mso-height-relative:margin;mso-width-percent:400;mso-height-percent:200;" fillcolor="#FFFFFF" filled="t" stroked="t" coordsize="21600,21600" o:gfxdata="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vfZkQ2QAAAAsBAAAPAAAAAAAAAAEAIAAAACIAAABkcnMvZG93bnJl&#10;di54bWxQSwECFAAUAAAACACHTuJAfOMaQfwBAAAQ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ICS 43.180</w:t>
                      </w:r>
                    </w:p>
                  </w:txbxContent>
                </v:textbox>
              </v:shape>
            </w:pict>
          </mc:Fallback>
        </mc:AlternateContent>
      </w:r>
    </w:p>
    <w:p w:rsidR="00A61AD1" w:rsidRDefault="00E47A87">
      <w:pPr>
        <w:jc w:val="center"/>
        <w:rPr>
          <w:rFonts w:ascii="方正小标宋简体" w:eastAsia="方正小标宋简体"/>
          <w:sz w:val="56"/>
          <w:szCs w:val="72"/>
        </w:rPr>
      </w:pPr>
      <w:r>
        <w:rPr>
          <w:rFonts w:ascii="方正小标宋简体" w:eastAsia="方正小标宋简体" w:hint="eastAsia"/>
          <w:spacing w:val="240"/>
          <w:kern w:val="0"/>
          <w:sz w:val="56"/>
          <w:szCs w:val="72"/>
        </w:rPr>
        <w:t>团</w:t>
      </w:r>
      <w:r>
        <w:rPr>
          <w:rFonts w:ascii="方正小标宋简体" w:eastAsia="方正小标宋简体" w:hint="eastAsia"/>
          <w:spacing w:val="240"/>
          <w:kern w:val="0"/>
          <w:sz w:val="56"/>
          <w:szCs w:val="72"/>
        </w:rPr>
        <w:t xml:space="preserve">  </w:t>
      </w:r>
      <w:r>
        <w:rPr>
          <w:rFonts w:ascii="方正小标宋简体" w:eastAsia="方正小标宋简体" w:hint="eastAsia"/>
          <w:spacing w:val="240"/>
          <w:kern w:val="0"/>
          <w:sz w:val="56"/>
          <w:szCs w:val="72"/>
        </w:rPr>
        <w:t>体</w:t>
      </w:r>
      <w:r>
        <w:rPr>
          <w:rFonts w:ascii="方正小标宋简体" w:eastAsia="方正小标宋简体" w:hint="eastAsia"/>
          <w:spacing w:val="240"/>
          <w:kern w:val="0"/>
          <w:sz w:val="56"/>
          <w:szCs w:val="72"/>
        </w:rPr>
        <w:t xml:space="preserve">  </w:t>
      </w:r>
      <w:r>
        <w:rPr>
          <w:rFonts w:ascii="方正小标宋简体" w:eastAsia="方正小标宋简体" w:hint="eastAsia"/>
          <w:spacing w:val="240"/>
          <w:kern w:val="0"/>
          <w:sz w:val="56"/>
          <w:szCs w:val="72"/>
        </w:rPr>
        <w:t>标</w:t>
      </w:r>
      <w:r>
        <w:rPr>
          <w:rFonts w:ascii="方正小标宋简体" w:eastAsia="方正小标宋简体" w:hint="eastAsia"/>
          <w:spacing w:val="240"/>
          <w:kern w:val="0"/>
          <w:sz w:val="56"/>
          <w:szCs w:val="72"/>
        </w:rPr>
        <w:t xml:space="preserve">  </w:t>
      </w:r>
      <w:r>
        <w:rPr>
          <w:rFonts w:ascii="方正小标宋简体" w:eastAsia="方正小标宋简体" w:hint="eastAsia"/>
          <w:kern w:val="0"/>
          <w:sz w:val="56"/>
          <w:szCs w:val="72"/>
        </w:rPr>
        <w:t>准</w:t>
      </w:r>
    </w:p>
    <w:p w:rsidR="00A61AD1" w:rsidRDefault="00E47A87">
      <w:pPr>
        <w:jc w:val="right"/>
        <w:rPr>
          <w:rFonts w:ascii="微软雅黑" w:eastAsia="微软雅黑" w:hAnsi="微软雅黑" w:cs="Times New Roman"/>
        </w:rPr>
      </w:pPr>
      <w:r>
        <w:rPr>
          <w:rFonts w:ascii="Times New Roman" w:eastAsia="方正小标宋简体" w:hAnsi="Times New Roman" w:cs="Times New Roman" w:hint="eastAsia"/>
          <w:b/>
          <w:spacing w:val="6"/>
          <w:sz w:val="32"/>
          <w:szCs w:val="32"/>
        </w:rPr>
        <w:t>T/</w:t>
      </w:r>
      <w:r>
        <w:rPr>
          <w:rFonts w:ascii="Times New Roman" w:eastAsia="方正小标宋简体" w:hAnsi="Times New Roman" w:cs="Times New Roman"/>
          <w:b/>
          <w:spacing w:val="6"/>
          <w:sz w:val="32"/>
          <w:szCs w:val="32"/>
        </w:rPr>
        <w:t>C</w:t>
      </w:r>
      <w:r w:rsidR="008619A8">
        <w:rPr>
          <w:rFonts w:ascii="Times New Roman" w:eastAsia="方正小标宋简体" w:hAnsi="Times New Roman" w:cs="Times New Roman" w:hint="eastAsia"/>
          <w:b/>
          <w:spacing w:val="6"/>
          <w:sz w:val="32"/>
          <w:szCs w:val="32"/>
        </w:rPr>
        <w:t>S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b/>
          <w:spacing w:val="6"/>
          <w:sz w:val="32"/>
          <w:szCs w:val="32"/>
        </w:rPr>
        <w:t>TE</w:t>
      </w:r>
      <w:r>
        <w:rPr>
          <w:rFonts w:ascii="微软雅黑" w:eastAsia="微软雅黑" w:hAnsi="微软雅黑" w:cs="Times New Roman" w:hint="eastAsia"/>
          <w:spacing w:val="6"/>
          <w:sz w:val="28"/>
          <w:szCs w:val="28"/>
        </w:rPr>
        <w:t xml:space="preserve"> XXXX</w:t>
      </w:r>
      <w:r>
        <w:rPr>
          <w:rFonts w:ascii="微软雅黑" w:eastAsia="微软雅黑" w:hAnsi="微软雅黑" w:cs="Times New Roman" w:hint="eastAsia"/>
          <w:spacing w:val="6"/>
          <w:sz w:val="28"/>
          <w:szCs w:val="28"/>
        </w:rPr>
        <w:t>—</w:t>
      </w:r>
      <w:r>
        <w:rPr>
          <w:rFonts w:ascii="微软雅黑" w:eastAsia="微软雅黑" w:hAnsi="微软雅黑" w:cs="Times New Roman" w:hint="eastAsia"/>
          <w:spacing w:val="6"/>
          <w:sz w:val="28"/>
          <w:szCs w:val="28"/>
        </w:rPr>
        <w:t>2020</w:t>
      </w:r>
    </w:p>
    <w:p w:rsidR="00A61AD1" w:rsidRDefault="00E47A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76200</wp:posOffset>
                </wp:positionV>
                <wp:extent cx="6098540" cy="0"/>
                <wp:effectExtent l="0" t="0" r="0" b="0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" o:spid="_x0000_s1026" o:spt="32" type="#_x0000_t32" style="position:absolute;left:0pt;margin-left:-8.1pt;margin-top:6pt;height:0pt;width:480.2pt;z-index:251659264;mso-width-relative:page;mso-height-relative:page;" filled="f" stroked="t" coordsize="21600,21600" o:gfxdata="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1yYNNYAAAAJAQAADwAA&#10;AAAAAAABACAAAAAiAAAAZHJzL2Rvd25yZXYueG1sUEsBAhQAFAAAAAgAh07iQPZcWsDfAQAAow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E47A87">
      <w:pPr>
        <w:spacing w:beforeLines="50" w:before="156" w:afterLines="50" w:after="156" w:line="360" w:lineRule="auto"/>
        <w:jc w:val="center"/>
        <w:rPr>
          <w:rFonts w:ascii="黑体" w:eastAsia="黑体" w:hAnsiTheme="minorEastAsia"/>
          <w:b/>
          <w:sz w:val="52"/>
          <w:szCs w:val="52"/>
        </w:rPr>
      </w:pPr>
      <w:r>
        <w:rPr>
          <w:rFonts w:ascii="黑体" w:eastAsia="黑体" w:hAnsiTheme="minorEastAsia" w:hint="eastAsia"/>
          <w:b/>
          <w:sz w:val="52"/>
          <w:szCs w:val="52"/>
        </w:rPr>
        <w:t>氢燃料电池公交车维保技术规范</w:t>
      </w:r>
    </w:p>
    <w:p w:rsidR="00A61AD1" w:rsidRDefault="00E47A87">
      <w:pPr>
        <w:spacing w:beforeLines="50" w:before="156" w:afterLines="50" w:after="156" w:line="360" w:lineRule="auto"/>
        <w:jc w:val="center"/>
        <w:rPr>
          <w:rFonts w:ascii="黑体" w:eastAsia="黑体" w:hAnsiTheme="minorEastAsia" w:cs="Times New Roman"/>
          <w:sz w:val="36"/>
          <w:szCs w:val="36"/>
        </w:rPr>
      </w:pPr>
      <w:r>
        <w:rPr>
          <w:rFonts w:ascii="黑体" w:eastAsia="黑体" w:hAnsiTheme="minorEastAsia" w:cs="Times New Roman" w:hint="eastAsia"/>
          <w:sz w:val="36"/>
          <w:szCs w:val="36"/>
        </w:rPr>
        <w:t>Technical s</w:t>
      </w:r>
      <w:r>
        <w:rPr>
          <w:rFonts w:ascii="黑体" w:eastAsia="黑体" w:hAnsiTheme="minorEastAsia" w:cs="Times New Roman"/>
          <w:sz w:val="36"/>
          <w:szCs w:val="36"/>
        </w:rPr>
        <w:t>pecification</w:t>
      </w:r>
      <w:r>
        <w:rPr>
          <w:rFonts w:ascii="黑体" w:eastAsia="黑体" w:hAnsiTheme="minorEastAsia" w:cs="Times New Roman" w:hint="eastAsia"/>
          <w:sz w:val="36"/>
          <w:szCs w:val="36"/>
        </w:rPr>
        <w:t xml:space="preserve"> </w:t>
      </w:r>
      <w:r>
        <w:rPr>
          <w:rFonts w:ascii="黑体" w:eastAsia="黑体" w:hAnsiTheme="minorEastAsia" w:cs="Times New Roman"/>
          <w:sz w:val="36"/>
          <w:szCs w:val="36"/>
        </w:rPr>
        <w:t>for hydrogen fuel cell bus maintenance</w:t>
      </w:r>
    </w:p>
    <w:p w:rsidR="00A61AD1" w:rsidRDefault="00E47A87">
      <w:pPr>
        <w:spacing w:beforeLines="50" w:before="156" w:afterLines="50" w:after="156" w:line="360" w:lineRule="auto"/>
        <w:jc w:val="center"/>
        <w:rPr>
          <w:rFonts w:ascii="黑体" w:eastAsia="黑体" w:hAnsiTheme="minorEastAsia"/>
          <w:sz w:val="20"/>
          <w:szCs w:val="24"/>
        </w:rPr>
      </w:pPr>
      <w:r>
        <w:rPr>
          <w:rFonts w:ascii="黑体" w:eastAsia="黑体" w:hAnsiTheme="minorEastAsia" w:cs="Times New Roman" w:hint="eastAsia"/>
          <w:sz w:val="24"/>
          <w:szCs w:val="36"/>
        </w:rPr>
        <w:t>（征求意见稿）</w:t>
      </w:r>
    </w:p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A61AD1"/>
    <w:p w:rsidR="00A61AD1" w:rsidRDefault="00E47A87">
      <w:pPr>
        <w:rPr>
          <w:rFonts w:ascii="微软雅黑" w:eastAsia="微软雅黑" w:hAnsi="微软雅黑" w:cs="Times New Roman"/>
          <w:spacing w:val="6"/>
          <w:sz w:val="28"/>
          <w:szCs w:val="28"/>
        </w:rPr>
      </w:pPr>
      <w:r>
        <w:rPr>
          <w:rFonts w:ascii="微软雅黑" w:eastAsia="微软雅黑" w:hAnsi="微软雅黑" w:cs="Times New Roman" w:hint="eastAsia"/>
          <w:spacing w:val="6"/>
          <w:sz w:val="28"/>
          <w:szCs w:val="28"/>
        </w:rPr>
        <w:t xml:space="preserve">2020-XX-XX </w:t>
      </w:r>
      <w:r>
        <w:rPr>
          <w:rFonts w:ascii="黑体" w:eastAsia="黑体" w:hAnsi="黑体" w:cs="Times New Roman" w:hint="eastAsia"/>
          <w:spacing w:val="6"/>
          <w:sz w:val="28"/>
          <w:szCs w:val="28"/>
        </w:rPr>
        <w:t>发布</w:t>
      </w:r>
      <w:r>
        <w:rPr>
          <w:rFonts w:ascii="微软雅黑" w:eastAsia="微软雅黑" w:hAnsi="微软雅黑" w:cs="Times New Roman" w:hint="eastAsia"/>
          <w:spacing w:val="6"/>
          <w:sz w:val="28"/>
          <w:szCs w:val="28"/>
        </w:rPr>
        <w:t xml:space="preserve">                             2020-XX-XX </w:t>
      </w:r>
      <w:r>
        <w:rPr>
          <w:rFonts w:ascii="黑体" w:eastAsia="黑体" w:hAnsi="黑体" w:cs="Times New Roman" w:hint="eastAsia"/>
          <w:spacing w:val="6"/>
          <w:sz w:val="28"/>
          <w:szCs w:val="28"/>
        </w:rPr>
        <w:t>实施</w:t>
      </w:r>
    </w:p>
    <w:p w:rsidR="00A61AD1" w:rsidRDefault="00E47A87">
      <w:pPr>
        <w:ind w:firstLineChars="100" w:firstLine="520"/>
        <w:jc w:val="center"/>
        <w:rPr>
          <w:rFonts w:ascii="方正小标宋简体" w:eastAsia="方正小标宋简体"/>
          <w:sz w:val="52"/>
          <w:szCs w:val="52"/>
        </w:rPr>
        <w:sectPr w:rsidR="00A61AD1">
          <w:headerReference w:type="even" r:id="rId11"/>
          <w:headerReference w:type="default" r:id="rId12"/>
          <w:pgSz w:w="11907" w:h="16839"/>
          <w:pgMar w:top="1418" w:right="1134" w:bottom="1134" w:left="1418" w:header="993" w:footer="851" w:gutter="0"/>
          <w:pgNumType w:fmt="upperRoman"/>
          <w:cols w:space="425"/>
          <w:docGrid w:type="lines" w:linePitch="312"/>
        </w:sectPr>
      </w:pPr>
      <w:r>
        <w:rPr>
          <w:rFonts w:ascii="方正小标宋简体" w:eastAsia="方正小标宋简体" w:hint="eastAsia"/>
          <w:sz w:val="52"/>
          <w:szCs w:val="52"/>
        </w:rPr>
        <w:t>中国技术经济学</w:t>
      </w:r>
      <w:r>
        <w:rPr>
          <w:rFonts w:ascii="方正小标宋简体" w:eastAsia="方正小标宋简体" w:hint="eastAsia"/>
          <w:sz w:val="52"/>
          <w:szCs w:val="52"/>
        </w:rPr>
        <w:t>会</w:t>
      </w:r>
      <w:r>
        <w:rPr>
          <w:rFonts w:ascii="方正小标宋简体" w:eastAsia="方正小标宋简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44450</wp:posOffset>
                </wp:positionV>
                <wp:extent cx="5874385" cy="0"/>
                <wp:effectExtent l="0" t="9525" r="8255" b="13335"/>
                <wp:wrapNone/>
                <wp:docPr id="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438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3" o:spid="_x0000_s1026" o:spt="32" type="#_x0000_t32" style="position:absolute;left:0pt;margin-left:-4.7pt;margin-top:3.5pt;height:0pt;width:462.55pt;z-index:251660288;mso-width-relative:page;mso-height-relative:page;" filled="f" stroked="t" coordsize="21600,21600" o:gfxdata="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/4mW9IAAAAGAQAADwAAAAAA&#10;AAABACAAAAAiAAAAZHJzL2Rvd25yZXYueG1sUEsBAhQAFAAAAAgAh07iQIuyDePgAQAApAMAAA4A&#10;AAAAAAAAAQAgAAAAIQ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int="eastAsia"/>
          <w:sz w:val="52"/>
          <w:szCs w:val="52"/>
        </w:rPr>
        <w:t xml:space="preserve">  </w:t>
      </w:r>
      <w:r>
        <w:rPr>
          <w:rFonts w:ascii="方正小标宋简体" w:eastAsia="方正小标宋简体" w:hint="eastAsia"/>
          <w:sz w:val="52"/>
          <w:szCs w:val="52"/>
        </w:rPr>
        <w:t>发</w:t>
      </w:r>
      <w:r>
        <w:rPr>
          <w:rFonts w:ascii="方正小标宋简体" w:eastAsia="方正小标宋简体" w:hint="eastAsia"/>
          <w:sz w:val="52"/>
          <w:szCs w:val="52"/>
        </w:rPr>
        <w:t xml:space="preserve">  </w:t>
      </w:r>
      <w:r>
        <w:rPr>
          <w:rFonts w:ascii="方正小标宋简体" w:eastAsia="方正小标宋简体" w:hint="eastAsia"/>
          <w:sz w:val="52"/>
          <w:szCs w:val="52"/>
        </w:rPr>
        <w:t>布</w:t>
      </w:r>
    </w:p>
    <w:p w:rsidR="00A61AD1" w:rsidRDefault="00E47A87">
      <w:pPr>
        <w:pStyle w:val="aff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</w:t>
      </w:r>
      <w:bookmarkStart w:id="1" w:name="_Toc15266114"/>
      <w:r>
        <w:rPr>
          <w:rFonts w:ascii="Arial" w:hAnsi="Arial" w:cs="Arial" w:hint="eastAsia"/>
        </w:rPr>
        <w:t>前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 w:hint="eastAsia"/>
        </w:rPr>
        <w:t>言</w:t>
      </w:r>
      <w:bookmarkEnd w:id="1"/>
    </w:p>
    <w:p w:rsidR="00A61AD1" w:rsidRDefault="00E47A87">
      <w:pPr>
        <w:spacing w:line="360" w:lineRule="auto"/>
        <w:ind w:firstLine="420"/>
        <w:rPr>
          <w:rFonts w:ascii="Arial" w:hAnsi="Arial" w:cs="Arial"/>
        </w:rPr>
      </w:pPr>
      <w:bookmarkStart w:id="2" w:name="StandardName"/>
      <w:r>
        <w:rPr>
          <w:rFonts w:ascii="Arial" w:hAnsi="Arial" w:cs="Arial" w:hint="eastAsia"/>
        </w:rPr>
        <w:t>本标准按照</w:t>
      </w:r>
      <w:r>
        <w:rPr>
          <w:rFonts w:ascii="Arial" w:hAnsi="Arial" w:cs="Arial" w:hint="eastAsia"/>
        </w:rPr>
        <w:t>GB/T 1.1-2009</w:t>
      </w:r>
      <w:r>
        <w:rPr>
          <w:rFonts w:ascii="Arial" w:hAnsi="Arial" w:cs="Arial" w:hint="eastAsia"/>
        </w:rPr>
        <w:t>给出的规则起草。</w:t>
      </w:r>
    </w:p>
    <w:p w:rsidR="00A61AD1" w:rsidRDefault="00E47A87">
      <w:pPr>
        <w:spacing w:line="360" w:lineRule="auto"/>
        <w:ind w:firstLine="420"/>
        <w:rPr>
          <w:rFonts w:ascii="Arial" w:hAnsi="Arial" w:cs="Arial"/>
        </w:rPr>
      </w:pPr>
      <w:r>
        <w:rPr>
          <w:rFonts w:ascii="Arial" w:hAnsi="Arial" w:cs="Arial" w:hint="eastAsia"/>
        </w:rPr>
        <w:t>本规范由中国节能协会和中国技术经济学会归口并联合发布。</w:t>
      </w:r>
    </w:p>
    <w:p w:rsidR="00A61AD1" w:rsidRDefault="00E47A87">
      <w:pPr>
        <w:spacing w:line="360" w:lineRule="auto"/>
        <w:ind w:firstLine="420"/>
        <w:rPr>
          <w:rFonts w:ascii="Arial" w:hAnsi="Arial" w:cs="Arial"/>
        </w:rPr>
      </w:pPr>
      <w:r>
        <w:rPr>
          <w:rFonts w:ascii="Arial" w:hAnsi="Arial" w:cs="Arial" w:hint="eastAsia"/>
        </w:rPr>
        <w:t>主要起草单位：佛山市质量和标准化研究院、佛山绿色发展创新研究院</w:t>
      </w:r>
      <w:r>
        <w:rPr>
          <w:rFonts w:ascii="Arial" w:hAnsi="Arial" w:cs="Arial" w:hint="eastAsia"/>
        </w:rPr>
        <w:t>等</w:t>
      </w:r>
      <w:r>
        <w:rPr>
          <w:rFonts w:ascii="Arial" w:hAnsi="Arial" w:cs="Arial" w:hint="eastAsia"/>
        </w:rPr>
        <w:t>。</w:t>
      </w:r>
    </w:p>
    <w:p w:rsidR="00A61AD1" w:rsidRDefault="00E47A87">
      <w:pPr>
        <w:spacing w:line="360" w:lineRule="auto"/>
        <w:ind w:firstLine="420"/>
        <w:rPr>
          <w:rFonts w:ascii="Arial" w:hAnsi="Arial" w:cs="Arial"/>
        </w:rPr>
      </w:pPr>
      <w:r>
        <w:rPr>
          <w:rFonts w:ascii="Arial" w:hAnsi="Arial" w:cs="Arial" w:hint="eastAsia"/>
        </w:rPr>
        <w:t>主要起草人：</w:t>
      </w:r>
      <w:r>
        <w:rPr>
          <w:rFonts w:ascii="Arial" w:hAnsi="Arial" w:cs="Arial" w:hint="eastAsia"/>
        </w:rPr>
        <w:t>待定</w:t>
      </w:r>
      <w:r>
        <w:rPr>
          <w:rFonts w:ascii="Arial" w:hAnsi="Arial" w:cs="Arial" w:hint="eastAsia"/>
        </w:rPr>
        <w:t>。</w:t>
      </w:r>
    </w:p>
    <w:p w:rsidR="00A61AD1" w:rsidRDefault="00E47A87">
      <w:pPr>
        <w:spacing w:line="360" w:lineRule="auto"/>
        <w:ind w:firstLine="420"/>
        <w:rPr>
          <w:rFonts w:ascii="Arial" w:hAnsi="Arial" w:cs="Arial"/>
        </w:rPr>
        <w:sectPr w:rsidR="00A61AD1">
          <w:headerReference w:type="default" r:id="rId13"/>
          <w:pgSz w:w="11907" w:h="16839"/>
          <w:pgMar w:top="1418" w:right="1134" w:bottom="1134" w:left="1418" w:header="993" w:footer="851" w:gutter="0"/>
          <w:pgNumType w:fmt="upperRoman"/>
          <w:cols w:space="425"/>
          <w:docGrid w:type="lines" w:linePitch="312"/>
        </w:sectPr>
      </w:pPr>
      <w:r>
        <w:rPr>
          <w:rFonts w:ascii="Arial" w:hAnsi="Arial" w:cs="Arial" w:hint="eastAsia"/>
        </w:rPr>
        <w:t>本规范为首次发布。</w:t>
      </w:r>
    </w:p>
    <w:p w:rsidR="00A61AD1" w:rsidRDefault="00E47A87">
      <w:pPr>
        <w:pStyle w:val="aff5"/>
      </w:pPr>
      <w:r>
        <w:rPr>
          <w:rFonts w:hint="eastAsia"/>
        </w:rPr>
        <w:lastRenderedPageBreak/>
        <w:t>氢燃料电池公交车维保技术规范   </w:t>
      </w:r>
      <w:bookmarkEnd w:id="2"/>
    </w:p>
    <w:p w:rsidR="00A61AD1" w:rsidRDefault="00E47A87">
      <w:pPr>
        <w:pStyle w:val="a4"/>
        <w:spacing w:before="312" w:after="312"/>
        <w:ind w:left="0"/>
        <w:rPr>
          <w:szCs w:val="22"/>
        </w:rPr>
      </w:pPr>
      <w:bookmarkStart w:id="3" w:name="_Toc9941"/>
      <w:bookmarkStart w:id="4" w:name="_Toc21093"/>
      <w:bookmarkStart w:id="5" w:name="_Toc21830"/>
      <w:r>
        <w:rPr>
          <w:rFonts w:hint="eastAsia"/>
          <w:szCs w:val="22"/>
        </w:rPr>
        <w:t>范围</w:t>
      </w:r>
      <w:bookmarkEnd w:id="3"/>
      <w:bookmarkEnd w:id="4"/>
      <w:bookmarkEnd w:id="5"/>
    </w:p>
    <w:p w:rsidR="00A61AD1" w:rsidRDefault="00E47A87">
      <w:pPr>
        <w:pStyle w:val="affc"/>
        <w:rPr>
          <w:rFonts w:eastAsia="宋体"/>
        </w:rPr>
      </w:pPr>
      <w:r>
        <w:rPr>
          <w:rFonts w:hint="eastAsia"/>
        </w:rPr>
        <w:t xml:space="preserve">本标准规定了氢燃料电池公交车的质保期、维护保养程序和工作时限的要求。　</w:t>
      </w:r>
    </w:p>
    <w:p w:rsidR="00A61AD1" w:rsidRDefault="00E47A87">
      <w:pPr>
        <w:pStyle w:val="aff6"/>
      </w:pPr>
      <w:r>
        <w:rPr>
          <w:rFonts w:hint="eastAsia"/>
        </w:rPr>
        <w:t>本标准适用于</w:t>
      </w:r>
      <w:r>
        <w:rPr>
          <w:rFonts w:hAnsi="宋体" w:cs="宋体" w:hint="eastAsia"/>
          <w:szCs w:val="21"/>
        </w:rPr>
        <w:t>压缩</w:t>
      </w:r>
      <w:proofErr w:type="gramStart"/>
      <w:r>
        <w:rPr>
          <w:rFonts w:hAnsi="宋体" w:cs="宋体" w:hint="eastAsia"/>
          <w:szCs w:val="21"/>
        </w:rPr>
        <w:t>氢系统</w:t>
      </w:r>
      <w:proofErr w:type="gramEnd"/>
      <w:r>
        <w:rPr>
          <w:rFonts w:hAnsi="宋体" w:cs="宋体" w:hint="eastAsia"/>
          <w:szCs w:val="21"/>
        </w:rPr>
        <w:t>的额定工作压力不大于</w:t>
      </w:r>
      <w:r>
        <w:rPr>
          <w:rFonts w:hAnsi="宋体" w:cs="宋体" w:hint="eastAsia"/>
          <w:szCs w:val="21"/>
        </w:rPr>
        <w:t>35</w:t>
      </w:r>
      <w:r>
        <w:rPr>
          <w:rFonts w:hAnsi="宋体" w:cs="宋体"/>
          <w:szCs w:val="21"/>
        </w:rPr>
        <w:t xml:space="preserve"> </w:t>
      </w:r>
      <w:proofErr w:type="spellStart"/>
      <w:r>
        <w:rPr>
          <w:rFonts w:hAnsi="宋体" w:cs="宋体" w:hint="eastAsia"/>
          <w:szCs w:val="21"/>
        </w:rPr>
        <w:t>MPa</w:t>
      </w:r>
      <w:proofErr w:type="spellEnd"/>
      <w:r>
        <w:rPr>
          <w:rFonts w:hAnsi="宋体" w:cs="宋体" w:hint="eastAsia"/>
          <w:szCs w:val="21"/>
        </w:rPr>
        <w:t>的</w:t>
      </w:r>
      <w:r>
        <w:rPr>
          <w:rFonts w:hint="eastAsia"/>
        </w:rPr>
        <w:t>氢燃料电池公交车的维护保养。</w:t>
      </w:r>
    </w:p>
    <w:p w:rsidR="00A61AD1" w:rsidRDefault="00E47A87">
      <w:pPr>
        <w:pStyle w:val="a4"/>
        <w:spacing w:before="312" w:after="312"/>
        <w:ind w:left="0"/>
        <w:rPr>
          <w:szCs w:val="22"/>
        </w:rPr>
      </w:pPr>
      <w:bookmarkStart w:id="6" w:name="_Toc16589"/>
      <w:bookmarkStart w:id="7" w:name="_Toc17402"/>
      <w:bookmarkStart w:id="8" w:name="_Toc25125"/>
      <w:r>
        <w:rPr>
          <w:rFonts w:hint="eastAsia"/>
          <w:szCs w:val="22"/>
        </w:rPr>
        <w:t>规范性引用文件</w:t>
      </w:r>
      <w:bookmarkEnd w:id="6"/>
      <w:bookmarkEnd w:id="7"/>
      <w:bookmarkEnd w:id="8"/>
    </w:p>
    <w:p w:rsidR="00A61AD1" w:rsidRDefault="00E47A87">
      <w:pPr>
        <w:pStyle w:val="aff6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A61AD1" w:rsidRDefault="00E47A87">
      <w:pPr>
        <w:pStyle w:val="aff6"/>
        <w:rPr>
          <w:szCs w:val="22"/>
        </w:rPr>
      </w:pPr>
      <w:r>
        <w:rPr>
          <w:rFonts w:hAnsi="宋体" w:cs="宋体" w:hint="eastAsia"/>
          <w:szCs w:val="21"/>
        </w:rPr>
        <w:t>GB/T 18344</w:t>
      </w:r>
      <w:r>
        <w:rPr>
          <w:rFonts w:hAnsi="宋体" w:cs="宋体" w:hint="eastAsia"/>
          <w:szCs w:val="24"/>
        </w:rPr>
        <w:t xml:space="preserve"> </w:t>
      </w:r>
      <w:r>
        <w:rPr>
          <w:rFonts w:hAnsi="宋体" w:cs="宋体"/>
          <w:szCs w:val="24"/>
        </w:rPr>
        <w:t xml:space="preserve"> </w:t>
      </w:r>
      <w:r>
        <w:rPr>
          <w:rFonts w:hint="eastAsia"/>
          <w:szCs w:val="22"/>
          <w:shd w:val="clear" w:color="auto" w:fill="FFFFFF"/>
        </w:rPr>
        <w:t>汽车维护、检测、诊断技术规范</w:t>
      </w:r>
    </w:p>
    <w:p w:rsidR="00A61AD1" w:rsidRDefault="00E47A87">
      <w:pPr>
        <w:pStyle w:val="a4"/>
        <w:spacing w:before="312" w:after="312"/>
        <w:ind w:left="0"/>
        <w:rPr>
          <w:szCs w:val="22"/>
        </w:rPr>
      </w:pPr>
      <w:bookmarkStart w:id="9" w:name="_Toc8705"/>
      <w:bookmarkStart w:id="10" w:name="_Toc4392"/>
      <w:bookmarkStart w:id="11" w:name="_Toc3003"/>
      <w:r>
        <w:rPr>
          <w:rFonts w:hint="eastAsia"/>
          <w:szCs w:val="22"/>
        </w:rPr>
        <w:t>质保期</w:t>
      </w:r>
    </w:p>
    <w:p w:rsidR="00A61AD1" w:rsidRDefault="00E47A87">
      <w:pPr>
        <w:pStyle w:val="aff6"/>
        <w:rPr>
          <w:szCs w:val="22"/>
        </w:rPr>
      </w:pPr>
      <w:r>
        <w:rPr>
          <w:rFonts w:hint="eastAsia"/>
          <w:szCs w:val="22"/>
        </w:rPr>
        <w:t>氢燃料电池公交车，在正常使用、保养的情况下，以及因原材料、制造加工、装配不当、整车设计等自身质量问题引起的产品损坏和缺陷，均可在销售公司的售后服务网点免费进行维修及享受相关售后服务，各部件的质保期如下：</w:t>
      </w:r>
    </w:p>
    <w:p w:rsidR="00A61AD1" w:rsidRDefault="00E47A87">
      <w:pPr>
        <w:pStyle w:val="ac"/>
        <w:ind w:left="839" w:firstLineChars="0" w:hanging="419"/>
        <w:rPr>
          <w:szCs w:val="22"/>
        </w:rPr>
      </w:pPr>
      <w:r>
        <w:rPr>
          <w:rFonts w:hint="eastAsia"/>
          <w:szCs w:val="22"/>
        </w:rPr>
        <w:t>自用户购买之日起，整车提供不低于</w:t>
      </w:r>
      <w:r>
        <w:rPr>
          <w:rFonts w:hint="eastAsia"/>
          <w:szCs w:val="22"/>
        </w:rPr>
        <w:t>2</w:t>
      </w:r>
      <w:r>
        <w:rPr>
          <w:rFonts w:hint="eastAsia"/>
          <w:szCs w:val="22"/>
        </w:rPr>
        <w:t>年或</w:t>
      </w:r>
      <w:r>
        <w:rPr>
          <w:rFonts w:hint="eastAsia"/>
          <w:szCs w:val="22"/>
        </w:rPr>
        <w:t>15</w:t>
      </w:r>
      <w:r>
        <w:rPr>
          <w:rFonts w:hint="eastAsia"/>
          <w:szCs w:val="22"/>
        </w:rPr>
        <w:t>万公里（以先到者为准）的质保期；</w:t>
      </w:r>
    </w:p>
    <w:p w:rsidR="00A61AD1" w:rsidRDefault="00E47A87">
      <w:pPr>
        <w:pStyle w:val="ac"/>
        <w:ind w:left="839" w:firstLineChars="0" w:hanging="419"/>
        <w:rPr>
          <w:szCs w:val="22"/>
        </w:rPr>
      </w:pPr>
      <w:r>
        <w:rPr>
          <w:rFonts w:hint="eastAsia"/>
          <w:szCs w:val="22"/>
        </w:rPr>
        <w:t>动力电池等储能装置、驱动电机、电机控制器、</w:t>
      </w:r>
      <w:r>
        <w:rPr>
          <w:rFonts w:hint="eastAsia"/>
          <w:szCs w:val="22"/>
        </w:rPr>
        <w:t>BMS</w:t>
      </w:r>
      <w:r>
        <w:rPr>
          <w:rFonts w:hint="eastAsia"/>
          <w:szCs w:val="22"/>
        </w:rPr>
        <w:t>、</w:t>
      </w:r>
      <w:r>
        <w:rPr>
          <w:rFonts w:hint="eastAsia"/>
          <w:szCs w:val="22"/>
        </w:rPr>
        <w:t>DC/DC</w:t>
      </w:r>
      <w:r>
        <w:rPr>
          <w:rFonts w:hint="eastAsia"/>
          <w:szCs w:val="22"/>
        </w:rPr>
        <w:t>等关键零部件提供</w:t>
      </w:r>
      <w:r>
        <w:rPr>
          <w:rFonts w:hint="eastAsia"/>
          <w:szCs w:val="22"/>
        </w:rPr>
        <w:t>5</w:t>
      </w:r>
      <w:r>
        <w:rPr>
          <w:rFonts w:hint="eastAsia"/>
          <w:szCs w:val="22"/>
        </w:rPr>
        <w:t>年或</w:t>
      </w:r>
      <w:r>
        <w:rPr>
          <w:rFonts w:hint="eastAsia"/>
          <w:szCs w:val="22"/>
        </w:rPr>
        <w:t>20</w:t>
      </w:r>
      <w:r>
        <w:rPr>
          <w:rFonts w:hint="eastAsia"/>
          <w:szCs w:val="22"/>
        </w:rPr>
        <w:t>万公里（以先到者为准）的质保期；</w:t>
      </w:r>
    </w:p>
    <w:p w:rsidR="00A61AD1" w:rsidRDefault="00E47A87">
      <w:pPr>
        <w:pStyle w:val="ac"/>
        <w:ind w:left="839" w:firstLineChars="0" w:hanging="419"/>
        <w:rPr>
          <w:szCs w:val="22"/>
        </w:rPr>
      </w:pPr>
      <w:r>
        <w:rPr>
          <w:rFonts w:hint="eastAsia"/>
          <w:szCs w:val="22"/>
        </w:rPr>
        <w:t>整车控制器等零部件提供</w:t>
      </w:r>
      <w:r>
        <w:rPr>
          <w:rFonts w:hint="eastAsia"/>
          <w:szCs w:val="22"/>
        </w:rPr>
        <w:t>5</w:t>
      </w:r>
      <w:r>
        <w:rPr>
          <w:rFonts w:hint="eastAsia"/>
          <w:szCs w:val="22"/>
        </w:rPr>
        <w:t>年或</w:t>
      </w:r>
      <w:r>
        <w:rPr>
          <w:rFonts w:hint="eastAsia"/>
          <w:szCs w:val="22"/>
        </w:rPr>
        <w:t>20</w:t>
      </w:r>
      <w:r>
        <w:rPr>
          <w:rFonts w:hint="eastAsia"/>
          <w:szCs w:val="22"/>
        </w:rPr>
        <w:t>万公里（以先到者为准）的质保期。</w:t>
      </w:r>
    </w:p>
    <w:p w:rsidR="00A61AD1" w:rsidRDefault="00E47A87">
      <w:pPr>
        <w:pStyle w:val="a4"/>
        <w:spacing w:before="312" w:after="312"/>
        <w:ind w:left="0"/>
      </w:pPr>
      <w:proofErr w:type="gramStart"/>
      <w:r>
        <w:rPr>
          <w:rFonts w:hint="eastAsia"/>
        </w:rPr>
        <w:t>维保程序</w:t>
      </w:r>
      <w:bookmarkEnd w:id="9"/>
      <w:bookmarkEnd w:id="10"/>
      <w:bookmarkEnd w:id="11"/>
      <w:proofErr w:type="gramEnd"/>
    </w:p>
    <w:p w:rsidR="00A61AD1" w:rsidRDefault="00E47A87">
      <w:pPr>
        <w:pStyle w:val="a5"/>
        <w:spacing w:before="156" w:after="156"/>
      </w:pPr>
      <w:bookmarkStart w:id="12" w:name="_Toc3743"/>
      <w:bookmarkStart w:id="13" w:name="_Toc10692"/>
      <w:bookmarkStart w:id="14" w:name="_Toc6624"/>
      <w:r>
        <w:rPr>
          <w:rFonts w:hint="eastAsia"/>
        </w:rPr>
        <w:t>车辆进场要求</w:t>
      </w:r>
      <w:bookmarkEnd w:id="12"/>
      <w:bookmarkEnd w:id="13"/>
      <w:bookmarkEnd w:id="14"/>
    </w:p>
    <w:p w:rsidR="00A61AD1" w:rsidRDefault="00E47A87">
      <w:pPr>
        <w:pStyle w:val="aff6"/>
        <w:rPr>
          <w:szCs w:val="22"/>
        </w:rPr>
      </w:pPr>
      <w:proofErr w:type="gramStart"/>
      <w:r>
        <w:rPr>
          <w:rFonts w:hint="eastAsia"/>
          <w:szCs w:val="22"/>
        </w:rPr>
        <w:t>氢系统</w:t>
      </w:r>
      <w:proofErr w:type="gramEnd"/>
      <w:r>
        <w:rPr>
          <w:rFonts w:hint="eastAsia"/>
          <w:szCs w:val="22"/>
        </w:rPr>
        <w:t>及燃料电池系统应</w:t>
      </w:r>
      <w:r>
        <w:rPr>
          <w:rFonts w:hint="eastAsia"/>
          <w:szCs w:val="22"/>
        </w:rPr>
        <w:t>在</w:t>
      </w:r>
      <w:proofErr w:type="gramStart"/>
      <w:r>
        <w:rPr>
          <w:rFonts w:hint="eastAsia"/>
          <w:szCs w:val="22"/>
        </w:rPr>
        <w:t>独立的涉氢维修车</w:t>
      </w:r>
      <w:proofErr w:type="gramEnd"/>
      <w:r>
        <w:rPr>
          <w:rFonts w:hint="eastAsia"/>
          <w:szCs w:val="22"/>
        </w:rPr>
        <w:t>间检修，并确保此区域的安全规范：</w:t>
      </w:r>
    </w:p>
    <w:p w:rsidR="00A61AD1" w:rsidRDefault="00E47A87">
      <w:pPr>
        <w:pStyle w:val="ac"/>
        <w:numPr>
          <w:ilvl w:val="0"/>
          <w:numId w:val="9"/>
        </w:numPr>
        <w:ind w:leftChars="0" w:firstLineChars="0"/>
      </w:pPr>
      <w:r>
        <w:rPr>
          <w:rFonts w:hint="eastAsia"/>
        </w:rPr>
        <w:t>在车辆进入</w:t>
      </w:r>
      <w:proofErr w:type="gramStart"/>
      <w:r>
        <w:rPr>
          <w:rFonts w:hint="eastAsia"/>
        </w:rPr>
        <w:t>涉氢维保</w:t>
      </w:r>
      <w:proofErr w:type="gramEnd"/>
      <w:r>
        <w:rPr>
          <w:rFonts w:hint="eastAsia"/>
        </w:rPr>
        <w:t>车间前必须确保氢泄露报警装置、消防系统、强制通风系统等设备等均处于正常工作的状态；</w:t>
      </w:r>
    </w:p>
    <w:p w:rsidR="00A61AD1" w:rsidRDefault="00E47A87">
      <w:pPr>
        <w:pStyle w:val="ac"/>
        <w:numPr>
          <w:ilvl w:val="0"/>
          <w:numId w:val="9"/>
        </w:numPr>
        <w:ind w:leftChars="0" w:firstLineChars="0"/>
      </w:pPr>
      <w:proofErr w:type="gramStart"/>
      <w:r>
        <w:rPr>
          <w:rFonts w:hint="eastAsia"/>
        </w:rPr>
        <w:t>涉氢维保</w:t>
      </w:r>
      <w:proofErr w:type="gramEnd"/>
      <w:r>
        <w:rPr>
          <w:rFonts w:hint="eastAsia"/>
        </w:rPr>
        <w:t>车间不应存放易与</w:t>
      </w:r>
      <w:proofErr w:type="gramStart"/>
      <w:r>
        <w:rPr>
          <w:rFonts w:hint="eastAsia"/>
        </w:rPr>
        <w:t>氢发生</w:t>
      </w:r>
      <w:proofErr w:type="gramEnd"/>
      <w:r>
        <w:rPr>
          <w:rFonts w:hint="eastAsia"/>
        </w:rPr>
        <w:t>反应的强氧化剂，如：油类、天拿水等各种易爆物品；</w:t>
      </w:r>
    </w:p>
    <w:p w:rsidR="00A61AD1" w:rsidRDefault="00E47A87">
      <w:pPr>
        <w:pStyle w:val="ac"/>
        <w:numPr>
          <w:ilvl w:val="0"/>
          <w:numId w:val="9"/>
        </w:numPr>
        <w:ind w:leftChars="0" w:firstLineChars="0"/>
      </w:pPr>
      <w:r>
        <w:rPr>
          <w:rFonts w:hint="eastAsia"/>
        </w:rPr>
        <w:t>车辆</w:t>
      </w:r>
      <w:proofErr w:type="gramStart"/>
      <w:r>
        <w:rPr>
          <w:rFonts w:hint="eastAsia"/>
        </w:rPr>
        <w:t>进入维保车间</w:t>
      </w:r>
      <w:proofErr w:type="gramEnd"/>
      <w:r>
        <w:rPr>
          <w:rFonts w:hint="eastAsia"/>
        </w:rPr>
        <w:t>后，应立即打开车间门窗等设施，确保车间通风畅顺；</w:t>
      </w:r>
    </w:p>
    <w:p w:rsidR="00A61AD1" w:rsidRDefault="00E47A87">
      <w:pPr>
        <w:pStyle w:val="ac"/>
        <w:numPr>
          <w:ilvl w:val="0"/>
          <w:numId w:val="9"/>
        </w:numPr>
        <w:ind w:leftChars="0" w:firstLineChars="0"/>
      </w:pPr>
      <w:r>
        <w:rPr>
          <w:rFonts w:hint="eastAsia"/>
        </w:rPr>
        <w:t>车辆停稳后，依次关闭整车</w:t>
      </w:r>
      <w:r>
        <w:rPr>
          <w:rFonts w:hint="eastAsia"/>
        </w:rPr>
        <w:t>24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低压电源手动开关及</w:t>
      </w:r>
      <w:proofErr w:type="gramStart"/>
      <w:r>
        <w:rPr>
          <w:rFonts w:hint="eastAsia"/>
        </w:rPr>
        <w:t>氢供应</w:t>
      </w:r>
      <w:proofErr w:type="gramEnd"/>
      <w:r>
        <w:rPr>
          <w:rFonts w:hint="eastAsia"/>
        </w:rPr>
        <w:t>手动阀，连接稳固；</w:t>
      </w:r>
    </w:p>
    <w:p w:rsidR="00A61AD1" w:rsidRDefault="00E47A87">
      <w:pPr>
        <w:pStyle w:val="ac"/>
        <w:numPr>
          <w:ilvl w:val="0"/>
          <w:numId w:val="9"/>
        </w:numPr>
        <w:ind w:leftChars="0" w:firstLineChars="0"/>
      </w:pPr>
      <w:r>
        <w:rPr>
          <w:rFonts w:hint="eastAsia"/>
        </w:rPr>
        <w:t>在进行氢燃料电池车维修时，禁止内燃机车辆进入车间区域。</w:t>
      </w:r>
    </w:p>
    <w:p w:rsidR="00A61AD1" w:rsidRDefault="00E47A87">
      <w:pPr>
        <w:pStyle w:val="a5"/>
        <w:spacing w:before="156" w:after="156"/>
        <w:rPr>
          <w:szCs w:val="22"/>
        </w:rPr>
      </w:pPr>
      <w:bookmarkStart w:id="15" w:name="_Toc11328"/>
      <w:bookmarkStart w:id="16" w:name="_Toc4185"/>
      <w:bookmarkStart w:id="17" w:name="_Toc15971"/>
      <w:proofErr w:type="gramStart"/>
      <w:r>
        <w:rPr>
          <w:rFonts w:hint="eastAsia"/>
          <w:szCs w:val="22"/>
        </w:rPr>
        <w:t>氢系统</w:t>
      </w:r>
      <w:proofErr w:type="gramEnd"/>
      <w:r>
        <w:rPr>
          <w:rFonts w:hint="eastAsia"/>
          <w:szCs w:val="22"/>
        </w:rPr>
        <w:t>排空安全操</w:t>
      </w:r>
      <w:bookmarkStart w:id="18" w:name="_Toc20023"/>
      <w:bookmarkEnd w:id="15"/>
      <w:r>
        <w:rPr>
          <w:rFonts w:hint="eastAsia"/>
          <w:szCs w:val="22"/>
        </w:rPr>
        <w:t>作要求</w:t>
      </w:r>
      <w:bookmarkEnd w:id="16"/>
      <w:bookmarkEnd w:id="17"/>
      <w:bookmarkEnd w:id="18"/>
    </w:p>
    <w:p w:rsidR="00A61AD1" w:rsidRDefault="00E47A87">
      <w:pPr>
        <w:pStyle w:val="affd"/>
      </w:pPr>
      <w:r>
        <w:rPr>
          <w:rFonts w:hint="eastAsia"/>
        </w:rPr>
        <w:t>在进行</w:t>
      </w:r>
      <w:proofErr w:type="gramStart"/>
      <w:r>
        <w:rPr>
          <w:rFonts w:hint="eastAsia"/>
        </w:rPr>
        <w:t>氢系统</w:t>
      </w:r>
      <w:proofErr w:type="gramEnd"/>
      <w:r>
        <w:rPr>
          <w:rFonts w:hint="eastAsia"/>
        </w:rPr>
        <w:t>排空作业前，须对车辆进行牢固的接地连接，关闭整车电源。</w:t>
      </w:r>
    </w:p>
    <w:p w:rsidR="00A61AD1" w:rsidRDefault="00E47A87">
      <w:pPr>
        <w:pStyle w:val="affd"/>
      </w:pPr>
      <w:r>
        <w:rPr>
          <w:rFonts w:hint="eastAsia"/>
        </w:rPr>
        <w:t>在</w:t>
      </w:r>
      <w:proofErr w:type="gramStart"/>
      <w:r>
        <w:rPr>
          <w:rFonts w:hint="eastAsia"/>
        </w:rPr>
        <w:t>氢系统</w:t>
      </w:r>
      <w:proofErr w:type="gramEnd"/>
      <w:r>
        <w:rPr>
          <w:rFonts w:hint="eastAsia"/>
        </w:rPr>
        <w:t>排空作业车间外设置不少于</w:t>
      </w:r>
      <w:r>
        <w:rPr>
          <w:rFonts w:hint="eastAsia"/>
        </w:rPr>
        <w:t>12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的警戒区域，禁止车辆与非维修人员进入。</w:t>
      </w:r>
    </w:p>
    <w:p w:rsidR="00A61AD1" w:rsidRDefault="00E47A87">
      <w:pPr>
        <w:pStyle w:val="affd"/>
      </w:pPr>
      <w:r>
        <w:rPr>
          <w:rFonts w:hint="eastAsia"/>
        </w:rPr>
        <w:lastRenderedPageBreak/>
        <w:t>启动强制通风和氢气泄漏检测设备，监测车间内部环境。检修作业完成后，相关设备应保持</w:t>
      </w:r>
      <w:r>
        <w:rPr>
          <w:rFonts w:hint="eastAsia"/>
        </w:rPr>
        <w:t>30</w:t>
      </w:r>
      <w:r>
        <w:rPr>
          <w:rFonts w:hint="eastAsia"/>
        </w:rPr>
        <w:t>分钟延续工作，防止氢气积聚。</w:t>
      </w:r>
    </w:p>
    <w:p w:rsidR="00A61AD1" w:rsidRDefault="00E47A87">
      <w:pPr>
        <w:pStyle w:val="affd"/>
      </w:pPr>
      <w:proofErr w:type="gramStart"/>
      <w:r>
        <w:rPr>
          <w:rFonts w:hint="eastAsia"/>
        </w:rPr>
        <w:t>氢系统的排空管须</w:t>
      </w:r>
      <w:proofErr w:type="gramEnd"/>
      <w:r>
        <w:rPr>
          <w:rFonts w:hint="eastAsia"/>
        </w:rPr>
        <w:t>与车间</w:t>
      </w:r>
      <w:proofErr w:type="gramStart"/>
      <w:r>
        <w:rPr>
          <w:rFonts w:hint="eastAsia"/>
        </w:rPr>
        <w:t>排空管保持</w:t>
      </w:r>
      <w:proofErr w:type="gramEnd"/>
      <w:r>
        <w:rPr>
          <w:rFonts w:hint="eastAsia"/>
        </w:rPr>
        <w:t>紧密连接。</w:t>
      </w:r>
    </w:p>
    <w:p w:rsidR="00A61AD1" w:rsidRDefault="00E47A87">
      <w:pPr>
        <w:pStyle w:val="affd"/>
      </w:pPr>
      <w:r>
        <w:rPr>
          <w:rFonts w:hint="eastAsia"/>
        </w:rPr>
        <w:t>检修作业人员应使用防静电工具进行检修，在排空作业期间，禁止敲击、打磨等各种产生火花的检修作业及禁止开展其他维修作业。</w:t>
      </w:r>
    </w:p>
    <w:p w:rsidR="00A61AD1" w:rsidRDefault="00E47A87">
      <w:pPr>
        <w:pStyle w:val="affd"/>
      </w:pPr>
      <w:r>
        <w:rPr>
          <w:rFonts w:hint="eastAsia"/>
        </w:rPr>
        <w:t>排空作业期间，需大面积拆卸</w:t>
      </w:r>
      <w:proofErr w:type="gramStart"/>
      <w:r>
        <w:rPr>
          <w:rFonts w:hint="eastAsia"/>
        </w:rPr>
        <w:t>氢系统</w:t>
      </w:r>
      <w:proofErr w:type="gramEnd"/>
      <w:r>
        <w:rPr>
          <w:rFonts w:hint="eastAsia"/>
        </w:rPr>
        <w:t>管道使应对</w:t>
      </w:r>
      <w:proofErr w:type="gramStart"/>
      <w:r>
        <w:rPr>
          <w:rFonts w:hint="eastAsia"/>
        </w:rPr>
        <w:t>氢系统家</w:t>
      </w:r>
      <w:proofErr w:type="gramEnd"/>
      <w:r>
        <w:rPr>
          <w:rFonts w:hint="eastAsia"/>
        </w:rPr>
        <w:t>住氢气进行置换吹扫。</w:t>
      </w:r>
    </w:p>
    <w:p w:rsidR="00A61AD1" w:rsidRDefault="00E47A87">
      <w:pPr>
        <w:pStyle w:val="affd"/>
      </w:pPr>
      <w:r>
        <w:rPr>
          <w:rFonts w:hint="eastAsia"/>
        </w:rPr>
        <w:t>车间内检测报警仪</w:t>
      </w:r>
      <w:r>
        <w:rPr>
          <w:rFonts w:hint="eastAsia"/>
        </w:rPr>
        <w:t>如被触发，作业人员须立即停止相关工作，关闭气源，立即离开车间，待排除隐患后才能继续工作。</w:t>
      </w:r>
    </w:p>
    <w:p w:rsidR="00A61AD1" w:rsidRDefault="00E47A87">
      <w:pPr>
        <w:pStyle w:val="affd"/>
      </w:pPr>
      <w:r>
        <w:rPr>
          <w:rFonts w:hint="eastAsia"/>
        </w:rPr>
        <w:t>雷雨等恶劣天气禁止进行排空作业。</w:t>
      </w:r>
    </w:p>
    <w:p w:rsidR="00A61AD1" w:rsidRDefault="00E47A87">
      <w:pPr>
        <w:pStyle w:val="a5"/>
        <w:tabs>
          <w:tab w:val="center" w:pos="4201"/>
          <w:tab w:val="right" w:leader="dot" w:pos="9298"/>
        </w:tabs>
        <w:spacing w:before="156" w:after="156"/>
      </w:pPr>
      <w:bookmarkStart w:id="19" w:name="_Toc2988"/>
      <w:bookmarkStart w:id="20" w:name="_Toc251"/>
      <w:bookmarkStart w:id="21" w:name="_Toc14077"/>
      <w:r>
        <w:rPr>
          <w:rFonts w:hint="eastAsia"/>
        </w:rPr>
        <w:t>车辆维保</w:t>
      </w:r>
      <w:bookmarkEnd w:id="19"/>
      <w:bookmarkEnd w:id="20"/>
      <w:bookmarkEnd w:id="21"/>
    </w:p>
    <w:p w:rsidR="00A61AD1" w:rsidRDefault="00E47A87">
      <w:pPr>
        <w:pStyle w:val="a6"/>
        <w:spacing w:before="156" w:after="156"/>
      </w:pPr>
      <w:r>
        <w:rPr>
          <w:rFonts w:hint="eastAsia"/>
        </w:rPr>
        <w:t>保养类别</w:t>
      </w:r>
    </w:p>
    <w:p w:rsidR="00A61AD1" w:rsidRDefault="00E47A87">
      <w:pPr>
        <w:pStyle w:val="aff6"/>
        <w:rPr>
          <w:bCs/>
          <w:szCs w:val="21"/>
        </w:rPr>
      </w:pPr>
      <w:r>
        <w:rPr>
          <w:rFonts w:hAnsi="宋体" w:cs="宋体" w:hint="eastAsia"/>
          <w:bCs/>
          <w:color w:val="000000"/>
          <w:szCs w:val="21"/>
          <w:lang w:bidi="ar"/>
        </w:rPr>
        <w:t>氢燃料电池公交车行驶公里数至</w:t>
      </w:r>
      <w:r>
        <w:rPr>
          <w:rFonts w:hAnsi="宋体" w:cs="宋体" w:hint="eastAsia"/>
          <w:bCs/>
          <w:color w:val="000000"/>
          <w:szCs w:val="21"/>
          <w:lang w:bidi="ar"/>
        </w:rPr>
        <w:t>2500-3000</w:t>
      </w:r>
      <w:r>
        <w:rPr>
          <w:rFonts w:hAnsi="宋体" w:cs="宋体"/>
          <w:bCs/>
          <w:color w:val="000000"/>
          <w:szCs w:val="21"/>
          <w:lang w:bidi="ar"/>
        </w:rPr>
        <w:t xml:space="preserve"> km</w:t>
      </w:r>
      <w:r>
        <w:rPr>
          <w:rFonts w:hAnsi="宋体" w:cs="宋体" w:hint="eastAsia"/>
          <w:bCs/>
          <w:color w:val="000000"/>
          <w:szCs w:val="21"/>
          <w:lang w:bidi="ar"/>
        </w:rPr>
        <w:t>时进行首次保养。行驶每</w:t>
      </w:r>
      <w:r>
        <w:rPr>
          <w:rFonts w:hAnsi="宋体" w:cs="宋体" w:hint="eastAsia"/>
          <w:bCs/>
          <w:color w:val="000000"/>
          <w:szCs w:val="21"/>
          <w:lang w:bidi="ar"/>
        </w:rPr>
        <w:t>5000</w:t>
      </w:r>
      <w:r>
        <w:rPr>
          <w:rFonts w:hAnsi="宋体" w:cs="宋体" w:hint="eastAsia"/>
          <w:bCs/>
          <w:color w:val="000000"/>
          <w:szCs w:val="21"/>
          <w:lang w:bidi="ar"/>
        </w:rPr>
        <w:t>公里进行</w:t>
      </w:r>
      <w:r>
        <w:rPr>
          <w:rFonts w:hAnsi="宋体" w:cs="宋体" w:hint="eastAsia"/>
          <w:bCs/>
          <w:color w:val="000000"/>
          <w:szCs w:val="21"/>
          <w:lang w:bidi="ar"/>
        </w:rPr>
        <w:t>A</w:t>
      </w:r>
      <w:r>
        <w:rPr>
          <w:rFonts w:hAnsi="宋体" w:cs="宋体" w:hint="eastAsia"/>
          <w:bCs/>
          <w:color w:val="000000"/>
          <w:szCs w:val="21"/>
          <w:lang w:bidi="ar"/>
        </w:rPr>
        <w:t>级保养，每</w:t>
      </w:r>
      <w:r>
        <w:rPr>
          <w:rFonts w:hAnsi="宋体" w:cs="宋体" w:hint="eastAsia"/>
          <w:bCs/>
          <w:color w:val="000000"/>
          <w:szCs w:val="21"/>
          <w:lang w:bidi="ar"/>
        </w:rPr>
        <w:t>25000</w:t>
      </w:r>
      <w:r>
        <w:rPr>
          <w:rFonts w:hAnsi="宋体" w:cs="宋体"/>
          <w:bCs/>
          <w:color w:val="000000"/>
          <w:szCs w:val="21"/>
          <w:lang w:bidi="ar"/>
        </w:rPr>
        <w:t xml:space="preserve"> km</w:t>
      </w:r>
      <w:r>
        <w:rPr>
          <w:rFonts w:hAnsi="宋体" w:cs="宋体" w:hint="eastAsia"/>
          <w:bCs/>
          <w:color w:val="000000"/>
          <w:szCs w:val="21"/>
          <w:lang w:bidi="ar"/>
        </w:rPr>
        <w:t>进行</w:t>
      </w:r>
      <w:r>
        <w:rPr>
          <w:rFonts w:hAnsi="宋体" w:cs="宋体" w:hint="eastAsia"/>
          <w:bCs/>
          <w:color w:val="000000"/>
          <w:szCs w:val="21"/>
          <w:lang w:bidi="ar"/>
        </w:rPr>
        <w:t>B</w:t>
      </w:r>
      <w:r>
        <w:rPr>
          <w:rFonts w:hAnsi="宋体" w:cs="宋体" w:hint="eastAsia"/>
          <w:bCs/>
          <w:color w:val="000000"/>
          <w:szCs w:val="21"/>
          <w:lang w:bidi="ar"/>
        </w:rPr>
        <w:t>级保养，每</w:t>
      </w:r>
      <w:r>
        <w:rPr>
          <w:rFonts w:hAnsi="宋体" w:cs="宋体" w:hint="eastAsia"/>
          <w:bCs/>
          <w:color w:val="000000"/>
          <w:szCs w:val="21"/>
          <w:lang w:bidi="ar"/>
        </w:rPr>
        <w:t>50000</w:t>
      </w:r>
      <w:r>
        <w:rPr>
          <w:rFonts w:hAnsi="宋体" w:cs="宋体"/>
          <w:bCs/>
          <w:color w:val="000000"/>
          <w:szCs w:val="21"/>
          <w:lang w:bidi="ar"/>
        </w:rPr>
        <w:t xml:space="preserve"> km</w:t>
      </w:r>
      <w:r>
        <w:rPr>
          <w:rFonts w:hAnsi="宋体" w:cs="宋体" w:hint="eastAsia"/>
          <w:bCs/>
          <w:color w:val="000000"/>
          <w:szCs w:val="21"/>
          <w:lang w:bidi="ar"/>
        </w:rPr>
        <w:t>进行</w:t>
      </w:r>
      <w:r>
        <w:rPr>
          <w:rFonts w:hAnsi="宋体" w:cs="宋体" w:hint="eastAsia"/>
          <w:bCs/>
          <w:color w:val="000000"/>
          <w:szCs w:val="21"/>
          <w:lang w:bidi="ar"/>
        </w:rPr>
        <w:t>C</w:t>
      </w:r>
      <w:r>
        <w:rPr>
          <w:rFonts w:hAnsi="宋体" w:cs="宋体" w:hint="eastAsia"/>
          <w:bCs/>
          <w:color w:val="000000"/>
          <w:szCs w:val="21"/>
          <w:lang w:bidi="ar"/>
        </w:rPr>
        <w:t>级保养，每</w:t>
      </w:r>
      <w:r>
        <w:rPr>
          <w:rFonts w:hAnsi="宋体" w:cs="宋体" w:hint="eastAsia"/>
          <w:bCs/>
          <w:color w:val="000000"/>
          <w:szCs w:val="21"/>
          <w:lang w:bidi="ar"/>
        </w:rPr>
        <w:t>200000</w:t>
      </w:r>
      <w:r>
        <w:rPr>
          <w:rFonts w:hAnsi="宋体" w:cs="宋体"/>
          <w:bCs/>
          <w:color w:val="000000"/>
          <w:szCs w:val="21"/>
          <w:lang w:bidi="ar"/>
        </w:rPr>
        <w:t xml:space="preserve"> km</w:t>
      </w:r>
      <w:r>
        <w:rPr>
          <w:rFonts w:hAnsi="宋体" w:cs="宋体" w:hint="eastAsia"/>
          <w:bCs/>
          <w:color w:val="000000"/>
          <w:szCs w:val="21"/>
          <w:lang w:bidi="ar"/>
        </w:rPr>
        <w:t>进行</w:t>
      </w:r>
      <w:r>
        <w:rPr>
          <w:rFonts w:hAnsi="宋体" w:cs="宋体" w:hint="eastAsia"/>
          <w:bCs/>
          <w:color w:val="000000"/>
          <w:szCs w:val="21"/>
          <w:lang w:bidi="ar"/>
        </w:rPr>
        <w:t>D</w:t>
      </w:r>
      <w:r>
        <w:rPr>
          <w:rFonts w:hAnsi="宋体" w:cs="宋体" w:hint="eastAsia"/>
          <w:bCs/>
          <w:color w:val="000000"/>
          <w:szCs w:val="21"/>
          <w:lang w:bidi="ar"/>
        </w:rPr>
        <w:t>级保养。除</w:t>
      </w:r>
      <w:proofErr w:type="gramStart"/>
      <w:r>
        <w:rPr>
          <w:rFonts w:hAnsi="宋体" w:cs="宋体" w:hint="eastAsia"/>
          <w:bCs/>
          <w:color w:val="000000"/>
          <w:szCs w:val="21"/>
          <w:lang w:bidi="ar"/>
        </w:rPr>
        <w:t>氢系统</w:t>
      </w:r>
      <w:proofErr w:type="gramEnd"/>
      <w:r>
        <w:rPr>
          <w:rFonts w:hAnsi="宋体" w:cs="宋体" w:hint="eastAsia"/>
          <w:bCs/>
          <w:color w:val="000000"/>
          <w:szCs w:val="21"/>
          <w:lang w:bidi="ar"/>
        </w:rPr>
        <w:t>和</w:t>
      </w:r>
      <w:proofErr w:type="gramStart"/>
      <w:r>
        <w:rPr>
          <w:rFonts w:hAnsi="宋体" w:cs="宋体" w:hint="eastAsia"/>
          <w:bCs/>
          <w:color w:val="000000"/>
          <w:szCs w:val="21"/>
          <w:lang w:bidi="ar"/>
        </w:rPr>
        <w:t>燃料电池维保项目</w:t>
      </w:r>
      <w:proofErr w:type="gramEnd"/>
      <w:r>
        <w:rPr>
          <w:rFonts w:hAnsi="宋体" w:cs="宋体" w:hint="eastAsia"/>
          <w:bCs/>
          <w:color w:val="000000"/>
          <w:szCs w:val="21"/>
          <w:lang w:bidi="ar"/>
        </w:rPr>
        <w:t>的</w:t>
      </w:r>
      <w:proofErr w:type="gramStart"/>
      <w:r>
        <w:rPr>
          <w:rFonts w:hAnsi="宋体" w:cs="宋体" w:hint="eastAsia"/>
        </w:rPr>
        <w:t>常规维保项目</w:t>
      </w:r>
      <w:proofErr w:type="gramEnd"/>
      <w:r>
        <w:rPr>
          <w:rFonts w:hAnsi="宋体" w:cs="宋体" w:hint="eastAsia"/>
        </w:rPr>
        <w:t>技术要求参见</w:t>
      </w:r>
      <w:r>
        <w:rPr>
          <w:rFonts w:hAnsi="宋体" w:cs="宋体" w:hint="eastAsia"/>
          <w:szCs w:val="21"/>
        </w:rPr>
        <w:t>GB/T 18344</w:t>
      </w:r>
      <w:r>
        <w:rPr>
          <w:rFonts w:hAnsi="宋体" w:cs="宋体" w:hint="eastAsia"/>
          <w:szCs w:val="21"/>
        </w:rPr>
        <w:t>。</w:t>
      </w:r>
    </w:p>
    <w:p w:rsidR="00A61AD1" w:rsidRDefault="00E47A87">
      <w:pPr>
        <w:pStyle w:val="a6"/>
        <w:spacing w:before="156" w:after="156"/>
      </w:pPr>
      <w:r>
        <w:rPr>
          <w:rFonts w:hint="eastAsia"/>
        </w:rPr>
        <w:t>首次保养</w:t>
      </w:r>
    </w:p>
    <w:p w:rsidR="00A61AD1" w:rsidRDefault="00E47A87">
      <w:pPr>
        <w:pStyle w:val="a7"/>
        <w:spacing w:before="156" w:after="156"/>
      </w:pPr>
      <w:proofErr w:type="gramStart"/>
      <w:r>
        <w:rPr>
          <w:rFonts w:hint="eastAsia"/>
        </w:rPr>
        <w:t>氢系统</w:t>
      </w:r>
      <w:r>
        <w:t>维保</w:t>
      </w:r>
      <w:proofErr w:type="gramEnd"/>
      <w:r>
        <w:rPr>
          <w:rFonts w:hint="eastAsia"/>
        </w:rPr>
        <w:t>项目</w:t>
      </w:r>
    </w:p>
    <w:p w:rsidR="00A61AD1" w:rsidRDefault="00E47A87">
      <w:pPr>
        <w:pStyle w:val="a5"/>
        <w:numPr>
          <w:ilvl w:val="0"/>
          <w:numId w:val="0"/>
        </w:numPr>
        <w:spacing w:beforeLines="0" w:afterLines="0"/>
        <w:ind w:firstLineChars="200" w:firstLine="420"/>
        <w:rPr>
          <w:rFonts w:ascii="宋体" w:eastAsia="宋体" w:hAnsi="宋体" w:cs="宋体"/>
        </w:rPr>
      </w:pPr>
      <w:bookmarkStart w:id="22" w:name="_Toc15166"/>
      <w:bookmarkStart w:id="23" w:name="_Toc31002"/>
      <w:bookmarkStart w:id="24" w:name="_Toc29418"/>
      <w:proofErr w:type="gramStart"/>
      <w:r>
        <w:rPr>
          <w:rFonts w:ascii="宋体" w:eastAsia="宋体" w:hAnsi="宋体" w:cs="宋体" w:hint="eastAsia"/>
        </w:rPr>
        <w:t>氢系统</w:t>
      </w:r>
      <w:proofErr w:type="gramEnd"/>
      <w:r>
        <w:rPr>
          <w:rFonts w:ascii="宋体" w:eastAsia="宋体" w:hAnsi="宋体" w:cs="宋体" w:hint="eastAsia"/>
        </w:rPr>
        <w:t>的</w:t>
      </w:r>
      <w:proofErr w:type="gramStart"/>
      <w:r>
        <w:rPr>
          <w:rFonts w:ascii="宋体" w:eastAsia="宋体" w:hAnsi="宋体" w:cs="宋体" w:hint="eastAsia"/>
        </w:rPr>
        <w:t>首次维保包括</w:t>
      </w:r>
      <w:proofErr w:type="gramEnd"/>
      <w:r>
        <w:rPr>
          <w:rFonts w:ascii="宋体" w:eastAsia="宋体" w:hAnsi="宋体" w:cs="宋体" w:hint="eastAsia"/>
        </w:rPr>
        <w:t>：氢气瓶、氢气瓶瓶口阀、氢气瓶瓶尾阀、加氢口、手动球阀、电池阀、温度、压力释放装置（安全阀）、限流阀、放空针阀、压力传感器、减压阀、氢气管路的</w:t>
      </w:r>
      <w:r>
        <w:rPr>
          <w:rFonts w:ascii="宋体" w:eastAsia="宋体" w:hAnsi="宋体" w:cs="宋体" w:hint="eastAsia"/>
        </w:rPr>
        <w:t>13</w:t>
      </w:r>
      <w:r>
        <w:rPr>
          <w:rFonts w:ascii="宋体" w:eastAsia="宋体" w:hAnsi="宋体" w:cs="宋体" w:hint="eastAsia"/>
        </w:rPr>
        <w:t>个项目检测，要求见表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。</w:t>
      </w:r>
      <w:bookmarkEnd w:id="22"/>
      <w:bookmarkEnd w:id="23"/>
      <w:bookmarkEnd w:id="24"/>
    </w:p>
    <w:p w:rsidR="00A61AD1" w:rsidRDefault="00E47A87">
      <w:pPr>
        <w:pStyle w:val="af1"/>
      </w:pPr>
      <w:proofErr w:type="gramStart"/>
      <w:r>
        <w:rPr>
          <w:rFonts w:hint="eastAsia"/>
        </w:rPr>
        <w:t>氢系统首保</w:t>
      </w:r>
      <w:proofErr w:type="gramEnd"/>
      <w:r>
        <w:rPr>
          <w:rFonts w:hint="eastAsia"/>
        </w:rPr>
        <w:t>项目要求</w:t>
      </w:r>
    </w:p>
    <w:tbl>
      <w:tblPr>
        <w:tblStyle w:val="aff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736"/>
        <w:gridCol w:w="2687"/>
      </w:tblGrid>
      <w:tr w:rsidR="00A61AD1">
        <w:trPr>
          <w:jc w:val="center"/>
        </w:trPr>
        <w:tc>
          <w:tcPr>
            <w:tcW w:w="578" w:type="dxa"/>
            <w:vAlign w:val="center"/>
          </w:tcPr>
          <w:p w:rsidR="00A61AD1" w:rsidRDefault="00E47A87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保养项目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氢气瓶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检查泄漏情况、外观。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氢气瓶瓶口阀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瓶瓶尾阀</w:t>
            </w:r>
            <w:proofErr w:type="gramEnd"/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加氢口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检查泄漏情况、泄漏量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&lt;50ppm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手动球阀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电磁阀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温度、压力释放装置（安全阀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限流阀　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放空针阀</w:t>
            </w:r>
            <w:proofErr w:type="gramEnd"/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中压压力传感器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高压压力传感器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减压阀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3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氢气管路</w:t>
            </w:r>
          </w:p>
        </w:tc>
        <w:tc>
          <w:tcPr>
            <w:tcW w:w="268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检查泄漏情况。</w:t>
            </w:r>
          </w:p>
        </w:tc>
      </w:tr>
    </w:tbl>
    <w:p w:rsidR="00A61AD1" w:rsidRDefault="00E47A87">
      <w:pPr>
        <w:pStyle w:val="a7"/>
        <w:spacing w:before="156" w:after="156"/>
      </w:pPr>
      <w:proofErr w:type="gramStart"/>
      <w:r>
        <w:rPr>
          <w:rFonts w:hint="eastAsia"/>
        </w:rPr>
        <w:t>燃料电池</w:t>
      </w:r>
      <w:r>
        <w:t>维保</w:t>
      </w:r>
      <w:r>
        <w:rPr>
          <w:rFonts w:hint="eastAsia"/>
        </w:rPr>
        <w:t>项目</w:t>
      </w:r>
      <w:proofErr w:type="gramEnd"/>
    </w:p>
    <w:p w:rsidR="00A61AD1" w:rsidRDefault="00E47A87">
      <w:pPr>
        <w:pStyle w:val="a5"/>
        <w:numPr>
          <w:ilvl w:val="0"/>
          <w:numId w:val="0"/>
        </w:numPr>
        <w:spacing w:beforeLines="0" w:afterLines="0"/>
        <w:ind w:firstLineChars="200" w:firstLine="420"/>
        <w:outlineLvl w:val="9"/>
        <w:rPr>
          <w:rFonts w:ascii="宋体" w:eastAsia="宋体" w:hAnsi="宋体" w:cs="宋体"/>
        </w:rPr>
      </w:pPr>
      <w:bookmarkStart w:id="25" w:name="_Toc30495"/>
      <w:bookmarkStart w:id="26" w:name="_Toc23660"/>
      <w:bookmarkStart w:id="27" w:name="_Toc10793"/>
      <w:r>
        <w:rPr>
          <w:rFonts w:ascii="宋体" w:eastAsia="宋体" w:hAnsi="宋体" w:cs="宋体" w:hint="eastAsia"/>
        </w:rPr>
        <w:t>燃料电池的</w:t>
      </w:r>
      <w:proofErr w:type="gramStart"/>
      <w:r>
        <w:rPr>
          <w:rFonts w:ascii="宋体" w:eastAsia="宋体" w:hAnsi="宋体" w:cs="宋体" w:hint="eastAsia"/>
        </w:rPr>
        <w:t>首次维保包括</w:t>
      </w:r>
      <w:proofErr w:type="gramEnd"/>
      <w:r>
        <w:rPr>
          <w:rFonts w:ascii="宋体" w:eastAsia="宋体" w:hAnsi="宋体" w:cs="宋体" w:hint="eastAsia"/>
        </w:rPr>
        <w:t>：电导率、空压机、系统悬置、系统绝缘、空气滤清器、系统气密性、空压机皮带、高低压线束、紧固件扭矩、氢循环泵、</w:t>
      </w:r>
      <w:proofErr w:type="gramStart"/>
      <w:r>
        <w:rPr>
          <w:rFonts w:ascii="宋体" w:eastAsia="宋体" w:hAnsi="宋体" w:cs="宋体" w:hint="eastAsia"/>
        </w:rPr>
        <w:t>氢系统</w:t>
      </w:r>
      <w:proofErr w:type="gramEnd"/>
      <w:r>
        <w:rPr>
          <w:rFonts w:ascii="宋体" w:eastAsia="宋体" w:hAnsi="宋体" w:cs="宋体" w:hint="eastAsia"/>
        </w:rPr>
        <w:t>及管路的</w:t>
      </w:r>
      <w:r>
        <w:rPr>
          <w:rFonts w:ascii="宋体" w:eastAsia="宋体" w:hAnsi="宋体" w:cs="宋体" w:hint="eastAsia"/>
        </w:rPr>
        <w:t>11</w:t>
      </w:r>
      <w:r>
        <w:rPr>
          <w:rFonts w:ascii="宋体" w:eastAsia="宋体" w:hAnsi="宋体" w:cs="宋体" w:hint="eastAsia"/>
        </w:rPr>
        <w:t>个项目检测，要求见表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。</w:t>
      </w:r>
      <w:bookmarkEnd w:id="25"/>
      <w:bookmarkEnd w:id="26"/>
      <w:bookmarkEnd w:id="27"/>
    </w:p>
    <w:p w:rsidR="00A61AD1" w:rsidRDefault="00A61AD1">
      <w:pPr>
        <w:pStyle w:val="aff6"/>
        <w:ind w:firstLineChars="0" w:firstLine="0"/>
        <w:rPr>
          <w:rFonts w:hAnsi="宋体" w:cs="宋体"/>
        </w:rPr>
      </w:pPr>
    </w:p>
    <w:p w:rsidR="00A61AD1" w:rsidRDefault="00E47A87">
      <w:pPr>
        <w:pStyle w:val="af1"/>
      </w:pPr>
      <w:proofErr w:type="gramStart"/>
      <w:r>
        <w:rPr>
          <w:rFonts w:hint="eastAsia"/>
        </w:rPr>
        <w:lastRenderedPageBreak/>
        <w:t>燃料电池首保项目</w:t>
      </w:r>
      <w:proofErr w:type="gramEnd"/>
      <w:r>
        <w:rPr>
          <w:rFonts w:hint="eastAsia"/>
        </w:rPr>
        <w:t>要求</w:t>
      </w:r>
    </w:p>
    <w:tbl>
      <w:tblPr>
        <w:tblStyle w:val="aff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656"/>
        <w:gridCol w:w="4117"/>
      </w:tblGrid>
      <w:tr w:rsidR="00A61AD1">
        <w:trPr>
          <w:cantSplit/>
          <w:tblHeader/>
          <w:jc w:val="center"/>
        </w:trPr>
        <w:tc>
          <w:tcPr>
            <w:tcW w:w="578" w:type="dxa"/>
            <w:vAlign w:val="center"/>
          </w:tcPr>
          <w:p w:rsidR="00A61AD1" w:rsidRDefault="00E47A87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保养项目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电导率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检查离子浓度是否合格。离子浓度为：？。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检查是否漏油。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系统悬置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检查是否变形。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系统绝缘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检查绝缘是否合格。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int="eastAsia"/>
                <w:sz w:val="18"/>
              </w:rPr>
              <w:t>空气滤清器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检查清洁度。</w:t>
            </w:r>
            <w:r>
              <w:rPr>
                <w:rFonts w:ascii="宋体" w:eastAsia="宋体" w:hint="eastAsia"/>
                <w:sz w:val="18"/>
              </w:rPr>
              <w:t>空气滤清器固体颗粒无堵塞。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系统气密性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检查系统气密性（释放防冻液）。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空压机皮带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检查空压机皮带防护罩是否干涉、磨损。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高低压线束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低压线束是否有皲裂和松动。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紧固件扭矩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检查紧固件是否松动并进行扭矩复核。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氢循环泵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检查是否漏油、是否腐蚀。</w:t>
            </w:r>
          </w:p>
        </w:tc>
      </w:tr>
      <w:tr w:rsidR="00A61AD1">
        <w:trPr>
          <w:jc w:val="center"/>
        </w:trPr>
        <w:tc>
          <w:tcPr>
            <w:tcW w:w="578" w:type="dxa"/>
            <w:vAlign w:val="bottom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56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及管路</w:t>
            </w:r>
          </w:p>
        </w:tc>
        <w:tc>
          <w:tcPr>
            <w:tcW w:w="4117" w:type="dxa"/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检查是否存在泄漏。</w:t>
            </w:r>
          </w:p>
        </w:tc>
      </w:tr>
    </w:tbl>
    <w:p w:rsidR="00A61AD1" w:rsidRDefault="00E47A87">
      <w:pPr>
        <w:pStyle w:val="a6"/>
        <w:tabs>
          <w:tab w:val="center" w:pos="4201"/>
          <w:tab w:val="right" w:leader="dot" w:pos="9298"/>
        </w:tabs>
        <w:spacing w:before="156" w:after="156"/>
      </w:pPr>
      <w:r>
        <w:rPr>
          <w:rFonts w:hint="eastAsia"/>
        </w:rPr>
        <w:t>常规保养</w:t>
      </w:r>
    </w:p>
    <w:p w:rsidR="00A61AD1" w:rsidRDefault="00E47A87">
      <w:pPr>
        <w:pStyle w:val="a7"/>
        <w:tabs>
          <w:tab w:val="center" w:pos="4201"/>
          <w:tab w:val="right" w:leader="dot" w:pos="9298"/>
        </w:tabs>
        <w:spacing w:before="156" w:after="156"/>
      </w:pPr>
      <w:proofErr w:type="gramStart"/>
      <w:r>
        <w:rPr>
          <w:rFonts w:hint="eastAsia"/>
        </w:rPr>
        <w:t>氢系统维保</w:t>
      </w:r>
      <w:proofErr w:type="gramEnd"/>
      <w:r>
        <w:rPr>
          <w:rFonts w:hint="eastAsia"/>
        </w:rPr>
        <w:t>项目</w:t>
      </w:r>
    </w:p>
    <w:p w:rsidR="00A61AD1" w:rsidRDefault="00E47A87">
      <w:pPr>
        <w:pStyle w:val="a5"/>
        <w:numPr>
          <w:ilvl w:val="0"/>
          <w:numId w:val="0"/>
        </w:numPr>
        <w:tabs>
          <w:tab w:val="center" w:pos="4201"/>
          <w:tab w:val="right" w:leader="dot" w:pos="9298"/>
        </w:tabs>
        <w:spacing w:beforeLines="0" w:afterLines="0"/>
        <w:ind w:firstLineChars="200" w:firstLine="420"/>
      </w:pPr>
      <w:bookmarkStart w:id="28" w:name="_Toc23453"/>
      <w:bookmarkStart w:id="29" w:name="_Toc25997"/>
      <w:proofErr w:type="gramStart"/>
      <w:r>
        <w:rPr>
          <w:rFonts w:ascii="宋体" w:eastAsia="宋体" w:hAnsi="宋体" w:cs="宋体" w:hint="eastAsia"/>
        </w:rPr>
        <w:t>氢系统</w:t>
      </w:r>
      <w:proofErr w:type="gramEnd"/>
      <w:r>
        <w:rPr>
          <w:rFonts w:ascii="宋体" w:eastAsia="宋体" w:hAnsi="宋体" w:cs="宋体" w:hint="eastAsia"/>
        </w:rPr>
        <w:t>的常规保养包括：氢气瓶、氢气瓶瓶口阀、氢气瓶瓶尾阀、加氢口、手动球阀、电磁阀、温度、压力释放装置（安全阀）、限流阀、放空针阀、压力传感器、减压阀、氢气管路等</w:t>
      </w: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个检测项目，要求见表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。</w:t>
      </w:r>
      <w:bookmarkEnd w:id="28"/>
      <w:bookmarkEnd w:id="29"/>
    </w:p>
    <w:p w:rsidR="00A61AD1" w:rsidRDefault="00E47A87">
      <w:pPr>
        <w:pStyle w:val="af1"/>
        <w:tabs>
          <w:tab w:val="clear" w:pos="360"/>
          <w:tab w:val="center" w:pos="4201"/>
          <w:tab w:val="right" w:leader="dot" w:pos="9298"/>
        </w:tabs>
      </w:pPr>
      <w:proofErr w:type="gramStart"/>
      <w:r>
        <w:rPr>
          <w:rFonts w:hint="eastAsia"/>
        </w:rPr>
        <w:t>氢系统常规维保</w:t>
      </w:r>
      <w:proofErr w:type="gramEnd"/>
      <w:r>
        <w:rPr>
          <w:rFonts w:hint="eastAsia"/>
        </w:rPr>
        <w:t>项目要求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498"/>
        <w:gridCol w:w="1943"/>
        <w:gridCol w:w="889"/>
        <w:gridCol w:w="995"/>
        <w:gridCol w:w="995"/>
        <w:gridCol w:w="995"/>
        <w:gridCol w:w="559"/>
        <w:gridCol w:w="559"/>
        <w:gridCol w:w="559"/>
      </w:tblGrid>
      <w:tr w:rsidR="00A61AD1">
        <w:trPr>
          <w:cantSplit/>
          <w:trHeight w:val="448"/>
          <w:tblHeader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保养项目</w:t>
            </w:r>
          </w:p>
        </w:tc>
        <w:tc>
          <w:tcPr>
            <w:tcW w:w="19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15000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40000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50000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每半年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特检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特检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特检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A61AD1">
        <w:trPr>
          <w:trHeight w:val="58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氢气瓶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检查泄漏情况、外观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　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否　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63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氢气瓶瓶口阀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58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瓶瓶尾阀</w:t>
            </w:r>
            <w:proofErr w:type="gramEnd"/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加氢口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检查泄漏情况、泄漏量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&lt;50ppm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手动球阀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电磁阀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675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温度、压力释放装置（安全阀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限流阀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放空针阀</w:t>
            </w:r>
            <w:proofErr w:type="gramEnd"/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中压压力传感器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高压压力传感器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cantSplit/>
          <w:trHeight w:val="448"/>
          <w:tblHeader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lastRenderedPageBreak/>
              <w:t>序号</w:t>
            </w:r>
          </w:p>
        </w:tc>
        <w:tc>
          <w:tcPr>
            <w:tcW w:w="14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保养项目</w:t>
            </w:r>
          </w:p>
        </w:tc>
        <w:tc>
          <w:tcPr>
            <w:tcW w:w="19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15000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40000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50000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每半年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特检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特检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特检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减压阀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氢气管路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45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加注过滤器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检查泄漏、堵塞情况，堵塞面积超过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45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供气过滤器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检查泄漏、堵塞情况，堵塞面积超过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</w:t>
            </w:r>
          </w:p>
        </w:tc>
        <w:tc>
          <w:tcPr>
            <w:tcW w:w="88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45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系统密封件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更换除瓶口、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瓶尾阀以外氢系统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内所有部件密封圈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45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及管路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270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压力表</w:t>
            </w:r>
          </w:p>
        </w:tc>
        <w:tc>
          <w:tcPr>
            <w:tcW w:w="19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按计量标准检测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99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否　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</w:tr>
      <w:tr w:rsidR="00A61AD1">
        <w:trPr>
          <w:trHeight w:val="270"/>
        </w:trPr>
        <w:tc>
          <w:tcPr>
            <w:tcW w:w="9384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pStyle w:val="af9"/>
            </w:pPr>
            <w:r>
              <w:rPr>
                <w:rFonts w:hAnsi="宋体" w:cs="宋体" w:hint="eastAsia"/>
                <w:color w:val="000000"/>
                <w:lang w:bidi="ar"/>
              </w:rPr>
              <w:t>3</w:t>
            </w:r>
            <w:r>
              <w:rPr>
                <w:rFonts w:hAnsi="宋体" w:cs="宋体" w:hint="eastAsia"/>
                <w:color w:val="000000"/>
                <w:lang w:bidi="ar"/>
              </w:rPr>
              <w:t>年在车上检，</w:t>
            </w:r>
            <w:r>
              <w:rPr>
                <w:rFonts w:hAnsi="宋体" w:cs="宋体" w:hint="eastAsia"/>
                <w:color w:val="000000"/>
                <w:lang w:bidi="ar"/>
              </w:rPr>
              <w:t>6</w:t>
            </w:r>
            <w:r>
              <w:rPr>
                <w:rFonts w:hAnsi="宋体" w:cs="宋体" w:hint="eastAsia"/>
                <w:color w:val="000000"/>
                <w:lang w:bidi="ar"/>
              </w:rPr>
              <w:t>年拆检（检查需拆瓶口</w:t>
            </w:r>
            <w:proofErr w:type="gramStart"/>
            <w:r>
              <w:rPr>
                <w:rFonts w:hAnsi="宋体" w:cs="宋体" w:hint="eastAsia"/>
                <w:color w:val="000000"/>
                <w:lang w:bidi="ar"/>
              </w:rPr>
              <w:t>瓶尾阀</w:t>
            </w:r>
            <w:proofErr w:type="gramEnd"/>
            <w:r>
              <w:rPr>
                <w:rFonts w:hAnsi="宋体" w:cs="宋体" w:hint="eastAsia"/>
                <w:color w:val="000000"/>
                <w:lang w:bidi="ar"/>
              </w:rPr>
              <w:t>，复装应更换相应密封圈）。</w:t>
            </w:r>
          </w:p>
        </w:tc>
      </w:tr>
    </w:tbl>
    <w:p w:rsidR="00A61AD1" w:rsidRDefault="00E47A87">
      <w:pPr>
        <w:pStyle w:val="a7"/>
        <w:tabs>
          <w:tab w:val="center" w:pos="4201"/>
          <w:tab w:val="right" w:leader="dot" w:pos="9298"/>
        </w:tabs>
        <w:spacing w:before="156" w:after="156"/>
      </w:pPr>
      <w:proofErr w:type="gramStart"/>
      <w:r>
        <w:rPr>
          <w:rFonts w:hint="eastAsia"/>
        </w:rPr>
        <w:t>燃料电池维保项目</w:t>
      </w:r>
      <w:proofErr w:type="gramEnd"/>
    </w:p>
    <w:p w:rsidR="00A61AD1" w:rsidRDefault="00E47A87">
      <w:pPr>
        <w:pStyle w:val="a5"/>
        <w:numPr>
          <w:ilvl w:val="0"/>
          <w:numId w:val="0"/>
        </w:numPr>
        <w:tabs>
          <w:tab w:val="center" w:pos="4201"/>
          <w:tab w:val="right" w:leader="dot" w:pos="9298"/>
        </w:tabs>
        <w:spacing w:beforeLines="0" w:afterLines="0"/>
        <w:ind w:firstLineChars="200" w:firstLine="420"/>
        <w:outlineLvl w:val="9"/>
      </w:pPr>
      <w:bookmarkStart w:id="30" w:name="_Toc11214"/>
      <w:bookmarkStart w:id="31" w:name="_Toc31010"/>
      <w:r>
        <w:rPr>
          <w:rFonts w:ascii="宋体" w:eastAsia="宋体" w:hAnsi="宋体" w:cs="宋体" w:hint="eastAsia"/>
        </w:rPr>
        <w:t>燃料电池的常规保养包括：电导率、空压机、系统悬置、系统绝缘、空气滤清器、系统气密性、空压机皮带、高低压线束、紧固件扭矩、氢循环泵、</w:t>
      </w:r>
      <w:proofErr w:type="gramStart"/>
      <w:r>
        <w:rPr>
          <w:rFonts w:ascii="宋体" w:eastAsia="宋体" w:hAnsi="宋体" w:cs="宋体" w:hint="eastAsia"/>
        </w:rPr>
        <w:t>氢系统</w:t>
      </w:r>
      <w:proofErr w:type="gramEnd"/>
      <w:r>
        <w:rPr>
          <w:rFonts w:ascii="宋体" w:eastAsia="宋体" w:hAnsi="宋体" w:cs="宋体" w:hint="eastAsia"/>
        </w:rPr>
        <w:t>及管路等</w:t>
      </w:r>
      <w:r>
        <w:rPr>
          <w:rFonts w:ascii="宋体" w:eastAsia="宋体" w:hAnsi="宋体" w:cs="宋体" w:hint="eastAsia"/>
        </w:rPr>
        <w:t>31</w:t>
      </w:r>
      <w:r>
        <w:rPr>
          <w:rFonts w:ascii="宋体" w:eastAsia="宋体" w:hAnsi="宋体" w:cs="宋体" w:hint="eastAsia"/>
        </w:rPr>
        <w:t>个项目的检测，要求见表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。</w:t>
      </w:r>
      <w:bookmarkEnd w:id="30"/>
      <w:bookmarkEnd w:id="31"/>
    </w:p>
    <w:p w:rsidR="00A61AD1" w:rsidRDefault="00E47A87">
      <w:pPr>
        <w:pStyle w:val="af1"/>
        <w:tabs>
          <w:tab w:val="clear" w:pos="360"/>
          <w:tab w:val="center" w:pos="4201"/>
          <w:tab w:val="right" w:leader="dot" w:pos="9298"/>
        </w:tabs>
      </w:pPr>
      <w:r>
        <w:rPr>
          <w:rFonts w:hint="eastAsia"/>
        </w:rPr>
        <w:t>燃料电池</w:t>
      </w:r>
      <w:proofErr w:type="gramStart"/>
      <w:r>
        <w:rPr>
          <w:rFonts w:hint="eastAsia"/>
        </w:rPr>
        <w:t>常规维保项目</w:t>
      </w:r>
      <w:proofErr w:type="gramEnd"/>
      <w:r>
        <w:rPr>
          <w:rFonts w:hint="eastAsia"/>
        </w:rPr>
        <w:t>要求</w:t>
      </w:r>
    </w:p>
    <w:tbl>
      <w:tblPr>
        <w:tblW w:w="7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493"/>
        <w:gridCol w:w="1944"/>
        <w:gridCol w:w="888"/>
        <w:gridCol w:w="996"/>
        <w:gridCol w:w="996"/>
        <w:gridCol w:w="1202"/>
      </w:tblGrid>
      <w:tr w:rsidR="00A61AD1">
        <w:trPr>
          <w:cantSplit/>
          <w:trHeight w:val="448"/>
          <w:tblHeader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保养项目</w:t>
            </w:r>
          </w:p>
        </w:tc>
        <w:tc>
          <w:tcPr>
            <w:tcW w:w="1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</w:p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25000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</w:p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50000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200000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</w:p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电导率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检查离子浓度是否合格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检查是否漏油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系统悬置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检查是否变形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系统绝缘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检查绝缘是否合格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空气滤清器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检查清洁度。</w:t>
            </w:r>
            <w:r>
              <w:rPr>
                <w:rFonts w:ascii="宋体" w:eastAsia="宋体" w:hint="eastAsia"/>
                <w:sz w:val="18"/>
              </w:rPr>
              <w:t>空气滤清器固体颗粒无堵塞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675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系统气密性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检查系统气密性（释放防冻液）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675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空压机皮带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检查空压机皮带防护罩是否干涉、磨损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675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高低压线束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低压线束是否有皲裂和松动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675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紧固件扭矩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检查紧固件是否松动并进行扭矩复核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氢循环泵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检查是否漏油、是否腐蚀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cantSplit/>
          <w:trHeight w:val="448"/>
          <w:tblHeader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lastRenderedPageBreak/>
              <w:t>序号</w:t>
            </w:r>
          </w:p>
        </w:tc>
        <w:tc>
          <w:tcPr>
            <w:tcW w:w="14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保养项目</w:t>
            </w:r>
          </w:p>
        </w:tc>
        <w:tc>
          <w:tcPr>
            <w:tcW w:w="19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技术要求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</w:p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25000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</w:p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50000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</w:p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200000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km</w:t>
            </w:r>
          </w:p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保）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及管路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检查泄漏情况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冷却小循环过滤器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检查是否有杂质</w:t>
            </w:r>
          </w:p>
        </w:tc>
        <w:tc>
          <w:tcPr>
            <w:tcW w:w="8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空滤</w:t>
            </w:r>
            <w:proofErr w:type="gramEnd"/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更换空滤</w:t>
            </w:r>
            <w:proofErr w:type="gramEnd"/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去离子器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更换去离子器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空压机皮带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更换皮带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氢气循环泵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更换泵头</w:t>
            </w:r>
            <w:proofErr w:type="gramEnd"/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电堆分配头</w:t>
            </w:r>
            <w:proofErr w:type="gramEnd"/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电堆分配头</w:t>
            </w:r>
            <w:proofErr w:type="gramEnd"/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氢浓度传感器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检查氢浓度传感器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24-12VDCDC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24-12VDCDC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通风鼓风机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检查通风鼓风机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排氢电磁阀</w:t>
            </w:r>
            <w:proofErr w:type="gramEnd"/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检查排氢电磁阀</w:t>
            </w:r>
            <w:proofErr w:type="gramEnd"/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进氢电磁阀</w:t>
            </w:r>
            <w:proofErr w:type="gramEnd"/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检查进氢电磁阀</w:t>
            </w:r>
            <w:proofErr w:type="gramEnd"/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内部封装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检查内部封装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DCF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DCF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中冷器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更换中冷器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FCU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硬件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更换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FCU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硬件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水泵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检查水泵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比例阀底座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检查比例阀底座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燃料电池电堆</w:t>
            </w:r>
            <w:proofErr w:type="gramEnd"/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燃料电池电堆</w:t>
            </w:r>
            <w:proofErr w:type="gramEnd"/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27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增湿器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检查增湿器</w:t>
            </w:r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  <w:tr w:rsidR="00A61AD1">
        <w:trPr>
          <w:trHeight w:val="450"/>
          <w:jc w:val="center"/>
        </w:trPr>
        <w:tc>
          <w:tcPr>
            <w:tcW w:w="3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4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</w:t>
            </w:r>
          </w:p>
        </w:tc>
        <w:tc>
          <w:tcPr>
            <w:tcW w:w="194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空压机泵头</w:t>
            </w:r>
            <w:proofErr w:type="gramEnd"/>
          </w:p>
        </w:tc>
        <w:tc>
          <w:tcPr>
            <w:tcW w:w="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99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0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61AD1" w:rsidRDefault="00E47A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</w:tr>
    </w:tbl>
    <w:p w:rsidR="00A61AD1" w:rsidRDefault="00A61AD1">
      <w:pPr>
        <w:pStyle w:val="aff6"/>
        <w:ind w:firstLineChars="0" w:firstLine="0"/>
      </w:pPr>
    </w:p>
    <w:p w:rsidR="00A61AD1" w:rsidRDefault="00E47A87">
      <w:pPr>
        <w:pStyle w:val="a5"/>
        <w:spacing w:before="156" w:after="156"/>
      </w:pPr>
      <w:bookmarkStart w:id="32" w:name="_Toc16452"/>
      <w:bookmarkStart w:id="33" w:name="_Toc24048"/>
      <w:bookmarkStart w:id="34" w:name="_Toc21874"/>
      <w:r>
        <w:rPr>
          <w:rFonts w:hint="eastAsia"/>
        </w:rPr>
        <w:t>交付要求</w:t>
      </w:r>
      <w:bookmarkEnd w:id="32"/>
      <w:bookmarkEnd w:id="33"/>
      <w:bookmarkEnd w:id="34"/>
    </w:p>
    <w:p w:rsidR="00A61AD1" w:rsidRDefault="00E47A87">
      <w:pPr>
        <w:pStyle w:val="a6"/>
        <w:spacing w:before="156" w:after="156"/>
      </w:pPr>
      <w:r>
        <w:rPr>
          <w:rFonts w:hint="eastAsia"/>
        </w:rPr>
        <w:t>检验</w:t>
      </w:r>
    </w:p>
    <w:p w:rsidR="00A61AD1" w:rsidRDefault="00E47A87">
      <w:pPr>
        <w:pStyle w:val="a7"/>
        <w:spacing w:before="156" w:after="156"/>
      </w:pPr>
      <w:r>
        <w:rPr>
          <w:rFonts w:hint="eastAsia"/>
        </w:rPr>
        <w:t>车辆维修、保养的自检</w:t>
      </w:r>
    </w:p>
    <w:p w:rsidR="00A61AD1" w:rsidRDefault="00E47A87">
      <w:pPr>
        <w:pStyle w:val="aff6"/>
      </w:pPr>
      <w:r>
        <w:rPr>
          <w:rFonts w:hint="eastAsia"/>
        </w:rPr>
        <w:t>维修人员完成《维修工作单》（附录</w:t>
      </w:r>
      <w:r>
        <w:rPr>
          <w:rFonts w:hint="eastAsia"/>
        </w:rPr>
        <w:t>A</w:t>
      </w:r>
      <w:r>
        <w:rPr>
          <w:rFonts w:hint="eastAsia"/>
        </w:rPr>
        <w:t>）中维修、保养项目后，按相应项目的检验标准进行检验，合格后在《维修工作单》内填写意见和签名。</w:t>
      </w:r>
    </w:p>
    <w:p w:rsidR="00A61AD1" w:rsidRDefault="00E47A87">
      <w:pPr>
        <w:pStyle w:val="a7"/>
        <w:spacing w:before="156" w:after="156"/>
      </w:pPr>
      <w:r>
        <w:rPr>
          <w:rFonts w:hint="eastAsia"/>
        </w:rPr>
        <w:t>重大维修的检验</w:t>
      </w:r>
    </w:p>
    <w:p w:rsidR="00A61AD1" w:rsidRDefault="00E47A87">
      <w:pPr>
        <w:pStyle w:val="aff6"/>
      </w:pPr>
      <w:r>
        <w:rPr>
          <w:rFonts w:hint="eastAsia"/>
        </w:rPr>
        <w:t>涉及储气罐泄漏、发动机大修、重大事故车、二级维护、变速箱总成大修等项目，经维修人员自检合格后，由质检员进行检验并路试，检验合格后在《维修工作单》相应栏内填写检验记录</w:t>
      </w:r>
      <w:proofErr w:type="gramStart"/>
      <w:r>
        <w:rPr>
          <w:rFonts w:hint="eastAsia"/>
        </w:rPr>
        <w:t>并盖亲或</w:t>
      </w:r>
      <w:proofErr w:type="gramEnd"/>
      <w:r>
        <w:rPr>
          <w:rFonts w:hint="eastAsia"/>
        </w:rPr>
        <w:t>签名确认。</w:t>
      </w:r>
    </w:p>
    <w:p w:rsidR="00A61AD1" w:rsidRDefault="00E47A87">
      <w:pPr>
        <w:pStyle w:val="a7"/>
        <w:spacing w:before="156" w:after="156"/>
      </w:pPr>
      <w:r>
        <w:rPr>
          <w:rFonts w:hint="eastAsia"/>
        </w:rPr>
        <w:t>竣工检验</w:t>
      </w:r>
    </w:p>
    <w:p w:rsidR="00A61AD1" w:rsidRDefault="00E47A87">
      <w:pPr>
        <w:pStyle w:val="affe"/>
      </w:pPr>
      <w:r>
        <w:rPr>
          <w:rFonts w:hint="eastAsia"/>
        </w:rPr>
        <w:lastRenderedPageBreak/>
        <w:t>质检员负责维修车辆、保养项目竣工检验。当检验不能满足规定要求时填写《返工单》，交车间维修人员执行。</w:t>
      </w:r>
    </w:p>
    <w:p w:rsidR="00A61AD1" w:rsidRDefault="00E47A87">
      <w:pPr>
        <w:pStyle w:val="affe"/>
      </w:pPr>
      <w:r>
        <w:rPr>
          <w:rFonts w:hint="eastAsia"/>
        </w:rPr>
        <w:t>交付竣工车辆时，质检员重点对下列各项进行核对：</w:t>
      </w:r>
    </w:p>
    <w:p w:rsidR="00A61AD1" w:rsidRDefault="00E47A87">
      <w:pPr>
        <w:pStyle w:val="ac"/>
        <w:numPr>
          <w:ilvl w:val="0"/>
          <w:numId w:val="10"/>
        </w:numPr>
        <w:ind w:leftChars="0" w:firstLineChars="0"/>
      </w:pPr>
      <w:r>
        <w:rPr>
          <w:rFonts w:hint="eastAsia"/>
        </w:rPr>
        <w:t>《维修工作单》上所有维修项目和保养项目是否全部完工；</w:t>
      </w:r>
    </w:p>
    <w:p w:rsidR="00A61AD1" w:rsidRDefault="00E47A87">
      <w:pPr>
        <w:pStyle w:val="ac"/>
        <w:numPr>
          <w:ilvl w:val="0"/>
          <w:numId w:val="10"/>
        </w:numPr>
        <w:ind w:leftChars="0" w:firstLineChars="0"/>
      </w:pPr>
      <w:r>
        <w:rPr>
          <w:rFonts w:hint="eastAsia"/>
        </w:rPr>
        <w:t>自检、竣工检验是否完成实施；</w:t>
      </w:r>
    </w:p>
    <w:p w:rsidR="00A61AD1" w:rsidRDefault="00E47A87">
      <w:pPr>
        <w:pStyle w:val="ac"/>
        <w:numPr>
          <w:ilvl w:val="0"/>
          <w:numId w:val="10"/>
        </w:numPr>
        <w:ind w:leftChars="0" w:firstLineChars="0"/>
      </w:pPr>
      <w:r>
        <w:rPr>
          <w:rFonts w:hint="eastAsia"/>
        </w:rPr>
        <w:t>车上设备设施是否完好齐全。</w:t>
      </w:r>
    </w:p>
    <w:p w:rsidR="00A61AD1" w:rsidRDefault="00E47A87">
      <w:pPr>
        <w:pStyle w:val="a6"/>
        <w:spacing w:before="156" w:after="156"/>
      </w:pPr>
      <w:r>
        <w:rPr>
          <w:rFonts w:hint="eastAsia"/>
        </w:rPr>
        <w:t>交车</w:t>
      </w:r>
    </w:p>
    <w:p w:rsidR="00A61AD1" w:rsidRDefault="00E47A87">
      <w:pPr>
        <w:pStyle w:val="afff"/>
      </w:pPr>
      <w:r>
        <w:rPr>
          <w:rFonts w:hint="eastAsia"/>
        </w:rPr>
        <w:t>所有维修车辆，都必须竣工并按规定实施终检后方可交付公交车管理方。</w:t>
      </w:r>
    </w:p>
    <w:p w:rsidR="00A61AD1" w:rsidRDefault="00E47A87">
      <w:pPr>
        <w:pStyle w:val="afff"/>
      </w:pPr>
      <w:r>
        <w:rPr>
          <w:rFonts w:hint="eastAsia"/>
        </w:rPr>
        <w:t>服务完成后立即主动当面或电话通知公交车管理方，按《维修工作单》上的维修项目，对竣工车辆进行核对，符合要求则打印结算单。</w:t>
      </w:r>
    </w:p>
    <w:p w:rsidR="00A61AD1" w:rsidRDefault="00E47A87">
      <w:pPr>
        <w:pStyle w:val="afff"/>
      </w:pPr>
      <w:r>
        <w:rPr>
          <w:rFonts w:hint="eastAsia"/>
        </w:rPr>
        <w:t>应主动对维修或保养项目产生的每笔金额作解释说明，并告知下次保养日期和更换配件的质量担保事项、使用期限和行驶注意事项等。</w:t>
      </w:r>
    </w:p>
    <w:p w:rsidR="00A61AD1" w:rsidRDefault="00E47A87">
      <w:pPr>
        <w:pStyle w:val="afff"/>
      </w:pPr>
      <w:r>
        <w:rPr>
          <w:rFonts w:hint="eastAsia"/>
        </w:rPr>
        <w:t>建立车辆档案，一车一档。</w:t>
      </w:r>
    </w:p>
    <w:p w:rsidR="00A61AD1" w:rsidRDefault="00E47A87">
      <w:pPr>
        <w:pStyle w:val="a4"/>
        <w:spacing w:before="312" w:after="312"/>
        <w:ind w:left="0"/>
        <w:rPr>
          <w:szCs w:val="22"/>
        </w:rPr>
      </w:pPr>
      <w:bookmarkStart w:id="35" w:name="_Toc23635"/>
      <w:bookmarkStart w:id="36" w:name="_Toc13185"/>
      <w:bookmarkStart w:id="37" w:name="_Toc7092"/>
      <w:r>
        <w:rPr>
          <w:rFonts w:hint="eastAsia"/>
          <w:szCs w:val="22"/>
        </w:rPr>
        <w:t>工作时限</w:t>
      </w:r>
      <w:bookmarkEnd w:id="35"/>
      <w:bookmarkEnd w:id="36"/>
      <w:bookmarkEnd w:id="37"/>
    </w:p>
    <w:p w:rsidR="00A61AD1" w:rsidRDefault="00E47A87">
      <w:pPr>
        <w:pStyle w:val="a5"/>
        <w:spacing w:beforeLines="0" w:afterLines="0"/>
        <w:outlineLvl w:val="9"/>
        <w:rPr>
          <w:rFonts w:ascii="宋体" w:eastAsia="宋体" w:hAnsi="宋体" w:cs="宋体"/>
        </w:rPr>
      </w:pPr>
      <w:bookmarkStart w:id="38" w:name="_Toc5213"/>
      <w:bookmarkStart w:id="39" w:name="_Toc30839"/>
      <w:bookmarkStart w:id="40" w:name="_Toc1815"/>
      <w:r>
        <w:rPr>
          <w:rFonts w:ascii="宋体" w:eastAsia="宋体" w:hAnsi="宋体" w:cs="宋体" w:hint="eastAsia"/>
        </w:rPr>
        <w:t>一般维保单应在</w:t>
      </w:r>
      <w:r>
        <w:rPr>
          <w:rFonts w:ascii="宋体" w:eastAsia="宋体" w:hAnsi="宋体" w:cs="宋体" w:hint="eastAsia"/>
        </w:rPr>
        <w:t>24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</w:rPr>
        <w:t>内完成。</w:t>
      </w:r>
      <w:bookmarkEnd w:id="38"/>
      <w:bookmarkEnd w:id="39"/>
      <w:bookmarkEnd w:id="40"/>
    </w:p>
    <w:p w:rsidR="00A61AD1" w:rsidRDefault="00E47A87">
      <w:pPr>
        <w:pStyle w:val="a5"/>
        <w:spacing w:beforeLines="0" w:afterLines="0"/>
        <w:outlineLvl w:val="9"/>
        <w:rPr>
          <w:rFonts w:ascii="宋体" w:eastAsia="宋体" w:hAnsi="宋体" w:cs="宋体"/>
        </w:rPr>
      </w:pPr>
      <w:bookmarkStart w:id="41" w:name="_Toc13126"/>
      <w:bookmarkStart w:id="42" w:name="_Toc17685"/>
      <w:bookmarkStart w:id="43" w:name="_Toc15714"/>
      <w:r>
        <w:rPr>
          <w:rFonts w:ascii="宋体" w:eastAsia="宋体" w:hAnsi="宋体" w:cs="宋体" w:hint="eastAsia"/>
        </w:rPr>
        <w:t>对重大维修项目或特殊情况不应超过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完成。</w:t>
      </w:r>
      <w:bookmarkEnd w:id="41"/>
      <w:bookmarkEnd w:id="42"/>
      <w:bookmarkEnd w:id="43"/>
    </w:p>
    <w:p w:rsidR="00A61AD1" w:rsidRDefault="00E47A87">
      <w:pPr>
        <w:pStyle w:val="a5"/>
        <w:spacing w:beforeLines="0" w:afterLines="0"/>
        <w:outlineLvl w:val="9"/>
      </w:pPr>
      <w:bookmarkStart w:id="44" w:name="_Toc28004"/>
      <w:bookmarkStart w:id="45" w:name="_Toc1872"/>
      <w:bookmarkStart w:id="46" w:name="_Toc26998"/>
      <w:r>
        <w:rPr>
          <w:rFonts w:ascii="宋体" w:eastAsia="宋体" w:hAnsi="宋体" w:cs="宋体" w:hint="eastAsia"/>
        </w:rPr>
        <w:t>如有超过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不能完成或不能彻底排出故障的，要明确告知公交车管理</w:t>
      </w:r>
      <w:proofErr w:type="gramStart"/>
      <w:r>
        <w:rPr>
          <w:rFonts w:ascii="宋体" w:eastAsia="宋体" w:hAnsi="宋体" w:cs="宋体" w:hint="eastAsia"/>
        </w:rPr>
        <w:t>方具体</w:t>
      </w:r>
      <w:proofErr w:type="gramEnd"/>
      <w:r>
        <w:rPr>
          <w:rFonts w:ascii="宋体" w:eastAsia="宋体" w:hAnsi="宋体" w:cs="宋体" w:hint="eastAsia"/>
        </w:rPr>
        <w:t>原因、预计完成的时间或更换设备材料可到位时间。</w:t>
      </w:r>
      <w:bookmarkEnd w:id="44"/>
      <w:bookmarkEnd w:id="45"/>
      <w:bookmarkEnd w:id="46"/>
    </w:p>
    <w:p w:rsidR="00A61AD1" w:rsidRDefault="00A61AD1"/>
    <w:p w:rsidR="00A61AD1" w:rsidRDefault="00A61AD1"/>
    <w:p w:rsidR="00A61AD1" w:rsidRDefault="00A61AD1">
      <w:pPr>
        <w:pStyle w:val="aa"/>
      </w:pPr>
    </w:p>
    <w:p w:rsidR="00A61AD1" w:rsidRDefault="00A61AD1">
      <w:pPr>
        <w:pStyle w:val="af"/>
      </w:pPr>
    </w:p>
    <w:p w:rsidR="00A61AD1" w:rsidRDefault="00E47A87">
      <w:pPr>
        <w:pStyle w:val="af2"/>
      </w:pPr>
      <w:bookmarkStart w:id="47" w:name="_Toc27806"/>
      <w:bookmarkStart w:id="48" w:name="_Toc6197"/>
      <w:bookmarkStart w:id="49" w:name="_Toc4610"/>
      <w:r>
        <w:br/>
      </w:r>
      <w:r>
        <w:rPr>
          <w:rFonts w:hint="eastAsia"/>
        </w:rPr>
        <w:t>（资料性附录）</w:t>
      </w:r>
      <w:r>
        <w:rPr>
          <w:rFonts w:hint="eastAsia"/>
        </w:rPr>
        <w:br/>
      </w:r>
      <w:r>
        <w:rPr>
          <w:rFonts w:hint="eastAsia"/>
        </w:rPr>
        <w:t>维修工作单</w:t>
      </w:r>
      <w:bookmarkEnd w:id="47"/>
      <w:bookmarkEnd w:id="48"/>
      <w:bookmarkEnd w:id="49"/>
    </w:p>
    <w:p w:rsidR="00A61AD1" w:rsidRDefault="00E47A87">
      <w:pPr>
        <w:pStyle w:val="a4"/>
        <w:numPr>
          <w:ilvl w:val="0"/>
          <w:numId w:val="0"/>
        </w:numPr>
        <w:spacing w:before="312" w:after="312"/>
      </w:pPr>
      <w:bookmarkStart w:id="50" w:name="_Toc27512"/>
      <w:bookmarkStart w:id="51" w:name="_Toc24802"/>
      <w:bookmarkStart w:id="52" w:name="_Toc14232"/>
      <w:r>
        <w:rPr>
          <w:rFonts w:hint="eastAsia"/>
        </w:rPr>
        <w:t>A.1</w:t>
      </w:r>
      <w:r>
        <w:rPr>
          <w:rFonts w:hint="eastAsia"/>
        </w:rPr>
        <w:t xml:space="preserve">　维修工作单</w:t>
      </w:r>
      <w:bookmarkEnd w:id="50"/>
      <w:bookmarkEnd w:id="51"/>
      <w:bookmarkEnd w:id="52"/>
    </w:p>
    <w:p w:rsidR="00A61AD1" w:rsidRDefault="00E47A87">
      <w:pPr>
        <w:pStyle w:val="af1"/>
        <w:numPr>
          <w:ilvl w:val="0"/>
          <w:numId w:val="0"/>
        </w:numPr>
      </w:pPr>
      <w:r>
        <w:rPr>
          <w:rFonts w:hint="eastAsia"/>
        </w:rPr>
        <w:t>表</w:t>
      </w:r>
      <w:r>
        <w:rPr>
          <w:rFonts w:hint="eastAsia"/>
        </w:rPr>
        <w:t>A.1</w:t>
      </w:r>
      <w:r>
        <w:rPr>
          <w:rFonts w:hint="eastAsia"/>
        </w:rPr>
        <w:t xml:space="preserve">　维修工作单（样表）</w:t>
      </w:r>
    </w:p>
    <w:p w:rsidR="00A61AD1" w:rsidRDefault="00E47A87">
      <w:pPr>
        <w:pStyle w:val="aff6"/>
        <w:spacing w:line="360" w:lineRule="auto"/>
        <w:ind w:firstLineChars="0" w:firstLine="0"/>
      </w:pPr>
      <w:r>
        <w:rPr>
          <w:rFonts w:hint="eastAsia"/>
        </w:rPr>
        <w:t>联系人：</w:t>
      </w:r>
      <w:r>
        <w:rPr>
          <w:rFonts w:hint="eastAsia"/>
        </w:rPr>
        <w:t>__________________________</w:t>
      </w: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联系电</w:t>
      </w:r>
      <w:r>
        <w:rPr>
          <w:rFonts w:hint="eastAsia"/>
        </w:rPr>
        <w:t>话：</w:t>
      </w:r>
      <w:r>
        <w:rPr>
          <w:rFonts w:hint="eastAsia"/>
        </w:rPr>
        <w:t>__________________________</w:t>
      </w:r>
    </w:p>
    <w:p w:rsidR="00A61AD1" w:rsidRDefault="00E47A87">
      <w:pPr>
        <w:pStyle w:val="aff6"/>
        <w:spacing w:line="360" w:lineRule="auto"/>
        <w:ind w:firstLineChars="0" w:firstLine="0"/>
      </w:pPr>
      <w:r>
        <w:rPr>
          <w:rFonts w:hint="eastAsia"/>
        </w:rPr>
        <w:t>车牌号：</w:t>
      </w:r>
      <w:r>
        <w:rPr>
          <w:rFonts w:hint="eastAsia"/>
        </w:rPr>
        <w:t>__________________________</w:t>
      </w: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发动机号：</w:t>
      </w:r>
      <w:r>
        <w:rPr>
          <w:rFonts w:hint="eastAsia"/>
        </w:rPr>
        <w:t>__________________________</w:t>
      </w:r>
    </w:p>
    <w:p w:rsidR="00A61AD1" w:rsidRDefault="00E47A87">
      <w:pPr>
        <w:pStyle w:val="aff6"/>
        <w:spacing w:line="360" w:lineRule="auto"/>
        <w:ind w:firstLineChars="0" w:firstLine="0"/>
      </w:pPr>
      <w:r>
        <w:rPr>
          <w:rFonts w:hint="eastAsia"/>
        </w:rPr>
        <w:t>车型：</w:t>
      </w:r>
      <w:r>
        <w:rPr>
          <w:rFonts w:hint="eastAsia"/>
        </w:rPr>
        <w:t>____________________________</w:t>
      </w: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行驶里程：</w:t>
      </w:r>
      <w:r>
        <w:rPr>
          <w:rFonts w:hint="eastAsia"/>
        </w:rPr>
        <w:t>__________________________</w:t>
      </w:r>
    </w:p>
    <w:p w:rsidR="00A61AD1" w:rsidRDefault="00E47A87">
      <w:pPr>
        <w:pStyle w:val="aff6"/>
        <w:spacing w:line="360" w:lineRule="auto"/>
        <w:ind w:firstLineChars="0" w:firstLine="0"/>
      </w:pPr>
      <w:r>
        <w:rPr>
          <w:rFonts w:hint="eastAsia"/>
        </w:rPr>
        <w:t>接车时间：</w:t>
      </w:r>
      <w:r>
        <w:rPr>
          <w:rFonts w:hint="eastAsia"/>
        </w:rPr>
        <w:t>________________________</w:t>
      </w: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交车时间：</w:t>
      </w:r>
      <w:r>
        <w:rPr>
          <w:rFonts w:hint="eastAsia"/>
        </w:rPr>
        <w:t>__________________________</w:t>
      </w:r>
    </w:p>
    <w:p w:rsidR="00A61AD1" w:rsidRDefault="00E47A87">
      <w:pPr>
        <w:pStyle w:val="aff6"/>
        <w:spacing w:line="360" w:lineRule="auto"/>
        <w:ind w:firstLineChars="0" w:firstLine="0"/>
      </w:pPr>
      <w:r>
        <w:rPr>
          <w:rFonts w:hint="eastAsia"/>
        </w:rPr>
        <w:t>委托事项：</w:t>
      </w:r>
      <w:r>
        <w:rPr>
          <w:rFonts w:hint="eastAsia"/>
        </w:rPr>
        <w:t>_______________________________________________________________</w:t>
      </w:r>
      <w:r>
        <w:rPr>
          <w:rFonts w:hint="eastAsia"/>
        </w:rPr>
        <w:t xml:space="preserve">　　</w:t>
      </w:r>
    </w:p>
    <w:tbl>
      <w:tblPr>
        <w:tblStyle w:val="aff2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636"/>
        <w:gridCol w:w="1636"/>
        <w:gridCol w:w="1636"/>
        <w:gridCol w:w="1636"/>
        <w:gridCol w:w="1640"/>
      </w:tblGrid>
      <w:tr w:rsidR="00A61AD1">
        <w:tc>
          <w:tcPr>
            <w:tcW w:w="1386" w:type="dxa"/>
            <w:vMerge w:val="restart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报修</w:t>
            </w:r>
            <w:r>
              <w:rPr>
                <w:rFonts w:hint="eastAsia"/>
                <w:szCs w:val="22"/>
              </w:rPr>
              <w:t>/</w:t>
            </w:r>
          </w:p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保养项目</w:t>
            </w:r>
          </w:p>
        </w:tc>
        <w:tc>
          <w:tcPr>
            <w:tcW w:w="1636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序号</w:t>
            </w:r>
          </w:p>
        </w:tc>
        <w:tc>
          <w:tcPr>
            <w:tcW w:w="1636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维修名称</w:t>
            </w:r>
          </w:p>
        </w:tc>
        <w:tc>
          <w:tcPr>
            <w:tcW w:w="1636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维修种类</w:t>
            </w:r>
          </w:p>
        </w:tc>
        <w:tc>
          <w:tcPr>
            <w:tcW w:w="1636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作业班组</w:t>
            </w:r>
          </w:p>
        </w:tc>
        <w:tc>
          <w:tcPr>
            <w:tcW w:w="1640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费用</w:t>
            </w:r>
          </w:p>
        </w:tc>
      </w:tr>
      <w:tr w:rsidR="00A61AD1">
        <w:tc>
          <w:tcPr>
            <w:tcW w:w="1386" w:type="dxa"/>
            <w:vMerge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Merge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Merge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Merge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Merge w:val="restart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维修及零件明细</w:t>
            </w:r>
          </w:p>
        </w:tc>
        <w:tc>
          <w:tcPr>
            <w:tcW w:w="1636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序号</w:t>
            </w:r>
          </w:p>
        </w:tc>
        <w:tc>
          <w:tcPr>
            <w:tcW w:w="1636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零件名称</w:t>
            </w:r>
          </w:p>
        </w:tc>
        <w:tc>
          <w:tcPr>
            <w:tcW w:w="1636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维修种类</w:t>
            </w:r>
          </w:p>
        </w:tc>
        <w:tc>
          <w:tcPr>
            <w:tcW w:w="1636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渠道</w:t>
            </w:r>
            <w:r>
              <w:rPr>
                <w:rFonts w:hint="eastAsia"/>
                <w:szCs w:val="22"/>
              </w:rPr>
              <w:t>/</w:t>
            </w:r>
            <w:r>
              <w:rPr>
                <w:rFonts w:hint="eastAsia"/>
                <w:szCs w:val="22"/>
              </w:rPr>
              <w:t>数量</w:t>
            </w:r>
          </w:p>
        </w:tc>
        <w:tc>
          <w:tcPr>
            <w:tcW w:w="1640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费用</w:t>
            </w:r>
          </w:p>
        </w:tc>
      </w:tr>
      <w:tr w:rsidR="00A61AD1">
        <w:tc>
          <w:tcPr>
            <w:tcW w:w="1386" w:type="dxa"/>
            <w:vMerge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Merge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Merge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Merge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Align w:val="center"/>
          </w:tcPr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合计</w:t>
            </w:r>
          </w:p>
        </w:tc>
        <w:tc>
          <w:tcPr>
            <w:tcW w:w="8184" w:type="dxa"/>
            <w:gridSpan w:val="5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</w:tc>
      </w:tr>
      <w:tr w:rsidR="00A61AD1">
        <w:tc>
          <w:tcPr>
            <w:tcW w:w="1386" w:type="dxa"/>
            <w:vAlign w:val="center"/>
          </w:tcPr>
          <w:p w:rsidR="00A61AD1" w:rsidRDefault="00E47A87">
            <w:pPr>
              <w:pStyle w:val="aff6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</w:rPr>
              <w:t>维修情况</w:t>
            </w:r>
          </w:p>
        </w:tc>
        <w:tc>
          <w:tcPr>
            <w:tcW w:w="8184" w:type="dxa"/>
            <w:gridSpan w:val="5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维修人员：</w:t>
            </w:r>
          </w:p>
        </w:tc>
      </w:tr>
      <w:tr w:rsidR="00A61AD1">
        <w:tc>
          <w:tcPr>
            <w:tcW w:w="1386" w:type="dxa"/>
            <w:vAlign w:val="center"/>
          </w:tcPr>
          <w:p w:rsidR="00A61AD1" w:rsidRDefault="00E47A87">
            <w:pPr>
              <w:pStyle w:val="aff6"/>
              <w:ind w:firstLineChars="0" w:firstLine="0"/>
              <w:jc w:val="center"/>
            </w:pPr>
            <w:r>
              <w:rPr>
                <w:rFonts w:hint="eastAsia"/>
              </w:rPr>
              <w:t>检查情况</w:t>
            </w:r>
          </w:p>
        </w:tc>
        <w:tc>
          <w:tcPr>
            <w:tcW w:w="8184" w:type="dxa"/>
            <w:gridSpan w:val="5"/>
            <w:vAlign w:val="center"/>
          </w:tcPr>
          <w:p w:rsidR="00A61AD1" w:rsidRDefault="00A61AD1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</w:p>
          <w:p w:rsidR="00A61AD1" w:rsidRDefault="00E47A87">
            <w:pPr>
              <w:pStyle w:val="aff6"/>
              <w:spacing w:line="360" w:lineRule="auto"/>
              <w:ind w:firstLineChars="0" w:firstLine="0"/>
              <w:jc w:val="center"/>
              <w:rPr>
                <w:szCs w:val="22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质检员：</w:t>
            </w:r>
          </w:p>
        </w:tc>
      </w:tr>
    </w:tbl>
    <w:p w:rsidR="00A61AD1" w:rsidRDefault="00E47A87">
      <w:pPr>
        <w:pStyle w:val="aff8"/>
        <w:framePr w:wrap="around" w:hAnchor="page" w:x="4255" w:y="104"/>
      </w:pPr>
      <w:r>
        <w:rPr>
          <w:rFonts w:hint="eastAsia"/>
        </w:rPr>
        <w:t>_________________________________</w:t>
      </w:r>
    </w:p>
    <w:sectPr w:rsidR="00A61AD1">
      <w:headerReference w:type="default" r:id="rId14"/>
      <w:footerReference w:type="default" r:id="rId15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87" w:rsidRDefault="00E47A87">
      <w:r>
        <w:separator/>
      </w:r>
    </w:p>
  </w:endnote>
  <w:endnote w:type="continuationSeparator" w:id="0">
    <w:p w:rsidR="00E47A87" w:rsidRDefault="00E4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D1" w:rsidRDefault="00E47A87">
    <w:pPr>
      <w:pStyle w:val="af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19A8" w:rsidRPr="008619A8">
      <w:rPr>
        <w:noProof/>
        <w:lang w:val="zh-CN"/>
      </w:rPr>
      <w:t>9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87" w:rsidRDefault="00E47A87">
      <w:r>
        <w:separator/>
      </w:r>
    </w:p>
  </w:footnote>
  <w:footnote w:type="continuationSeparator" w:id="0">
    <w:p w:rsidR="00E47A87" w:rsidRDefault="00E4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D1" w:rsidRDefault="00E47A87">
    <w:pPr>
      <w:pStyle w:val="affb"/>
      <w:tabs>
        <w:tab w:val="left" w:pos="9355"/>
      </w:tabs>
      <w:ind w:right="-1"/>
      <w:jc w:val="center"/>
      <w:rPr>
        <w:b/>
      </w:rPr>
    </w:pPr>
    <w:r>
      <w:t xml:space="preserve">                                                                XXXXX—2015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D1" w:rsidRDefault="00E47A87">
    <w:pPr>
      <w:pStyle w:val="aff0"/>
      <w:pBdr>
        <w:bottom w:val="none" w:sz="0" w:space="0" w:color="auto"/>
      </w:pBdr>
      <w:jc w:val="right"/>
      <w:rPr>
        <w:sz w:val="21"/>
        <w:szCs w:val="21"/>
      </w:rPr>
    </w:pPr>
    <w:r>
      <w:rPr>
        <w:rFonts w:ascii="宋体" w:cs="宋体"/>
        <w:color w:val="000000"/>
        <w:kern w:val="0"/>
        <w:szCs w:val="21"/>
        <w:lang w:val="zh-CN"/>
      </w:rPr>
      <w:t xml:space="preserve">                                                                             </w:t>
    </w:r>
  </w:p>
  <w:p w:rsidR="00A61AD1" w:rsidRDefault="00A61AD1">
    <w:pPr>
      <w:pStyle w:val="aff0"/>
      <w:pBdr>
        <w:bottom w:val="none" w:sz="0" w:space="0" w:color="auto"/>
      </w:pBdr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D1" w:rsidRDefault="00E47A87">
    <w:pPr>
      <w:pStyle w:val="aff0"/>
      <w:pBdr>
        <w:bottom w:val="none" w:sz="0" w:space="0" w:color="auto"/>
      </w:pBdr>
      <w:jc w:val="right"/>
      <w:rPr>
        <w:sz w:val="21"/>
        <w:szCs w:val="21"/>
      </w:rPr>
    </w:pPr>
    <w:r>
      <w:rPr>
        <w:rFonts w:ascii="宋体" w:cs="宋体"/>
        <w:color w:val="000000"/>
        <w:kern w:val="0"/>
        <w:szCs w:val="21"/>
      </w:rPr>
      <w:t xml:space="preserve">                                                                         </w:t>
    </w:r>
    <w:r>
      <w:rPr>
        <w:rFonts w:ascii="宋体" w:cs="宋体" w:hint="eastAsia"/>
        <w:color w:val="000000"/>
        <w:kern w:val="0"/>
        <w:szCs w:val="21"/>
      </w:rPr>
      <w:t>T/</w:t>
    </w:r>
    <w:r>
      <w:rPr>
        <w:rFonts w:hint="eastAsia"/>
        <w:sz w:val="21"/>
        <w:szCs w:val="21"/>
      </w:rPr>
      <w:t>CE</w:t>
    </w:r>
    <w:r>
      <w:rPr>
        <w:rFonts w:hint="eastAsia"/>
        <w:sz w:val="21"/>
        <w:szCs w:val="21"/>
      </w:rPr>
      <w:t xml:space="preserve">TE </w:t>
    </w:r>
    <w:r>
      <w:rPr>
        <w:rFonts w:hint="eastAsia"/>
        <w:sz w:val="21"/>
        <w:szCs w:val="21"/>
      </w:rPr>
      <w:t>XXXX</w:t>
    </w:r>
    <w:r>
      <w:rPr>
        <w:sz w:val="21"/>
        <w:szCs w:val="21"/>
      </w:rPr>
      <w:t>—20</w:t>
    </w:r>
    <w:r>
      <w:rPr>
        <w:rFonts w:hint="eastAsia"/>
        <w:sz w:val="21"/>
        <w:szCs w:val="21"/>
      </w:rPr>
      <w:t>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D1" w:rsidRDefault="00E47A87">
    <w:pPr>
      <w:pStyle w:val="aff0"/>
      <w:pBdr>
        <w:bottom w:val="none" w:sz="0" w:space="0" w:color="auto"/>
      </w:pBdr>
      <w:jc w:val="left"/>
      <w:rPr>
        <w:sz w:val="21"/>
        <w:szCs w:val="21"/>
      </w:rPr>
    </w:pPr>
    <w:r>
      <w:rPr>
        <w:rFonts w:ascii="宋体" w:cs="宋体"/>
        <w:color w:val="000000"/>
        <w:kern w:val="0"/>
        <w:szCs w:val="21"/>
      </w:rPr>
      <w:t xml:space="preserve">                                                                         </w:t>
    </w:r>
    <w:r>
      <w:rPr>
        <w:rFonts w:ascii="宋体" w:cs="宋体" w:hint="eastAsia"/>
        <w:color w:val="000000"/>
        <w:kern w:val="0"/>
        <w:szCs w:val="21"/>
      </w:rPr>
      <w:t>T/</w:t>
    </w:r>
    <w:r>
      <w:rPr>
        <w:rFonts w:hint="eastAsia"/>
        <w:sz w:val="21"/>
        <w:szCs w:val="21"/>
      </w:rPr>
      <w:t>CE</w:t>
    </w:r>
    <w:r>
      <w:rPr>
        <w:rFonts w:hint="eastAsia"/>
        <w:sz w:val="21"/>
        <w:szCs w:val="21"/>
      </w:rPr>
      <w:t xml:space="preserve">TE </w:t>
    </w:r>
    <w:r>
      <w:rPr>
        <w:rFonts w:hint="eastAsia"/>
        <w:sz w:val="21"/>
        <w:szCs w:val="21"/>
      </w:rPr>
      <w:t>XXXX</w:t>
    </w:r>
    <w:r>
      <w:rPr>
        <w:sz w:val="21"/>
        <w:szCs w:val="21"/>
      </w:rPr>
      <w:t>—20</w:t>
    </w:r>
    <w:r>
      <w:rPr>
        <w:rFonts w:hint="eastAsia"/>
        <w:sz w:val="21"/>
        <w:szCs w:val="21"/>
      </w:rPr>
      <w:t>20</w:t>
    </w:r>
  </w:p>
  <w:p w:rsidR="00A61AD1" w:rsidRDefault="00A61AD1">
    <w:pPr>
      <w:pStyle w:val="aff0"/>
      <w:pBdr>
        <w:bottom w:val="none" w:sz="0" w:space="0" w:color="auto"/>
      </w:pBdr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4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>
      <w:start w:val="1"/>
      <w:numFmt w:val="upperLetter"/>
      <w:pStyle w:val="a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44C50F90"/>
    <w:multiLevelType w:val="multilevel"/>
    <w:tmpl w:val="44C50F90"/>
    <w:lvl w:ilvl="0">
      <w:start w:val="1"/>
      <w:numFmt w:val="lowerLetter"/>
      <w:pStyle w:val="ac"/>
      <w:lvlText w:val="%1)"/>
      <w:lvlJc w:val="left"/>
      <w:pPr>
        <w:tabs>
          <w:tab w:val="left" w:pos="839"/>
        </w:tabs>
        <w:ind w:left="839" w:hanging="419"/>
      </w:pPr>
      <w:rPr>
        <w:rFonts w:ascii="Times New Roman" w:eastAsia="宋体" w:hAnsi="Times New Roman" w:cs="Times New Roman" w:hint="default"/>
        <w:b w:val="0"/>
        <w:i w:val="0"/>
        <w:sz w:val="20"/>
        <w:szCs w:val="21"/>
      </w:rPr>
    </w:lvl>
    <w:lvl w:ilvl="1">
      <w:start w:val="1"/>
      <w:numFmt w:val="decimal"/>
      <w:pStyle w:val="ad"/>
      <w:lvlText w:val="%2)"/>
      <w:lvlJc w:val="left"/>
      <w:pPr>
        <w:tabs>
          <w:tab w:val="left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</w:rPr>
    </w:lvl>
    <w:lvl w:ilvl="2">
      <w:start w:val="1"/>
      <w:numFmt w:val="decimal"/>
      <w:pStyle w:val="ae"/>
      <w:lvlText w:val="(%3)"/>
      <w:lvlJc w:val="left"/>
      <w:pPr>
        <w:tabs>
          <w:tab w:val="left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</w:rPr>
    </w:lvl>
    <w:lvl w:ilvl="3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4">
    <w:nsid w:val="542FA287"/>
    <w:multiLevelType w:val="multilevel"/>
    <w:tmpl w:val="542FA287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5">
    <w:nsid w:val="60B55DC2"/>
    <w:multiLevelType w:val="multilevel"/>
    <w:tmpl w:val="60B55DC2"/>
    <w:lvl w:ilvl="0">
      <w:start w:val="1"/>
      <w:numFmt w:val="upperLetter"/>
      <w:pStyle w:val="af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6">
    <w:nsid w:val="646260FA"/>
    <w:multiLevelType w:val="multilevel"/>
    <w:tmpl w:val="646260FA"/>
    <w:lvl w:ilvl="0">
      <w:start w:val="1"/>
      <w:numFmt w:val="decimal"/>
      <w:pStyle w:val="af1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>
    <w:nsid w:val="657D3FBC"/>
    <w:multiLevelType w:val="multilevel"/>
    <w:tmpl w:val="657D3FBC"/>
    <w:lvl w:ilvl="0">
      <w:start w:val="1"/>
      <w:numFmt w:val="upperLetter"/>
      <w:pStyle w:val="af2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3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4"/>
      <w:suff w:val="nothing"/>
      <w:lvlText w:val="%1.%2.%3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5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6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7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8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DBF04F4"/>
    <w:multiLevelType w:val="multilevel"/>
    <w:tmpl w:val="6DBF04F4"/>
    <w:lvl w:ilvl="0">
      <w:start w:val="1"/>
      <w:numFmt w:val="none"/>
      <w:pStyle w:val="af9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61"/>
    <w:rsid w:val="0000499C"/>
    <w:rsid w:val="00074FE9"/>
    <w:rsid w:val="000F109A"/>
    <w:rsid w:val="000F2425"/>
    <w:rsid w:val="00135FA4"/>
    <w:rsid w:val="0013741F"/>
    <w:rsid w:val="00145CEB"/>
    <w:rsid w:val="00156D7D"/>
    <w:rsid w:val="00177104"/>
    <w:rsid w:val="00193933"/>
    <w:rsid w:val="001E2099"/>
    <w:rsid w:val="00333B3B"/>
    <w:rsid w:val="00360F17"/>
    <w:rsid w:val="003635CE"/>
    <w:rsid w:val="003B1D62"/>
    <w:rsid w:val="003C0712"/>
    <w:rsid w:val="003C1A86"/>
    <w:rsid w:val="00436192"/>
    <w:rsid w:val="0044125A"/>
    <w:rsid w:val="00441DA4"/>
    <w:rsid w:val="004C462D"/>
    <w:rsid w:val="004E48A2"/>
    <w:rsid w:val="00540061"/>
    <w:rsid w:val="005776DA"/>
    <w:rsid w:val="005E7B52"/>
    <w:rsid w:val="00620ABB"/>
    <w:rsid w:val="00620F87"/>
    <w:rsid w:val="006336DD"/>
    <w:rsid w:val="00695AC3"/>
    <w:rsid w:val="006E5F58"/>
    <w:rsid w:val="007843F1"/>
    <w:rsid w:val="00796875"/>
    <w:rsid w:val="007B4A05"/>
    <w:rsid w:val="00801064"/>
    <w:rsid w:val="00814F95"/>
    <w:rsid w:val="008619A8"/>
    <w:rsid w:val="0088534A"/>
    <w:rsid w:val="008A6BF1"/>
    <w:rsid w:val="008D7758"/>
    <w:rsid w:val="008F2A42"/>
    <w:rsid w:val="0094161A"/>
    <w:rsid w:val="00973034"/>
    <w:rsid w:val="00976015"/>
    <w:rsid w:val="00987BEC"/>
    <w:rsid w:val="009E2478"/>
    <w:rsid w:val="00A05F1E"/>
    <w:rsid w:val="00A361D6"/>
    <w:rsid w:val="00A61AD1"/>
    <w:rsid w:val="00B32D73"/>
    <w:rsid w:val="00B90B04"/>
    <w:rsid w:val="00BB23EB"/>
    <w:rsid w:val="00BD5BCE"/>
    <w:rsid w:val="00C56515"/>
    <w:rsid w:val="00C651CF"/>
    <w:rsid w:val="00CC7004"/>
    <w:rsid w:val="00CD49D1"/>
    <w:rsid w:val="00D93781"/>
    <w:rsid w:val="00D95DBD"/>
    <w:rsid w:val="00DA21C5"/>
    <w:rsid w:val="00DE5FD0"/>
    <w:rsid w:val="00E06514"/>
    <w:rsid w:val="00E22736"/>
    <w:rsid w:val="00E37793"/>
    <w:rsid w:val="00E47A87"/>
    <w:rsid w:val="00E57777"/>
    <w:rsid w:val="00E83D90"/>
    <w:rsid w:val="00ED045B"/>
    <w:rsid w:val="00ED1739"/>
    <w:rsid w:val="00EF0AEB"/>
    <w:rsid w:val="00F23BB4"/>
    <w:rsid w:val="00F2485A"/>
    <w:rsid w:val="00F26ADA"/>
    <w:rsid w:val="00F83FAB"/>
    <w:rsid w:val="00F84550"/>
    <w:rsid w:val="00FA2046"/>
    <w:rsid w:val="00FA2251"/>
    <w:rsid w:val="00FC08D7"/>
    <w:rsid w:val="00FC4E3C"/>
    <w:rsid w:val="0AD964A6"/>
    <w:rsid w:val="13D3337B"/>
    <w:rsid w:val="27BE59EA"/>
    <w:rsid w:val="2B9F61D5"/>
    <w:rsid w:val="2F607634"/>
    <w:rsid w:val="350B5D40"/>
    <w:rsid w:val="38754055"/>
    <w:rsid w:val="42B06408"/>
    <w:rsid w:val="440709B5"/>
    <w:rsid w:val="4FB41D48"/>
    <w:rsid w:val="57635BC7"/>
    <w:rsid w:val="57BA6338"/>
    <w:rsid w:val="6D605A3E"/>
    <w:rsid w:val="6EA31328"/>
    <w:rsid w:val="6EF916D6"/>
    <w:rsid w:val="6FE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fb">
    <w:name w:val="Default Paragraph Font"/>
    <w:uiPriority w:val="1"/>
    <w:semiHidden/>
    <w:unhideWhenUsed/>
  </w:style>
  <w:style w:type="table" w:default="1" w:styleId="af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d">
    <w:name w:val="No List"/>
    <w:uiPriority w:val="99"/>
    <w:semiHidden/>
    <w:unhideWhenUsed/>
  </w:style>
  <w:style w:type="paragraph" w:styleId="afe">
    <w:name w:val="Balloon Text"/>
    <w:basedOn w:val="afa"/>
    <w:link w:val="Char"/>
    <w:uiPriority w:val="99"/>
    <w:semiHidden/>
    <w:unhideWhenUsed/>
    <w:rPr>
      <w:sz w:val="18"/>
      <w:szCs w:val="18"/>
    </w:rPr>
  </w:style>
  <w:style w:type="paragraph" w:styleId="aff">
    <w:name w:val="footer"/>
    <w:basedOn w:val="af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0">
    <w:name w:val="header"/>
    <w:basedOn w:val="af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fa"/>
    <w:next w:val="afa"/>
    <w:semiHidden/>
    <w:qFormat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</w:rPr>
  </w:style>
  <w:style w:type="paragraph" w:styleId="aff1">
    <w:name w:val="Normal (Web)"/>
    <w:basedOn w:val="af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f2">
    <w:name w:val="Table Grid"/>
    <w:basedOn w:val="afc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age number"/>
    <w:basedOn w:val="afb"/>
    <w:qFormat/>
    <w:rPr>
      <w:rFonts w:ascii="Times New Roman" w:eastAsia="宋体" w:hAnsi="Times New Roman" w:cs="Times New Roman"/>
      <w:sz w:val="18"/>
    </w:rPr>
  </w:style>
  <w:style w:type="character" w:styleId="aff4">
    <w:name w:val="Hyperlink"/>
    <w:qFormat/>
    <w:rPr>
      <w:color w:val="0000FF"/>
      <w:spacing w:val="0"/>
      <w:w w:val="100"/>
      <w:szCs w:val="21"/>
      <w:u w:val="single"/>
    </w:rPr>
  </w:style>
  <w:style w:type="character" w:customStyle="1" w:styleId="Char1">
    <w:name w:val="页眉 Char"/>
    <w:basedOn w:val="afb"/>
    <w:link w:val="aff0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fb"/>
    <w:link w:val="aff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fb"/>
    <w:link w:val="afe"/>
    <w:uiPriority w:val="99"/>
    <w:semiHidden/>
    <w:qFormat/>
    <w:rPr>
      <w:sz w:val="18"/>
      <w:szCs w:val="18"/>
    </w:rPr>
  </w:style>
  <w:style w:type="paragraph" w:customStyle="1" w:styleId="aff5">
    <w:name w:val="目次、标准名称标题"/>
    <w:basedOn w:val="afa"/>
    <w:next w:val="aff6"/>
    <w:uiPriority w:val="9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6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2">
    <w:name w:val="段 Char"/>
    <w:link w:val="aff6"/>
    <w:qFormat/>
    <w:rPr>
      <w:rFonts w:ascii="宋体" w:eastAsia="宋体" w:hAnsi="Times New Roman" w:cs="Times New Roman"/>
      <w:kern w:val="0"/>
      <w:szCs w:val="20"/>
    </w:rPr>
  </w:style>
  <w:style w:type="paragraph" w:customStyle="1" w:styleId="a5">
    <w:name w:val="一级条标题"/>
    <w:next w:val="aff6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4">
    <w:name w:val="章标题"/>
    <w:next w:val="aff6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6">
    <w:name w:val="二级条标题"/>
    <w:basedOn w:val="a5"/>
    <w:next w:val="aff6"/>
    <w:qFormat/>
    <w:pPr>
      <w:numPr>
        <w:ilvl w:val="2"/>
      </w:numPr>
      <w:spacing w:before="50" w:after="50"/>
      <w:outlineLvl w:val="3"/>
    </w:pPr>
  </w:style>
  <w:style w:type="paragraph" w:customStyle="1" w:styleId="a7">
    <w:name w:val="三级条标题"/>
    <w:basedOn w:val="a6"/>
    <w:next w:val="aff6"/>
    <w:qFormat/>
    <w:pPr>
      <w:numPr>
        <w:ilvl w:val="3"/>
      </w:numPr>
      <w:outlineLvl w:val="4"/>
    </w:pPr>
  </w:style>
  <w:style w:type="paragraph" w:customStyle="1" w:styleId="a8">
    <w:name w:val="四级条标题"/>
    <w:basedOn w:val="a7"/>
    <w:next w:val="aff6"/>
    <w:qFormat/>
    <w:pPr>
      <w:numPr>
        <w:ilvl w:val="4"/>
      </w:numPr>
      <w:outlineLvl w:val="5"/>
    </w:pPr>
  </w:style>
  <w:style w:type="paragraph" w:customStyle="1" w:styleId="a9">
    <w:name w:val="五级条标题"/>
    <w:basedOn w:val="a8"/>
    <w:next w:val="aff6"/>
    <w:qFormat/>
    <w:pPr>
      <w:numPr>
        <w:ilvl w:val="5"/>
      </w:numPr>
      <w:outlineLvl w:val="6"/>
    </w:pPr>
  </w:style>
  <w:style w:type="paragraph" w:customStyle="1" w:styleId="af2">
    <w:name w:val="附录标识"/>
    <w:basedOn w:val="afa"/>
    <w:next w:val="aff6"/>
    <w:qFormat/>
    <w:pPr>
      <w:keepNext/>
      <w:widowControl/>
      <w:numPr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">
    <w:name w:val="附录表标号"/>
    <w:basedOn w:val="afa"/>
    <w:next w:val="aff6"/>
    <w:qFormat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0">
    <w:name w:val="附录表标题"/>
    <w:basedOn w:val="afa"/>
    <w:next w:val="aff6"/>
    <w:qFormat/>
    <w:pPr>
      <w:numPr>
        <w:ilvl w:val="1"/>
        <w:numId w:val="3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</w:rPr>
  </w:style>
  <w:style w:type="paragraph" w:customStyle="1" w:styleId="af5">
    <w:name w:val="附录二级条标题"/>
    <w:basedOn w:val="afa"/>
    <w:next w:val="aff6"/>
    <w:qFormat/>
    <w:pPr>
      <w:widowControl/>
      <w:numPr>
        <w:ilvl w:val="3"/>
        <w:numId w:val="2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 w:cs="Times New Roman"/>
      <w:kern w:val="21"/>
      <w:szCs w:val="20"/>
    </w:rPr>
  </w:style>
  <w:style w:type="paragraph" w:customStyle="1" w:styleId="af6">
    <w:name w:val="附录三级条标题"/>
    <w:basedOn w:val="af5"/>
    <w:next w:val="aff6"/>
    <w:qFormat/>
    <w:pPr>
      <w:numPr>
        <w:ilvl w:val="4"/>
      </w:numPr>
      <w:outlineLvl w:val="4"/>
    </w:pPr>
  </w:style>
  <w:style w:type="paragraph" w:customStyle="1" w:styleId="af7">
    <w:name w:val="附录四级条标题"/>
    <w:basedOn w:val="af6"/>
    <w:next w:val="aff6"/>
    <w:qFormat/>
    <w:pPr>
      <w:numPr>
        <w:ilvl w:val="5"/>
      </w:numPr>
      <w:outlineLvl w:val="5"/>
    </w:pPr>
  </w:style>
  <w:style w:type="paragraph" w:customStyle="1" w:styleId="aa">
    <w:name w:val="附录图标号"/>
    <w:basedOn w:val="afa"/>
    <w:qFormat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b">
    <w:name w:val="附录图标题"/>
    <w:basedOn w:val="afa"/>
    <w:next w:val="aff6"/>
    <w:qFormat/>
    <w:pPr>
      <w:numPr>
        <w:ilvl w:val="1"/>
        <w:numId w:val="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</w:rPr>
  </w:style>
  <w:style w:type="paragraph" w:customStyle="1" w:styleId="af8">
    <w:name w:val="附录五级条标题"/>
    <w:basedOn w:val="af7"/>
    <w:next w:val="aff6"/>
    <w:qFormat/>
    <w:pPr>
      <w:numPr>
        <w:ilvl w:val="6"/>
      </w:numPr>
      <w:outlineLvl w:val="6"/>
    </w:pPr>
  </w:style>
  <w:style w:type="paragraph" w:customStyle="1" w:styleId="af3">
    <w:name w:val="附录章标题"/>
    <w:next w:val="aff6"/>
    <w:qFormat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4">
    <w:name w:val="附录一级条标题"/>
    <w:basedOn w:val="af3"/>
    <w:next w:val="aff6"/>
    <w:qFormat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7">
    <w:name w:val="前言、引言标题"/>
    <w:next w:val="aff6"/>
    <w:uiPriority w:val="99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8">
    <w:name w:val="终结线"/>
    <w:basedOn w:val="afa"/>
    <w:qFormat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f9">
    <w:name w:val="标准书脚_偶数页"/>
    <w:uiPriority w:val="99"/>
    <w:qFormat/>
    <w:pPr>
      <w:spacing w:before="120"/>
    </w:pPr>
    <w:rPr>
      <w:sz w:val="18"/>
    </w:rPr>
  </w:style>
  <w:style w:type="paragraph" w:customStyle="1" w:styleId="affa">
    <w:name w:val="标准书脚_奇数页"/>
    <w:uiPriority w:val="99"/>
    <w:qFormat/>
    <w:pPr>
      <w:spacing w:before="120"/>
      <w:jc w:val="right"/>
    </w:pPr>
    <w:rPr>
      <w:sz w:val="18"/>
    </w:rPr>
  </w:style>
  <w:style w:type="paragraph" w:customStyle="1" w:styleId="affb">
    <w:name w:val="标准书眉_偶数页"/>
    <w:basedOn w:val="afa"/>
    <w:next w:val="afa"/>
    <w:uiPriority w:val="99"/>
    <w:qFormat/>
    <w:pPr>
      <w:widowControl/>
      <w:tabs>
        <w:tab w:val="center" w:pos="4154"/>
        <w:tab w:val="right" w:pos="8306"/>
      </w:tabs>
      <w:spacing w:after="120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0">
    <w:name w:val="二级无标题条"/>
    <w:basedOn w:val="afa"/>
    <w:uiPriority w:val="99"/>
    <w:qFormat/>
    <w:pPr>
      <w:numPr>
        <w:ilvl w:val="3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1">
    <w:name w:val="三级无标题条"/>
    <w:basedOn w:val="afa"/>
    <w:uiPriority w:val="99"/>
    <w:qFormat/>
    <w:pPr>
      <w:numPr>
        <w:ilvl w:val="4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d">
    <w:name w:val="数字编号列项（二级）"/>
    <w:qFormat/>
    <w:pPr>
      <w:numPr>
        <w:ilvl w:val="1"/>
        <w:numId w:val="6"/>
      </w:numPr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2">
    <w:name w:val="四级无标题条"/>
    <w:basedOn w:val="afa"/>
    <w:uiPriority w:val="99"/>
    <w:qFormat/>
    <w:pPr>
      <w:numPr>
        <w:ilvl w:val="5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3">
    <w:name w:val="五级无标题条"/>
    <w:basedOn w:val="afa"/>
    <w:uiPriority w:val="99"/>
    <w:qFormat/>
    <w:pPr>
      <w:numPr>
        <w:ilvl w:val="6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">
    <w:name w:val="一级无标题条"/>
    <w:basedOn w:val="afa"/>
    <w:uiPriority w:val="99"/>
    <w:qFormat/>
    <w:pPr>
      <w:numPr>
        <w:ilvl w:val="2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c">
    <w:name w:val="字母编号列项（一级）"/>
    <w:qFormat/>
    <w:pPr>
      <w:numPr>
        <w:numId w:val="6"/>
      </w:numPr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e">
    <w:name w:val="编号列项（三级）"/>
    <w:qFormat/>
    <w:pPr>
      <w:numPr>
        <w:ilvl w:val="2"/>
        <w:numId w:val="6"/>
      </w:numPr>
    </w:pPr>
    <w:rPr>
      <w:rFonts w:ascii="宋体"/>
      <w:sz w:val="21"/>
    </w:rPr>
  </w:style>
  <w:style w:type="paragraph" w:styleId="affc">
    <w:name w:val="List Paragraph"/>
    <w:basedOn w:val="afa"/>
    <w:uiPriority w:val="34"/>
    <w:qFormat/>
    <w:pPr>
      <w:ind w:firstLineChars="200" w:firstLine="420"/>
    </w:pPr>
  </w:style>
  <w:style w:type="paragraph" w:customStyle="1" w:styleId="affd">
    <w:name w:val="二级无"/>
    <w:basedOn w:val="a6"/>
    <w:qFormat/>
    <w:pPr>
      <w:spacing w:beforeLines="0" w:before="0" w:afterLines="0" w:after="0"/>
    </w:pPr>
    <w:rPr>
      <w:rFonts w:ascii="宋体" w:eastAsia="宋体"/>
    </w:rPr>
  </w:style>
  <w:style w:type="paragraph" w:customStyle="1" w:styleId="af1">
    <w:name w:val="正文表标题"/>
    <w:next w:val="aff6"/>
    <w:qFormat/>
    <w:pPr>
      <w:numPr>
        <w:numId w:val="7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 w:hAnsi="Calibri"/>
      <w:sz w:val="21"/>
    </w:rPr>
  </w:style>
  <w:style w:type="paragraph" w:customStyle="1" w:styleId="af9">
    <w:name w:val="注："/>
    <w:next w:val="aff6"/>
    <w:qFormat/>
    <w:pPr>
      <w:widowControl w:val="0"/>
      <w:numPr>
        <w:numId w:val="8"/>
      </w:numPr>
      <w:autoSpaceDE w:val="0"/>
      <w:autoSpaceDN w:val="0"/>
      <w:jc w:val="both"/>
    </w:pPr>
    <w:rPr>
      <w:rFonts w:ascii="宋体" w:hAnsi="Calibri"/>
      <w:sz w:val="18"/>
      <w:szCs w:val="18"/>
    </w:rPr>
  </w:style>
  <w:style w:type="paragraph" w:customStyle="1" w:styleId="affe">
    <w:name w:val="四级无"/>
    <w:basedOn w:val="a8"/>
    <w:qFormat/>
    <w:pPr>
      <w:spacing w:beforeLines="0" w:before="0" w:afterLines="0" w:after="0"/>
    </w:pPr>
    <w:rPr>
      <w:rFonts w:ascii="宋体" w:eastAsia="宋体"/>
    </w:rPr>
  </w:style>
  <w:style w:type="paragraph" w:customStyle="1" w:styleId="afff">
    <w:name w:val="三级无"/>
    <w:basedOn w:val="a7"/>
    <w:qFormat/>
    <w:pPr>
      <w:spacing w:beforeLines="0" w:before="0" w:afterLines="0" w:after="0"/>
    </w:pPr>
    <w:rPr>
      <w:rFonts w:ascii="宋体" w:eastAsia="宋体"/>
    </w:rPr>
  </w:style>
  <w:style w:type="paragraph" w:customStyle="1" w:styleId="afff0">
    <w:name w:val="标准书眉_奇数页"/>
    <w:next w:val="af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fb">
    <w:name w:val="Default Paragraph Font"/>
    <w:uiPriority w:val="1"/>
    <w:semiHidden/>
    <w:unhideWhenUsed/>
  </w:style>
  <w:style w:type="table" w:default="1" w:styleId="af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d">
    <w:name w:val="No List"/>
    <w:uiPriority w:val="99"/>
    <w:semiHidden/>
    <w:unhideWhenUsed/>
  </w:style>
  <w:style w:type="paragraph" w:styleId="afe">
    <w:name w:val="Balloon Text"/>
    <w:basedOn w:val="afa"/>
    <w:link w:val="Char"/>
    <w:uiPriority w:val="99"/>
    <w:semiHidden/>
    <w:unhideWhenUsed/>
    <w:rPr>
      <w:sz w:val="18"/>
      <w:szCs w:val="18"/>
    </w:rPr>
  </w:style>
  <w:style w:type="paragraph" w:styleId="aff">
    <w:name w:val="footer"/>
    <w:basedOn w:val="af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0">
    <w:name w:val="header"/>
    <w:basedOn w:val="af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fa"/>
    <w:next w:val="afa"/>
    <w:semiHidden/>
    <w:qFormat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</w:rPr>
  </w:style>
  <w:style w:type="paragraph" w:styleId="aff1">
    <w:name w:val="Normal (Web)"/>
    <w:basedOn w:val="af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f2">
    <w:name w:val="Table Grid"/>
    <w:basedOn w:val="afc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age number"/>
    <w:basedOn w:val="afb"/>
    <w:qFormat/>
    <w:rPr>
      <w:rFonts w:ascii="Times New Roman" w:eastAsia="宋体" w:hAnsi="Times New Roman" w:cs="Times New Roman"/>
      <w:sz w:val="18"/>
    </w:rPr>
  </w:style>
  <w:style w:type="character" w:styleId="aff4">
    <w:name w:val="Hyperlink"/>
    <w:qFormat/>
    <w:rPr>
      <w:color w:val="0000FF"/>
      <w:spacing w:val="0"/>
      <w:w w:val="100"/>
      <w:szCs w:val="21"/>
      <w:u w:val="single"/>
    </w:rPr>
  </w:style>
  <w:style w:type="character" w:customStyle="1" w:styleId="Char1">
    <w:name w:val="页眉 Char"/>
    <w:basedOn w:val="afb"/>
    <w:link w:val="aff0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fb"/>
    <w:link w:val="aff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fb"/>
    <w:link w:val="afe"/>
    <w:uiPriority w:val="99"/>
    <w:semiHidden/>
    <w:qFormat/>
    <w:rPr>
      <w:sz w:val="18"/>
      <w:szCs w:val="18"/>
    </w:rPr>
  </w:style>
  <w:style w:type="paragraph" w:customStyle="1" w:styleId="aff5">
    <w:name w:val="目次、标准名称标题"/>
    <w:basedOn w:val="afa"/>
    <w:next w:val="aff6"/>
    <w:uiPriority w:val="9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6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2">
    <w:name w:val="段 Char"/>
    <w:link w:val="aff6"/>
    <w:qFormat/>
    <w:rPr>
      <w:rFonts w:ascii="宋体" w:eastAsia="宋体" w:hAnsi="Times New Roman" w:cs="Times New Roman"/>
      <w:kern w:val="0"/>
      <w:szCs w:val="20"/>
    </w:rPr>
  </w:style>
  <w:style w:type="paragraph" w:customStyle="1" w:styleId="a5">
    <w:name w:val="一级条标题"/>
    <w:next w:val="aff6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4">
    <w:name w:val="章标题"/>
    <w:next w:val="aff6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6">
    <w:name w:val="二级条标题"/>
    <w:basedOn w:val="a5"/>
    <w:next w:val="aff6"/>
    <w:qFormat/>
    <w:pPr>
      <w:numPr>
        <w:ilvl w:val="2"/>
      </w:numPr>
      <w:spacing w:before="50" w:after="50"/>
      <w:outlineLvl w:val="3"/>
    </w:pPr>
  </w:style>
  <w:style w:type="paragraph" w:customStyle="1" w:styleId="a7">
    <w:name w:val="三级条标题"/>
    <w:basedOn w:val="a6"/>
    <w:next w:val="aff6"/>
    <w:qFormat/>
    <w:pPr>
      <w:numPr>
        <w:ilvl w:val="3"/>
      </w:numPr>
      <w:outlineLvl w:val="4"/>
    </w:pPr>
  </w:style>
  <w:style w:type="paragraph" w:customStyle="1" w:styleId="a8">
    <w:name w:val="四级条标题"/>
    <w:basedOn w:val="a7"/>
    <w:next w:val="aff6"/>
    <w:qFormat/>
    <w:pPr>
      <w:numPr>
        <w:ilvl w:val="4"/>
      </w:numPr>
      <w:outlineLvl w:val="5"/>
    </w:pPr>
  </w:style>
  <w:style w:type="paragraph" w:customStyle="1" w:styleId="a9">
    <w:name w:val="五级条标题"/>
    <w:basedOn w:val="a8"/>
    <w:next w:val="aff6"/>
    <w:qFormat/>
    <w:pPr>
      <w:numPr>
        <w:ilvl w:val="5"/>
      </w:numPr>
      <w:outlineLvl w:val="6"/>
    </w:pPr>
  </w:style>
  <w:style w:type="paragraph" w:customStyle="1" w:styleId="af2">
    <w:name w:val="附录标识"/>
    <w:basedOn w:val="afa"/>
    <w:next w:val="aff6"/>
    <w:qFormat/>
    <w:pPr>
      <w:keepNext/>
      <w:widowControl/>
      <w:numPr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">
    <w:name w:val="附录表标号"/>
    <w:basedOn w:val="afa"/>
    <w:next w:val="aff6"/>
    <w:qFormat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0">
    <w:name w:val="附录表标题"/>
    <w:basedOn w:val="afa"/>
    <w:next w:val="aff6"/>
    <w:qFormat/>
    <w:pPr>
      <w:numPr>
        <w:ilvl w:val="1"/>
        <w:numId w:val="3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</w:rPr>
  </w:style>
  <w:style w:type="paragraph" w:customStyle="1" w:styleId="af5">
    <w:name w:val="附录二级条标题"/>
    <w:basedOn w:val="afa"/>
    <w:next w:val="aff6"/>
    <w:qFormat/>
    <w:pPr>
      <w:widowControl/>
      <w:numPr>
        <w:ilvl w:val="3"/>
        <w:numId w:val="2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 w:cs="Times New Roman"/>
      <w:kern w:val="21"/>
      <w:szCs w:val="20"/>
    </w:rPr>
  </w:style>
  <w:style w:type="paragraph" w:customStyle="1" w:styleId="af6">
    <w:name w:val="附录三级条标题"/>
    <w:basedOn w:val="af5"/>
    <w:next w:val="aff6"/>
    <w:qFormat/>
    <w:pPr>
      <w:numPr>
        <w:ilvl w:val="4"/>
      </w:numPr>
      <w:outlineLvl w:val="4"/>
    </w:pPr>
  </w:style>
  <w:style w:type="paragraph" w:customStyle="1" w:styleId="af7">
    <w:name w:val="附录四级条标题"/>
    <w:basedOn w:val="af6"/>
    <w:next w:val="aff6"/>
    <w:qFormat/>
    <w:pPr>
      <w:numPr>
        <w:ilvl w:val="5"/>
      </w:numPr>
      <w:outlineLvl w:val="5"/>
    </w:pPr>
  </w:style>
  <w:style w:type="paragraph" w:customStyle="1" w:styleId="aa">
    <w:name w:val="附录图标号"/>
    <w:basedOn w:val="afa"/>
    <w:qFormat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b">
    <w:name w:val="附录图标题"/>
    <w:basedOn w:val="afa"/>
    <w:next w:val="aff6"/>
    <w:qFormat/>
    <w:pPr>
      <w:numPr>
        <w:ilvl w:val="1"/>
        <w:numId w:val="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</w:rPr>
  </w:style>
  <w:style w:type="paragraph" w:customStyle="1" w:styleId="af8">
    <w:name w:val="附录五级条标题"/>
    <w:basedOn w:val="af7"/>
    <w:next w:val="aff6"/>
    <w:qFormat/>
    <w:pPr>
      <w:numPr>
        <w:ilvl w:val="6"/>
      </w:numPr>
      <w:outlineLvl w:val="6"/>
    </w:pPr>
  </w:style>
  <w:style w:type="paragraph" w:customStyle="1" w:styleId="af3">
    <w:name w:val="附录章标题"/>
    <w:next w:val="aff6"/>
    <w:qFormat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4">
    <w:name w:val="附录一级条标题"/>
    <w:basedOn w:val="af3"/>
    <w:next w:val="aff6"/>
    <w:qFormat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7">
    <w:name w:val="前言、引言标题"/>
    <w:next w:val="aff6"/>
    <w:uiPriority w:val="99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8">
    <w:name w:val="终结线"/>
    <w:basedOn w:val="afa"/>
    <w:qFormat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f9">
    <w:name w:val="标准书脚_偶数页"/>
    <w:uiPriority w:val="99"/>
    <w:qFormat/>
    <w:pPr>
      <w:spacing w:before="120"/>
    </w:pPr>
    <w:rPr>
      <w:sz w:val="18"/>
    </w:rPr>
  </w:style>
  <w:style w:type="paragraph" w:customStyle="1" w:styleId="affa">
    <w:name w:val="标准书脚_奇数页"/>
    <w:uiPriority w:val="99"/>
    <w:qFormat/>
    <w:pPr>
      <w:spacing w:before="120"/>
      <w:jc w:val="right"/>
    </w:pPr>
    <w:rPr>
      <w:sz w:val="18"/>
    </w:rPr>
  </w:style>
  <w:style w:type="paragraph" w:customStyle="1" w:styleId="affb">
    <w:name w:val="标准书眉_偶数页"/>
    <w:basedOn w:val="afa"/>
    <w:next w:val="afa"/>
    <w:uiPriority w:val="99"/>
    <w:qFormat/>
    <w:pPr>
      <w:widowControl/>
      <w:tabs>
        <w:tab w:val="center" w:pos="4154"/>
        <w:tab w:val="right" w:pos="8306"/>
      </w:tabs>
      <w:spacing w:after="120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0">
    <w:name w:val="二级无标题条"/>
    <w:basedOn w:val="afa"/>
    <w:uiPriority w:val="99"/>
    <w:qFormat/>
    <w:pPr>
      <w:numPr>
        <w:ilvl w:val="3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1">
    <w:name w:val="三级无标题条"/>
    <w:basedOn w:val="afa"/>
    <w:uiPriority w:val="99"/>
    <w:qFormat/>
    <w:pPr>
      <w:numPr>
        <w:ilvl w:val="4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d">
    <w:name w:val="数字编号列项（二级）"/>
    <w:qFormat/>
    <w:pPr>
      <w:numPr>
        <w:ilvl w:val="1"/>
        <w:numId w:val="6"/>
      </w:numPr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2">
    <w:name w:val="四级无标题条"/>
    <w:basedOn w:val="afa"/>
    <w:uiPriority w:val="99"/>
    <w:qFormat/>
    <w:pPr>
      <w:numPr>
        <w:ilvl w:val="5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3">
    <w:name w:val="五级无标题条"/>
    <w:basedOn w:val="afa"/>
    <w:uiPriority w:val="99"/>
    <w:qFormat/>
    <w:pPr>
      <w:numPr>
        <w:ilvl w:val="6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">
    <w:name w:val="一级无标题条"/>
    <w:basedOn w:val="afa"/>
    <w:uiPriority w:val="99"/>
    <w:qFormat/>
    <w:pPr>
      <w:numPr>
        <w:ilvl w:val="2"/>
        <w:numId w:val="5"/>
      </w:numPr>
    </w:pPr>
    <w:rPr>
      <w:rFonts w:ascii="Times New Roman" w:eastAsia="宋体" w:hAnsi="Times New Roman" w:cs="Times New Roman"/>
      <w:szCs w:val="24"/>
    </w:rPr>
  </w:style>
  <w:style w:type="paragraph" w:customStyle="1" w:styleId="ac">
    <w:name w:val="字母编号列项（一级）"/>
    <w:qFormat/>
    <w:pPr>
      <w:numPr>
        <w:numId w:val="6"/>
      </w:numPr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e">
    <w:name w:val="编号列项（三级）"/>
    <w:qFormat/>
    <w:pPr>
      <w:numPr>
        <w:ilvl w:val="2"/>
        <w:numId w:val="6"/>
      </w:numPr>
    </w:pPr>
    <w:rPr>
      <w:rFonts w:ascii="宋体"/>
      <w:sz w:val="21"/>
    </w:rPr>
  </w:style>
  <w:style w:type="paragraph" w:styleId="affc">
    <w:name w:val="List Paragraph"/>
    <w:basedOn w:val="afa"/>
    <w:uiPriority w:val="34"/>
    <w:qFormat/>
    <w:pPr>
      <w:ind w:firstLineChars="200" w:firstLine="420"/>
    </w:pPr>
  </w:style>
  <w:style w:type="paragraph" w:customStyle="1" w:styleId="affd">
    <w:name w:val="二级无"/>
    <w:basedOn w:val="a6"/>
    <w:qFormat/>
    <w:pPr>
      <w:spacing w:beforeLines="0" w:before="0" w:afterLines="0" w:after="0"/>
    </w:pPr>
    <w:rPr>
      <w:rFonts w:ascii="宋体" w:eastAsia="宋体"/>
    </w:rPr>
  </w:style>
  <w:style w:type="paragraph" w:customStyle="1" w:styleId="af1">
    <w:name w:val="正文表标题"/>
    <w:next w:val="aff6"/>
    <w:qFormat/>
    <w:pPr>
      <w:numPr>
        <w:numId w:val="7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 w:hAnsi="Calibri"/>
      <w:sz w:val="21"/>
    </w:rPr>
  </w:style>
  <w:style w:type="paragraph" w:customStyle="1" w:styleId="af9">
    <w:name w:val="注："/>
    <w:next w:val="aff6"/>
    <w:qFormat/>
    <w:pPr>
      <w:widowControl w:val="0"/>
      <w:numPr>
        <w:numId w:val="8"/>
      </w:numPr>
      <w:autoSpaceDE w:val="0"/>
      <w:autoSpaceDN w:val="0"/>
      <w:jc w:val="both"/>
    </w:pPr>
    <w:rPr>
      <w:rFonts w:ascii="宋体" w:hAnsi="Calibri"/>
      <w:sz w:val="18"/>
      <w:szCs w:val="18"/>
    </w:rPr>
  </w:style>
  <w:style w:type="paragraph" w:customStyle="1" w:styleId="affe">
    <w:name w:val="四级无"/>
    <w:basedOn w:val="a8"/>
    <w:qFormat/>
    <w:pPr>
      <w:spacing w:beforeLines="0" w:before="0" w:afterLines="0" w:after="0"/>
    </w:pPr>
    <w:rPr>
      <w:rFonts w:ascii="宋体" w:eastAsia="宋体"/>
    </w:rPr>
  </w:style>
  <w:style w:type="paragraph" w:customStyle="1" w:styleId="afff">
    <w:name w:val="三级无"/>
    <w:basedOn w:val="a7"/>
    <w:qFormat/>
    <w:pPr>
      <w:spacing w:beforeLines="0" w:before="0" w:afterLines="0" w:after="0"/>
    </w:pPr>
    <w:rPr>
      <w:rFonts w:ascii="宋体" w:eastAsia="宋体"/>
    </w:rPr>
  </w:style>
  <w:style w:type="paragraph" w:customStyle="1" w:styleId="afff0">
    <w:name w:val="标准书眉_奇数页"/>
    <w:next w:val="af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76ADD-3FA4-421F-96EB-569BE292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820</Words>
  <Characters>4676</Characters>
  <Application>Microsoft Office Word</Application>
  <DocSecurity>0</DocSecurity>
  <Lines>38</Lines>
  <Paragraphs>10</Paragraphs>
  <ScaleCrop>false</ScaleCrop>
  <Company>Microsoft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</cp:lastModifiedBy>
  <cp:revision>36</cp:revision>
  <cp:lastPrinted>2015-07-14T12:40:00Z</cp:lastPrinted>
  <dcterms:created xsi:type="dcterms:W3CDTF">2015-07-14T12:20:00Z</dcterms:created>
  <dcterms:modified xsi:type="dcterms:W3CDTF">2020-06-04T09:22:00Z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