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860" w:rsidRDefault="00E963F2">
      <w:pPr>
        <w:rPr>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7.85pt;margin-top:-58.95pt;width:185.75pt;height:39.15pt;z-index:251676672;mso-width-percent:400;mso-height-percent:200;mso-width-percent:400;mso-height-percent:200;mso-width-relative:margin;mso-height-relative:margin" o:gfxdata="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fZkQ2QAAAAsBAAAPAAAAAAAAAAEAIAAAACIAAABkcnMvZG93bnJldi54bWxQ&#10;SwECFAAUAAAACACHTuJAeH3zp/YBAAACBAAADgAAAAAAAAABACAAAAAoAQAAZHJzL2Uyb0RvYy54&#10;bWxQSwUGAAAAAAYABgBZAQAAkAUAAAAA&#10;" strokecolor="white">
            <v:textbox style="mso-fit-shape-to-text:t">
              <w:txbxContent>
                <w:p w:rsidR="00626860" w:rsidRDefault="00E963F2">
                  <w:r>
                    <w:rPr>
                      <w:rFonts w:hint="eastAsia"/>
                      <w:sz w:val="28"/>
                      <w:szCs w:val="28"/>
                    </w:rPr>
                    <w:t xml:space="preserve">ICS </w:t>
                  </w:r>
                  <w:r>
                    <w:rPr>
                      <w:sz w:val="28"/>
                      <w:szCs w:val="28"/>
                    </w:rPr>
                    <w:t>.220.20</w:t>
                  </w:r>
                </w:p>
              </w:txbxContent>
            </v:textbox>
          </v:shape>
        </w:pict>
      </w:r>
    </w:p>
    <w:p w:rsidR="00626860" w:rsidRDefault="00E963F2">
      <w:pPr>
        <w:jc w:val="center"/>
        <w:rPr>
          <w:rFonts w:ascii="方正小标宋简体" w:eastAsia="方正小标宋简体"/>
          <w:sz w:val="56"/>
          <w:szCs w:val="72"/>
        </w:rPr>
      </w:pPr>
      <w:r>
        <w:rPr>
          <w:rFonts w:ascii="方正小标宋简体" w:eastAsia="方正小标宋简体" w:hint="eastAsia"/>
          <w:spacing w:val="240"/>
          <w:kern w:val="0"/>
          <w:sz w:val="56"/>
          <w:szCs w:val="72"/>
        </w:rPr>
        <w:t>团</w:t>
      </w:r>
      <w:r>
        <w:rPr>
          <w:rFonts w:ascii="方正小标宋简体" w:eastAsia="方正小标宋简体" w:hint="eastAsia"/>
          <w:spacing w:val="240"/>
          <w:kern w:val="0"/>
          <w:sz w:val="56"/>
          <w:szCs w:val="72"/>
        </w:rPr>
        <w:t xml:space="preserve">  </w:t>
      </w:r>
      <w:r>
        <w:rPr>
          <w:rFonts w:ascii="方正小标宋简体" w:eastAsia="方正小标宋简体" w:hint="eastAsia"/>
          <w:spacing w:val="240"/>
          <w:kern w:val="0"/>
          <w:sz w:val="56"/>
          <w:szCs w:val="72"/>
        </w:rPr>
        <w:t>体</w:t>
      </w:r>
      <w:r>
        <w:rPr>
          <w:rFonts w:ascii="方正小标宋简体" w:eastAsia="方正小标宋简体" w:hint="eastAsia"/>
          <w:spacing w:val="240"/>
          <w:kern w:val="0"/>
          <w:sz w:val="56"/>
          <w:szCs w:val="72"/>
        </w:rPr>
        <w:t xml:space="preserve">  </w:t>
      </w:r>
      <w:r>
        <w:rPr>
          <w:rFonts w:ascii="方正小标宋简体" w:eastAsia="方正小标宋简体" w:hint="eastAsia"/>
          <w:spacing w:val="240"/>
          <w:kern w:val="0"/>
          <w:sz w:val="56"/>
          <w:szCs w:val="72"/>
        </w:rPr>
        <w:t>标</w:t>
      </w:r>
      <w:r>
        <w:rPr>
          <w:rFonts w:ascii="方正小标宋简体" w:eastAsia="方正小标宋简体" w:hint="eastAsia"/>
          <w:spacing w:val="240"/>
          <w:kern w:val="0"/>
          <w:sz w:val="56"/>
          <w:szCs w:val="72"/>
        </w:rPr>
        <w:t xml:space="preserve">  </w:t>
      </w:r>
      <w:r>
        <w:rPr>
          <w:rFonts w:ascii="方正小标宋简体" w:eastAsia="方正小标宋简体" w:hint="eastAsia"/>
          <w:kern w:val="0"/>
          <w:sz w:val="56"/>
          <w:szCs w:val="72"/>
        </w:rPr>
        <w:t>准</w:t>
      </w:r>
    </w:p>
    <w:p w:rsidR="00626860" w:rsidRDefault="00E963F2">
      <w:pPr>
        <w:jc w:val="right"/>
        <w:rPr>
          <w:rFonts w:ascii="微软雅黑" w:eastAsia="微软雅黑" w:hAnsi="微软雅黑" w:cs="Times New Roman"/>
        </w:rPr>
      </w:pPr>
      <w:r>
        <w:rPr>
          <w:rFonts w:ascii="Times New Roman" w:eastAsia="方正小标宋简体" w:hAnsi="Times New Roman" w:cs="Times New Roman" w:hint="eastAsia"/>
          <w:b/>
          <w:spacing w:val="6"/>
          <w:sz w:val="32"/>
          <w:szCs w:val="32"/>
        </w:rPr>
        <w:t>T/</w:t>
      </w:r>
      <w:r>
        <w:rPr>
          <w:rFonts w:ascii="Times New Roman" w:eastAsia="方正小标宋简体" w:hAnsi="Times New Roman" w:cs="Times New Roman"/>
          <w:b/>
          <w:spacing w:val="6"/>
          <w:sz w:val="32"/>
          <w:szCs w:val="32"/>
        </w:rPr>
        <w:t>C</w:t>
      </w:r>
      <w:r w:rsidR="00CC6A71">
        <w:rPr>
          <w:rFonts w:ascii="Times New Roman" w:eastAsia="方正小标宋简体" w:hAnsi="Times New Roman" w:cs="Times New Roman" w:hint="eastAsia"/>
          <w:b/>
          <w:spacing w:val="6"/>
          <w:sz w:val="32"/>
          <w:szCs w:val="32"/>
        </w:rPr>
        <w:t>S</w:t>
      </w:r>
      <w:bookmarkStart w:id="0" w:name="_GoBack"/>
      <w:bookmarkEnd w:id="0"/>
      <w:r>
        <w:rPr>
          <w:rFonts w:ascii="Times New Roman" w:eastAsia="方正小标宋简体" w:hAnsi="Times New Roman" w:cs="Times New Roman" w:hint="eastAsia"/>
          <w:b/>
          <w:spacing w:val="6"/>
          <w:sz w:val="32"/>
          <w:szCs w:val="32"/>
        </w:rPr>
        <w:t>TE</w:t>
      </w:r>
      <w:r>
        <w:rPr>
          <w:rFonts w:ascii="微软雅黑" w:eastAsia="微软雅黑" w:hAnsi="微软雅黑" w:cs="Times New Roman" w:hint="eastAsia"/>
          <w:spacing w:val="6"/>
          <w:sz w:val="28"/>
          <w:szCs w:val="28"/>
        </w:rPr>
        <w:t xml:space="preserve"> XXXX</w:t>
      </w:r>
      <w:r>
        <w:rPr>
          <w:rFonts w:ascii="微软雅黑" w:eastAsia="微软雅黑" w:hAnsi="微软雅黑" w:cs="Times New Roman" w:hint="eastAsia"/>
          <w:spacing w:val="6"/>
          <w:sz w:val="28"/>
          <w:szCs w:val="28"/>
        </w:rPr>
        <w:t>—</w:t>
      </w:r>
      <w:r>
        <w:rPr>
          <w:rFonts w:ascii="微软雅黑" w:eastAsia="微软雅黑" w:hAnsi="微软雅黑" w:cs="Times New Roman" w:hint="eastAsia"/>
          <w:spacing w:val="6"/>
          <w:sz w:val="28"/>
          <w:szCs w:val="28"/>
        </w:rPr>
        <w:t>2020</w:t>
      </w:r>
    </w:p>
    <w:p w:rsidR="00626860" w:rsidRDefault="00E963F2">
      <w:r>
        <w:pict>
          <v:shapetype id="_x0000_t32" coordsize="21600,21600" o:spt="32" o:oned="t" path="m,l21600,21600e" filled="f">
            <v:path arrowok="t" fillok="f" o:connecttype="none"/>
            <o:lock v:ext="edit" shapetype="t"/>
          </v:shapetype>
          <v:shape id="自选图形 2" o:spid="_x0000_s1028" type="#_x0000_t32" style="position:absolute;left:0;text-align:left;margin-left:-8.1pt;margin-top:6pt;width:480.2pt;height:0;z-index:251659264;mso-width-relative:page;mso-height-relative:page" o:gfxdata="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dcmDTWAAAACQEAAA8AAAAAAAAA&#10;AQAgAAAAIgAAAGRycy9kb3ducmV2LnhtbFBLAQIUABQAAAAIAIdO4kDqdkmh2gEAAJUDAAAOAAAA&#10;AAAAAAEAIAAAACUBAABkcnMvZTJvRG9jLnhtbFBLBQYAAAAABgAGAFkBAABxBQAAAAA=&#10;"/>
        </w:pict>
      </w:r>
    </w:p>
    <w:p w:rsidR="00626860" w:rsidRDefault="00626860"/>
    <w:p w:rsidR="00626860" w:rsidRDefault="00626860"/>
    <w:p w:rsidR="00626860" w:rsidRDefault="00626860"/>
    <w:p w:rsidR="00626860" w:rsidRDefault="00626860"/>
    <w:p w:rsidR="00626860" w:rsidRDefault="00626860"/>
    <w:p w:rsidR="00626860" w:rsidRDefault="00626860"/>
    <w:p w:rsidR="00626860" w:rsidRDefault="00E963F2">
      <w:pPr>
        <w:spacing w:beforeLines="50" w:before="156" w:afterLines="50" w:after="156" w:line="360" w:lineRule="auto"/>
        <w:jc w:val="center"/>
        <w:rPr>
          <w:rFonts w:ascii="黑体" w:eastAsia="黑体" w:hAnsiTheme="minorEastAsia"/>
          <w:b/>
          <w:sz w:val="52"/>
          <w:szCs w:val="52"/>
        </w:rPr>
      </w:pPr>
      <w:r>
        <w:rPr>
          <w:rFonts w:ascii="黑体" w:eastAsia="黑体" w:hAnsiTheme="minorEastAsia" w:hint="eastAsia"/>
          <w:b/>
          <w:sz w:val="52"/>
          <w:szCs w:val="52"/>
        </w:rPr>
        <w:t>氢燃料电池公交车运营管理</w:t>
      </w:r>
    </w:p>
    <w:p w:rsidR="00626860" w:rsidRDefault="00E963F2">
      <w:pPr>
        <w:spacing w:beforeLines="50" w:before="156" w:afterLines="50" w:after="156" w:line="360" w:lineRule="auto"/>
        <w:jc w:val="center"/>
        <w:rPr>
          <w:rFonts w:ascii="黑体" w:eastAsia="黑体" w:hAnsiTheme="minorEastAsia" w:cs="Times New Roman"/>
          <w:sz w:val="36"/>
          <w:szCs w:val="36"/>
        </w:rPr>
      </w:pPr>
      <w:r>
        <w:rPr>
          <w:rFonts w:ascii="黑体" w:eastAsia="黑体" w:hAnsiTheme="minorEastAsia" w:cs="Times New Roman" w:hint="eastAsia"/>
          <w:sz w:val="36"/>
          <w:szCs w:val="36"/>
        </w:rPr>
        <w:t>Regulations for operation management of hydrogen fuel cell bus</w:t>
      </w:r>
    </w:p>
    <w:p w:rsidR="00626860" w:rsidRDefault="00E963F2">
      <w:pPr>
        <w:spacing w:beforeLines="50" w:before="156" w:afterLines="50" w:after="156" w:line="360" w:lineRule="auto"/>
        <w:jc w:val="center"/>
        <w:rPr>
          <w:rFonts w:ascii="黑体" w:eastAsia="黑体" w:hAnsiTheme="minorEastAsia"/>
          <w:sz w:val="20"/>
          <w:szCs w:val="24"/>
        </w:rPr>
      </w:pPr>
      <w:r>
        <w:rPr>
          <w:rFonts w:ascii="黑体" w:eastAsia="黑体" w:hAnsiTheme="minorEastAsia" w:cs="Times New Roman" w:hint="eastAsia"/>
          <w:sz w:val="24"/>
          <w:szCs w:val="36"/>
        </w:rPr>
        <w:t>（征求意见稿）</w:t>
      </w:r>
    </w:p>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626860"/>
    <w:p w:rsidR="00626860" w:rsidRDefault="00E963F2">
      <w:pPr>
        <w:rPr>
          <w:rFonts w:ascii="微软雅黑" w:eastAsia="微软雅黑" w:hAnsi="微软雅黑" w:cs="Times New Roman"/>
          <w:spacing w:val="6"/>
          <w:sz w:val="28"/>
          <w:szCs w:val="28"/>
        </w:rPr>
      </w:pPr>
      <w:r>
        <w:rPr>
          <w:rFonts w:ascii="微软雅黑" w:eastAsia="微软雅黑" w:hAnsi="微软雅黑" w:cs="Times New Roman" w:hint="eastAsia"/>
          <w:spacing w:val="6"/>
          <w:sz w:val="28"/>
          <w:szCs w:val="28"/>
        </w:rPr>
        <w:t xml:space="preserve">2020-XX-XX </w:t>
      </w:r>
      <w:r>
        <w:rPr>
          <w:rFonts w:ascii="黑体" w:eastAsia="黑体" w:hAnsi="黑体" w:cs="Times New Roman" w:hint="eastAsia"/>
          <w:spacing w:val="6"/>
          <w:sz w:val="28"/>
          <w:szCs w:val="28"/>
        </w:rPr>
        <w:t>发布</w:t>
      </w:r>
      <w:r>
        <w:rPr>
          <w:rFonts w:ascii="微软雅黑" w:eastAsia="微软雅黑" w:hAnsi="微软雅黑" w:cs="Times New Roman" w:hint="eastAsia"/>
          <w:spacing w:val="6"/>
          <w:sz w:val="28"/>
          <w:szCs w:val="28"/>
        </w:rPr>
        <w:t xml:space="preserve">                             2020-XX-XX </w:t>
      </w:r>
      <w:r>
        <w:rPr>
          <w:rFonts w:ascii="黑体" w:eastAsia="黑体" w:hAnsi="黑体" w:cs="Times New Roman" w:hint="eastAsia"/>
          <w:spacing w:val="6"/>
          <w:sz w:val="28"/>
          <w:szCs w:val="28"/>
        </w:rPr>
        <w:t>实施</w:t>
      </w:r>
    </w:p>
    <w:p w:rsidR="00626860" w:rsidRDefault="00E963F2">
      <w:pPr>
        <w:ind w:firstLineChars="100" w:firstLine="520"/>
        <w:jc w:val="center"/>
        <w:rPr>
          <w:rFonts w:ascii="方正小标宋简体" w:eastAsia="方正小标宋简体"/>
          <w:sz w:val="52"/>
          <w:szCs w:val="52"/>
        </w:rPr>
        <w:sectPr w:rsidR="00626860">
          <w:headerReference w:type="even" r:id="rId11"/>
          <w:headerReference w:type="default" r:id="rId12"/>
          <w:pgSz w:w="11907" w:h="16839"/>
          <w:pgMar w:top="1418" w:right="1134" w:bottom="1134" w:left="1418" w:header="993" w:footer="851" w:gutter="0"/>
          <w:pgNumType w:fmt="upperRoman"/>
          <w:cols w:space="425"/>
          <w:docGrid w:type="lines" w:linePitch="312"/>
        </w:sectPr>
      </w:pPr>
      <w:r>
        <w:rPr>
          <w:rFonts w:ascii="方正小标宋简体" w:eastAsia="方正小标宋简体" w:hint="eastAsia"/>
          <w:sz w:val="52"/>
          <w:szCs w:val="52"/>
        </w:rPr>
        <w:t>中国技术经济学</w:t>
      </w:r>
      <w:r>
        <w:rPr>
          <w:rFonts w:ascii="方正小标宋简体" w:eastAsia="方正小标宋简体" w:hint="eastAsia"/>
          <w:sz w:val="52"/>
          <w:szCs w:val="52"/>
        </w:rPr>
        <w:t>会</w:t>
      </w:r>
      <w:r>
        <w:rPr>
          <w:rFonts w:ascii="方正小标宋简体" w:eastAsia="方正小标宋简体"/>
          <w:sz w:val="52"/>
          <w:szCs w:val="52"/>
        </w:rPr>
        <w:pict>
          <v:shape id="_x0000_s1027" type="#_x0000_t32" style="position:absolute;left:0;text-align:left;margin-left:-4.7pt;margin-top:3.5pt;width:462.55pt;height:0;z-index:251660288;mso-position-horizontal-relative:text;mso-position-vertical-relative:text;mso-width-relative:page;mso-height-relative:page" o:gfxdata="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z/iZb0gAAAAYBAAAPAAAAAAAAAAEA&#10;IAAAACIAAABkcnMvZG93bnJldi54bWxQSwECFAAUAAAACACHTuJAtjOAa9wBAACWAwAADgAAAAAA&#10;AAABACAAAAAhAQAAZHJzL2Uyb0RvYy54bWxQSwUGAAAAAAYABgBZAQAAbwUAAAAA&#10;" strokeweight="1.5pt"/>
        </w:pict>
      </w:r>
      <w:r>
        <w:rPr>
          <w:rFonts w:ascii="方正小标宋简体" w:eastAsia="方正小标宋简体" w:hint="eastAsia"/>
          <w:sz w:val="52"/>
          <w:szCs w:val="52"/>
        </w:rPr>
        <w:t xml:space="preserve">  </w:t>
      </w:r>
      <w:r>
        <w:rPr>
          <w:rFonts w:ascii="方正小标宋简体" w:eastAsia="方正小标宋简体" w:hint="eastAsia"/>
          <w:sz w:val="52"/>
          <w:szCs w:val="52"/>
        </w:rPr>
        <w:t>发</w:t>
      </w:r>
      <w:r>
        <w:rPr>
          <w:rFonts w:ascii="方正小标宋简体" w:eastAsia="方正小标宋简体" w:hint="eastAsia"/>
          <w:sz w:val="52"/>
          <w:szCs w:val="52"/>
        </w:rPr>
        <w:t xml:space="preserve">  </w:t>
      </w:r>
      <w:r>
        <w:rPr>
          <w:rFonts w:ascii="方正小标宋简体" w:eastAsia="方正小标宋简体" w:hint="eastAsia"/>
          <w:sz w:val="52"/>
          <w:szCs w:val="52"/>
        </w:rPr>
        <w:t>布</w:t>
      </w:r>
    </w:p>
    <w:p w:rsidR="00626860" w:rsidRDefault="00E963F2">
      <w:pPr>
        <w:pStyle w:val="aff4"/>
        <w:jc w:val="both"/>
        <w:rPr>
          <w:rFonts w:ascii="Arial" w:hAnsi="Arial" w:cs="Arial"/>
        </w:rPr>
      </w:pPr>
      <w:r>
        <w:rPr>
          <w:rFonts w:ascii="Arial" w:hAnsi="Arial" w:cs="Arial"/>
        </w:rPr>
        <w:lastRenderedPageBreak/>
        <w:t xml:space="preserve">                         </w:t>
      </w:r>
      <w:bookmarkStart w:id="1" w:name="_Toc15266114"/>
      <w:r>
        <w:rPr>
          <w:rFonts w:ascii="Arial" w:hAnsi="Arial" w:cs="Arial" w:hint="eastAsia"/>
        </w:rPr>
        <w:t>前</w:t>
      </w:r>
      <w:r>
        <w:rPr>
          <w:rFonts w:ascii="Arial" w:hAnsi="Arial" w:cs="Arial"/>
        </w:rPr>
        <w:t xml:space="preserve">    </w:t>
      </w:r>
      <w:r>
        <w:rPr>
          <w:rFonts w:ascii="Arial" w:hAnsi="Arial" w:cs="Arial" w:hint="eastAsia"/>
        </w:rPr>
        <w:t>言</w:t>
      </w:r>
      <w:bookmarkEnd w:id="1"/>
    </w:p>
    <w:p w:rsidR="00626860" w:rsidRDefault="00E963F2">
      <w:pPr>
        <w:spacing w:line="360" w:lineRule="auto"/>
        <w:ind w:firstLine="420"/>
        <w:rPr>
          <w:rFonts w:ascii="Arial" w:hAnsi="Arial" w:cs="Arial"/>
        </w:rPr>
      </w:pPr>
      <w:r>
        <w:rPr>
          <w:rFonts w:ascii="Arial" w:hAnsi="Arial" w:cs="Arial" w:hint="eastAsia"/>
        </w:rPr>
        <w:t>本标准按照</w:t>
      </w:r>
      <w:r>
        <w:rPr>
          <w:rFonts w:ascii="Arial" w:hAnsi="Arial" w:cs="Arial" w:hint="eastAsia"/>
        </w:rPr>
        <w:t>GB/T 1.1-2009</w:t>
      </w:r>
      <w:r>
        <w:rPr>
          <w:rFonts w:ascii="Arial" w:hAnsi="Arial" w:cs="Arial" w:hint="eastAsia"/>
        </w:rPr>
        <w:t>给出的规则起草。</w:t>
      </w:r>
    </w:p>
    <w:p w:rsidR="00626860" w:rsidRDefault="00E963F2">
      <w:pPr>
        <w:spacing w:line="360" w:lineRule="auto"/>
        <w:ind w:firstLine="420"/>
        <w:rPr>
          <w:rFonts w:ascii="Arial" w:hAnsi="Arial" w:cs="Arial"/>
        </w:rPr>
      </w:pPr>
      <w:r>
        <w:rPr>
          <w:rFonts w:ascii="Arial" w:hAnsi="Arial" w:cs="Arial" w:hint="eastAsia"/>
        </w:rPr>
        <w:t>本规范由中国节能协会和中国技术经济学会归口并联合发布。</w:t>
      </w:r>
    </w:p>
    <w:p w:rsidR="00626860" w:rsidRDefault="00E963F2">
      <w:pPr>
        <w:spacing w:line="360" w:lineRule="auto"/>
        <w:ind w:firstLine="420"/>
        <w:rPr>
          <w:rFonts w:ascii="Arial" w:hAnsi="Arial" w:cs="Arial"/>
        </w:rPr>
      </w:pPr>
      <w:r>
        <w:rPr>
          <w:rFonts w:ascii="Arial" w:hAnsi="Arial" w:cs="Arial" w:hint="eastAsia"/>
        </w:rPr>
        <w:t>主要起草单位：佛山市质量和标准化研究院、佛山绿色发展创新研究院</w:t>
      </w:r>
      <w:r>
        <w:rPr>
          <w:rFonts w:ascii="Arial" w:hAnsi="Arial" w:cs="Arial" w:hint="eastAsia"/>
        </w:rPr>
        <w:t>等</w:t>
      </w:r>
      <w:r>
        <w:rPr>
          <w:rFonts w:ascii="Arial" w:hAnsi="Arial" w:cs="Arial" w:hint="eastAsia"/>
        </w:rPr>
        <w:t>。</w:t>
      </w:r>
    </w:p>
    <w:p w:rsidR="00626860" w:rsidRDefault="00E963F2">
      <w:pPr>
        <w:spacing w:line="360" w:lineRule="auto"/>
        <w:ind w:firstLine="420"/>
        <w:rPr>
          <w:rFonts w:ascii="Arial" w:hAnsi="Arial" w:cs="Arial"/>
        </w:rPr>
      </w:pPr>
      <w:r>
        <w:rPr>
          <w:rFonts w:ascii="Arial" w:hAnsi="Arial" w:cs="Arial" w:hint="eastAsia"/>
        </w:rPr>
        <w:t>主要起草人：</w:t>
      </w:r>
      <w:r>
        <w:rPr>
          <w:rFonts w:ascii="Arial" w:hAnsi="Arial" w:cs="Arial" w:hint="eastAsia"/>
        </w:rPr>
        <w:t>待定</w:t>
      </w:r>
      <w:r>
        <w:rPr>
          <w:rFonts w:ascii="Arial" w:hAnsi="Arial" w:cs="Arial" w:hint="eastAsia"/>
        </w:rPr>
        <w:t>。</w:t>
      </w:r>
    </w:p>
    <w:p w:rsidR="00626860" w:rsidRDefault="00E963F2">
      <w:pPr>
        <w:spacing w:line="360" w:lineRule="auto"/>
        <w:ind w:firstLine="420"/>
        <w:rPr>
          <w:rFonts w:ascii="Arial" w:hAnsi="Arial" w:cs="Arial"/>
        </w:rPr>
        <w:sectPr w:rsidR="00626860">
          <w:headerReference w:type="default" r:id="rId13"/>
          <w:pgSz w:w="11907" w:h="16839"/>
          <w:pgMar w:top="1418" w:right="1134" w:bottom="1134" w:left="1418" w:header="993" w:footer="851" w:gutter="0"/>
          <w:pgNumType w:fmt="upperRoman"/>
          <w:cols w:space="425"/>
          <w:docGrid w:type="lines" w:linePitch="312"/>
        </w:sectPr>
      </w:pPr>
      <w:r>
        <w:rPr>
          <w:rFonts w:ascii="Arial" w:hAnsi="Arial" w:cs="Arial" w:hint="eastAsia"/>
        </w:rPr>
        <w:t>本规范为首次发布。</w:t>
      </w:r>
    </w:p>
    <w:p w:rsidR="00626860" w:rsidRDefault="00E963F2">
      <w:pPr>
        <w:pStyle w:val="aff2"/>
      </w:pPr>
      <w:bookmarkStart w:id="2" w:name="_Toc382570709"/>
      <w:r>
        <w:rPr>
          <w:rFonts w:hint="eastAsia"/>
        </w:rPr>
        <w:lastRenderedPageBreak/>
        <w:t>氢</w:t>
      </w:r>
      <w:bookmarkStart w:id="3" w:name="StandardName"/>
      <w:r>
        <w:rPr>
          <w:rFonts w:hint="eastAsia"/>
        </w:rPr>
        <w:t>燃料电池公交车运营管理规范</w:t>
      </w:r>
      <w:bookmarkEnd w:id="3"/>
    </w:p>
    <w:p w:rsidR="00626860" w:rsidRDefault="00E963F2">
      <w:pPr>
        <w:pStyle w:val="a4"/>
        <w:spacing w:before="312" w:after="312"/>
        <w:ind w:left="0"/>
      </w:pPr>
      <w:bookmarkStart w:id="4" w:name="_Toc23912"/>
      <w:bookmarkStart w:id="5" w:name="_Toc22264"/>
      <w:bookmarkStart w:id="6" w:name="_Toc12795"/>
      <w:bookmarkStart w:id="7" w:name="_Toc17972"/>
      <w:r>
        <w:rPr>
          <w:rFonts w:hint="eastAsia"/>
        </w:rPr>
        <w:t>范围</w:t>
      </w:r>
      <w:bookmarkEnd w:id="4"/>
      <w:bookmarkEnd w:id="5"/>
      <w:bookmarkEnd w:id="6"/>
      <w:bookmarkEnd w:id="7"/>
    </w:p>
    <w:p w:rsidR="00626860" w:rsidRDefault="00E963F2">
      <w:pPr>
        <w:ind w:firstLineChars="200" w:firstLine="420"/>
        <w:rPr>
          <w:rFonts w:ascii="宋体" w:hAnsi="宋体" w:cs="宋体"/>
        </w:rPr>
      </w:pPr>
      <w:r>
        <w:rPr>
          <w:rFonts w:ascii="宋体" w:hAnsi="宋体" w:cs="宋体" w:hint="eastAsia"/>
        </w:rPr>
        <w:t>本标准规定了氢燃料电池公交车运营管理中术语和定义，一般要求、场站管理、车辆管理、人员要求、安全管理、服务监督管理和标志标识。</w:t>
      </w:r>
    </w:p>
    <w:p w:rsidR="00626860" w:rsidRDefault="00E963F2">
      <w:pPr>
        <w:ind w:firstLineChars="200" w:firstLine="420"/>
      </w:pPr>
      <w:r>
        <w:rPr>
          <w:rFonts w:ascii="宋体" w:hAnsi="宋体" w:cs="宋体" w:hint="eastAsia"/>
        </w:rPr>
        <w:t>本标准适用于压缩</w:t>
      </w:r>
      <w:proofErr w:type="gramStart"/>
      <w:r>
        <w:rPr>
          <w:rFonts w:ascii="宋体" w:hAnsi="宋体" w:cs="宋体" w:hint="eastAsia"/>
        </w:rPr>
        <w:t>氢系统</w:t>
      </w:r>
      <w:proofErr w:type="gramEnd"/>
      <w:r>
        <w:rPr>
          <w:rFonts w:ascii="宋体" w:hAnsi="宋体" w:cs="宋体" w:hint="eastAsia"/>
        </w:rPr>
        <w:t>的额定工作压力不大于</w:t>
      </w:r>
      <w:r>
        <w:rPr>
          <w:rFonts w:ascii="宋体" w:hAnsi="宋体" w:cs="宋体" w:hint="eastAsia"/>
        </w:rPr>
        <w:t>35MPa</w:t>
      </w:r>
      <w:r>
        <w:rPr>
          <w:rFonts w:ascii="宋体" w:hAnsi="宋体" w:cs="宋体" w:hint="eastAsia"/>
        </w:rPr>
        <w:t>的氢燃料电池公交车运营服务管理。</w:t>
      </w:r>
    </w:p>
    <w:p w:rsidR="00626860" w:rsidRDefault="00E963F2">
      <w:pPr>
        <w:pStyle w:val="a4"/>
        <w:spacing w:before="312" w:after="312"/>
        <w:ind w:left="0"/>
      </w:pPr>
      <w:bookmarkStart w:id="8" w:name="_Toc17672"/>
      <w:bookmarkStart w:id="9" w:name="_Toc26187"/>
      <w:bookmarkStart w:id="10" w:name="_Toc2150"/>
      <w:bookmarkStart w:id="11" w:name="_Toc31386"/>
      <w:r>
        <w:rPr>
          <w:rFonts w:hint="eastAsia"/>
        </w:rPr>
        <w:t>规范性引用文件</w:t>
      </w:r>
      <w:bookmarkEnd w:id="8"/>
      <w:bookmarkEnd w:id="9"/>
      <w:bookmarkEnd w:id="10"/>
      <w:bookmarkEnd w:id="11"/>
    </w:p>
    <w:p w:rsidR="00626860" w:rsidRDefault="00E963F2">
      <w:pPr>
        <w:pStyle w:val="aff3"/>
      </w:pPr>
      <w:r>
        <w:rPr>
          <w:rFonts w:hint="eastAsia"/>
        </w:rPr>
        <w:t>下列文件对于本文件的应用是必不可少的。凡是注日期的引用文件，仅所注日期的版本适用于本文件。凡是不注日期的引用文件，其最新版本（包括所有的修改单）适用于本文件。</w:t>
      </w:r>
    </w:p>
    <w:p w:rsidR="00626860" w:rsidRDefault="00E963F2">
      <w:pPr>
        <w:ind w:firstLineChars="200" w:firstLine="420"/>
      </w:pPr>
      <w:r>
        <w:rPr>
          <w:rFonts w:ascii="宋体" w:hAnsi="宋体" w:cs="宋体" w:hint="eastAsia"/>
        </w:rPr>
        <w:t>GB 3836.1</w:t>
      </w:r>
      <w:r>
        <w:rPr>
          <w:rFonts w:ascii="宋体" w:hAnsi="宋体" w:cs="宋体" w:hint="eastAsia"/>
          <w:szCs w:val="24"/>
        </w:rPr>
        <w:t xml:space="preserve"> </w:t>
      </w:r>
      <w:r>
        <w:rPr>
          <w:rFonts w:ascii="宋体" w:hAnsi="宋体" w:cs="宋体"/>
          <w:szCs w:val="24"/>
        </w:rPr>
        <w:t xml:space="preserve"> </w:t>
      </w:r>
      <w:r>
        <w:rPr>
          <w:rFonts w:ascii="宋体" w:eastAsia="宋体" w:hAnsi="宋体" w:cs="宋体" w:hint="eastAsia"/>
          <w:szCs w:val="24"/>
        </w:rPr>
        <w:t>爆炸性环境</w:t>
      </w:r>
      <w:r>
        <w:rPr>
          <w:rFonts w:ascii="宋体" w:eastAsia="宋体" w:hAnsi="宋体" w:cs="宋体" w:hint="eastAsia"/>
          <w:szCs w:val="24"/>
        </w:rPr>
        <w:t xml:space="preserve"> </w:t>
      </w:r>
      <w:r>
        <w:rPr>
          <w:rFonts w:ascii="宋体" w:eastAsia="宋体" w:hAnsi="宋体" w:cs="宋体" w:hint="eastAsia"/>
          <w:szCs w:val="24"/>
        </w:rPr>
        <w:t>第</w:t>
      </w:r>
      <w:r>
        <w:rPr>
          <w:rFonts w:ascii="宋体" w:eastAsia="宋体" w:hAnsi="宋体" w:cs="宋体" w:hint="eastAsia"/>
          <w:szCs w:val="24"/>
        </w:rPr>
        <w:t>1</w:t>
      </w:r>
      <w:r>
        <w:rPr>
          <w:rFonts w:ascii="宋体" w:eastAsia="宋体" w:hAnsi="宋体" w:cs="宋体" w:hint="eastAsia"/>
          <w:szCs w:val="24"/>
        </w:rPr>
        <w:t>部分：设备</w:t>
      </w:r>
      <w:r>
        <w:rPr>
          <w:rFonts w:ascii="宋体" w:eastAsia="宋体" w:hAnsi="宋体" w:cs="宋体" w:hint="eastAsia"/>
          <w:szCs w:val="24"/>
        </w:rPr>
        <w:t xml:space="preserve"> </w:t>
      </w:r>
      <w:r>
        <w:rPr>
          <w:rFonts w:ascii="宋体" w:eastAsia="宋体" w:hAnsi="宋体" w:cs="宋体" w:hint="eastAsia"/>
          <w:szCs w:val="24"/>
        </w:rPr>
        <w:t>通用要求</w:t>
      </w:r>
    </w:p>
    <w:p w:rsidR="00626860" w:rsidRDefault="00E963F2">
      <w:pPr>
        <w:tabs>
          <w:tab w:val="center" w:pos="4201"/>
          <w:tab w:val="right" w:leader="dot" w:pos="9298"/>
        </w:tabs>
        <w:ind w:firstLineChars="200" w:firstLine="420"/>
        <w:rPr>
          <w:rFonts w:ascii="宋体" w:eastAsia="宋体" w:hAnsi="宋体" w:cs="宋体"/>
          <w:szCs w:val="24"/>
        </w:rPr>
      </w:pPr>
      <w:r>
        <w:rPr>
          <w:rFonts w:ascii="宋体" w:hAnsi="宋体" w:cs="宋体" w:hint="eastAsia"/>
          <w:szCs w:val="24"/>
        </w:rPr>
        <w:t xml:space="preserve">GB </w:t>
      </w:r>
      <w:r>
        <w:rPr>
          <w:rFonts w:ascii="宋体" w:hAnsi="宋体" w:cs="宋体" w:hint="eastAsia"/>
          <w:szCs w:val="24"/>
        </w:rPr>
        <w:t>4962</w:t>
      </w:r>
      <w:r>
        <w:rPr>
          <w:rFonts w:ascii="宋体" w:hAnsi="宋体" w:cs="宋体" w:hint="eastAsia"/>
          <w:szCs w:val="24"/>
        </w:rPr>
        <w:t xml:space="preserve">　氢气使用安全技术规程</w:t>
      </w:r>
    </w:p>
    <w:p w:rsidR="00626860" w:rsidRDefault="00E963F2">
      <w:pPr>
        <w:ind w:firstLineChars="200" w:firstLine="420"/>
        <w:rPr>
          <w:rFonts w:ascii="宋体" w:hAnsi="宋体" w:cs="宋体"/>
          <w:szCs w:val="24"/>
        </w:rPr>
      </w:pPr>
      <w:r>
        <w:rPr>
          <w:rFonts w:ascii="宋体" w:hAnsi="宋体" w:cs="宋体" w:hint="eastAsia"/>
          <w:szCs w:val="24"/>
        </w:rPr>
        <w:t>GB 7258</w:t>
      </w:r>
      <w:r>
        <w:rPr>
          <w:rFonts w:ascii="宋体" w:hAnsi="宋体" w:cs="宋体" w:hint="eastAsia"/>
          <w:szCs w:val="24"/>
        </w:rPr>
        <w:t xml:space="preserve">　机动车运行安全技术条件</w:t>
      </w:r>
    </w:p>
    <w:p w:rsidR="00626860" w:rsidRDefault="00E963F2">
      <w:pPr>
        <w:ind w:firstLineChars="200" w:firstLine="420"/>
        <w:rPr>
          <w:rFonts w:ascii="宋体" w:eastAsia="宋体" w:hAnsi="宋体" w:cs="宋体"/>
          <w:szCs w:val="24"/>
        </w:rPr>
      </w:pPr>
      <w:r>
        <w:rPr>
          <w:rFonts w:ascii="宋体" w:hAnsi="宋体" w:cs="宋体" w:hint="eastAsia"/>
          <w:szCs w:val="24"/>
        </w:rPr>
        <w:t>GB 12014</w:t>
      </w:r>
      <w:r>
        <w:rPr>
          <w:rFonts w:ascii="宋体" w:hAnsi="宋体" w:cs="宋体" w:hint="eastAsia"/>
          <w:szCs w:val="24"/>
        </w:rPr>
        <w:t xml:space="preserve">　防静电服</w:t>
      </w:r>
    </w:p>
    <w:p w:rsidR="00626860" w:rsidRDefault="00E963F2">
      <w:pPr>
        <w:ind w:firstLineChars="200" w:firstLine="420"/>
        <w:rPr>
          <w:rFonts w:ascii="宋体" w:hAnsi="宋体" w:cs="宋体"/>
          <w:szCs w:val="24"/>
        </w:rPr>
      </w:pPr>
      <w:r>
        <w:rPr>
          <w:rFonts w:ascii="宋体" w:hAnsi="宋体" w:cs="宋体" w:hint="eastAsia"/>
          <w:szCs w:val="24"/>
        </w:rPr>
        <w:t>GB/T 17242</w:t>
      </w:r>
      <w:r>
        <w:rPr>
          <w:rFonts w:ascii="宋体" w:hAnsi="宋体" w:cs="宋体" w:hint="eastAsia"/>
          <w:szCs w:val="24"/>
        </w:rPr>
        <w:t xml:space="preserve">　投诉处理指南</w:t>
      </w:r>
    </w:p>
    <w:p w:rsidR="00626860" w:rsidRDefault="00E963F2">
      <w:pPr>
        <w:ind w:firstLineChars="200" w:firstLine="420"/>
        <w:rPr>
          <w:rFonts w:ascii="宋体" w:hAnsi="宋体" w:cs="宋体"/>
          <w:szCs w:val="24"/>
        </w:rPr>
      </w:pPr>
      <w:r>
        <w:rPr>
          <w:rFonts w:ascii="宋体" w:hAnsi="宋体" w:cs="宋体" w:hint="eastAsia"/>
          <w:szCs w:val="24"/>
        </w:rPr>
        <w:t>GB/T 18344</w:t>
      </w:r>
      <w:r>
        <w:rPr>
          <w:rFonts w:ascii="宋体" w:hAnsi="宋体" w:cs="宋体" w:hint="eastAsia"/>
          <w:szCs w:val="24"/>
        </w:rPr>
        <w:t xml:space="preserve">　汽车维护、检测、诊断技术规范</w:t>
      </w:r>
    </w:p>
    <w:p w:rsidR="00626860" w:rsidRDefault="00E963F2">
      <w:pPr>
        <w:ind w:firstLineChars="200" w:firstLine="420"/>
        <w:rPr>
          <w:rFonts w:ascii="宋体" w:hAnsi="宋体" w:cs="宋体"/>
          <w:szCs w:val="24"/>
        </w:rPr>
      </w:pPr>
      <w:r>
        <w:rPr>
          <w:rFonts w:ascii="宋体" w:hAnsi="宋体" w:cs="宋体" w:hint="eastAsia"/>
          <w:szCs w:val="24"/>
        </w:rPr>
        <w:t>GB 21146</w:t>
      </w:r>
      <w:r>
        <w:rPr>
          <w:rFonts w:ascii="宋体" w:hAnsi="宋体" w:cs="宋体" w:hint="eastAsia"/>
          <w:szCs w:val="24"/>
        </w:rPr>
        <w:t xml:space="preserve">　个体防护装备</w:t>
      </w:r>
      <w:r>
        <w:rPr>
          <w:rFonts w:ascii="宋体" w:hAnsi="宋体" w:cs="宋体" w:hint="eastAsia"/>
          <w:szCs w:val="24"/>
        </w:rPr>
        <w:t xml:space="preserve"> </w:t>
      </w:r>
      <w:r>
        <w:rPr>
          <w:rFonts w:ascii="宋体" w:hAnsi="宋体" w:cs="宋体" w:hint="eastAsia"/>
          <w:szCs w:val="24"/>
        </w:rPr>
        <w:t>职业鞋</w:t>
      </w:r>
    </w:p>
    <w:p w:rsidR="00626860" w:rsidRDefault="00E963F2">
      <w:pPr>
        <w:ind w:firstLineChars="200" w:firstLine="420"/>
        <w:rPr>
          <w:rFonts w:ascii="宋体" w:hAnsi="宋体" w:cs="宋体"/>
          <w:szCs w:val="24"/>
        </w:rPr>
      </w:pPr>
      <w:r>
        <w:rPr>
          <w:rFonts w:ascii="宋体" w:hAnsi="宋体" w:cs="宋体" w:hint="eastAsia"/>
          <w:szCs w:val="24"/>
        </w:rPr>
        <w:t>GB/T 29729</w:t>
      </w:r>
      <w:r>
        <w:rPr>
          <w:rFonts w:ascii="宋体" w:hAnsi="宋体" w:cs="宋体" w:hint="eastAsia"/>
          <w:szCs w:val="24"/>
        </w:rPr>
        <w:t xml:space="preserve">　氢系统安全的基本要求</w:t>
      </w:r>
    </w:p>
    <w:p w:rsidR="00626860" w:rsidRDefault="00E963F2">
      <w:pPr>
        <w:ind w:firstLineChars="200" w:firstLine="420"/>
        <w:rPr>
          <w:rFonts w:ascii="宋体" w:hAnsi="宋体" w:cs="宋体"/>
          <w:szCs w:val="24"/>
        </w:rPr>
      </w:pPr>
      <w:r>
        <w:rPr>
          <w:rFonts w:ascii="宋体" w:hAnsi="宋体" w:cs="宋体" w:hint="eastAsia"/>
          <w:szCs w:val="24"/>
        </w:rPr>
        <w:t>GB/T 30012</w:t>
      </w:r>
      <w:r>
        <w:rPr>
          <w:rFonts w:ascii="宋体" w:hAnsi="宋体" w:cs="宋体" w:hint="eastAsia"/>
          <w:szCs w:val="24"/>
        </w:rPr>
        <w:t xml:space="preserve">　城市轨道交通运营管理规范</w:t>
      </w:r>
    </w:p>
    <w:p w:rsidR="00626860" w:rsidRDefault="00E963F2">
      <w:pPr>
        <w:tabs>
          <w:tab w:val="center" w:pos="4201"/>
          <w:tab w:val="right" w:leader="dot" w:pos="9298"/>
        </w:tabs>
        <w:ind w:firstLineChars="200" w:firstLine="420"/>
        <w:rPr>
          <w:rFonts w:ascii="宋体" w:hAnsi="宋体" w:cs="宋体"/>
          <w:szCs w:val="24"/>
        </w:rPr>
      </w:pPr>
      <w:r>
        <w:rPr>
          <w:rFonts w:ascii="宋体" w:hAnsi="宋体" w:cs="宋体" w:hint="eastAsia"/>
          <w:szCs w:val="24"/>
        </w:rPr>
        <w:t>GB/Z 34541</w:t>
      </w:r>
      <w:r>
        <w:rPr>
          <w:rFonts w:ascii="宋体" w:hAnsi="宋体" w:cs="宋体" w:hint="eastAsia"/>
          <w:szCs w:val="24"/>
        </w:rPr>
        <w:t xml:space="preserve">　氢能车辆加氢设施安全运行管理规程</w:t>
      </w:r>
    </w:p>
    <w:p w:rsidR="00626860" w:rsidRDefault="00E963F2">
      <w:pPr>
        <w:pStyle w:val="a4"/>
        <w:spacing w:before="312" w:after="312"/>
        <w:ind w:left="0"/>
      </w:pPr>
      <w:bookmarkStart w:id="12" w:name="_Toc5007"/>
      <w:bookmarkStart w:id="13" w:name="_Toc24432"/>
      <w:bookmarkStart w:id="14" w:name="_Toc15377"/>
      <w:bookmarkStart w:id="15" w:name="_Toc2677"/>
      <w:r>
        <w:rPr>
          <w:rFonts w:hint="eastAsia"/>
        </w:rPr>
        <w:t>术语和定义</w:t>
      </w:r>
      <w:bookmarkStart w:id="16" w:name="_Toc29670"/>
      <w:bookmarkStart w:id="17" w:name="_Toc9948"/>
      <w:bookmarkStart w:id="18" w:name="_Toc3765"/>
      <w:bookmarkStart w:id="19" w:name="_Toc21572"/>
      <w:bookmarkEnd w:id="12"/>
      <w:bookmarkEnd w:id="13"/>
      <w:bookmarkEnd w:id="14"/>
      <w:bookmarkEnd w:id="15"/>
      <w:bookmarkEnd w:id="16"/>
      <w:bookmarkEnd w:id="17"/>
      <w:bookmarkEnd w:id="18"/>
      <w:bookmarkEnd w:id="19"/>
    </w:p>
    <w:p w:rsidR="00626860" w:rsidRDefault="00626860">
      <w:pPr>
        <w:pStyle w:val="a5"/>
        <w:spacing w:before="156" w:after="156"/>
      </w:pPr>
      <w:bookmarkStart w:id="20" w:name="_Toc28269"/>
      <w:bookmarkStart w:id="21" w:name="_Toc20273"/>
      <w:bookmarkStart w:id="22" w:name="_Toc28316"/>
      <w:bookmarkStart w:id="23" w:name="_Toc3521"/>
    </w:p>
    <w:p w:rsidR="00626860" w:rsidRDefault="00E963F2">
      <w:pPr>
        <w:pStyle w:val="a5"/>
        <w:numPr>
          <w:ilvl w:val="0"/>
          <w:numId w:val="0"/>
        </w:numPr>
        <w:spacing w:before="156" w:after="156"/>
        <w:ind w:firstLineChars="200" w:firstLine="420"/>
      </w:pPr>
      <w:r>
        <w:rPr>
          <w:rFonts w:hint="eastAsia"/>
        </w:rPr>
        <w:t xml:space="preserve">运营单位　</w:t>
      </w:r>
      <w:r>
        <w:rPr>
          <w:rFonts w:hint="eastAsia"/>
        </w:rPr>
        <w:t>operation company</w:t>
      </w:r>
      <w:bookmarkEnd w:id="20"/>
      <w:bookmarkEnd w:id="21"/>
      <w:bookmarkEnd w:id="22"/>
      <w:bookmarkEnd w:id="23"/>
      <w:r>
        <w:rPr>
          <w:rFonts w:hint="eastAsia"/>
        </w:rPr>
        <w:t xml:space="preserve">　</w:t>
      </w:r>
    </w:p>
    <w:p w:rsidR="00626860" w:rsidRDefault="00E963F2">
      <w:pPr>
        <w:pStyle w:val="aff3"/>
      </w:pPr>
      <w:r>
        <w:rPr>
          <w:rFonts w:hint="eastAsia"/>
        </w:rPr>
        <w:t>经营</w:t>
      </w:r>
      <w:r>
        <w:rPr>
          <w:rFonts w:hAnsi="宋体" w:cs="宋体" w:hint="eastAsia"/>
          <w:szCs w:val="21"/>
        </w:rPr>
        <w:t>压缩</w:t>
      </w:r>
      <w:proofErr w:type="gramStart"/>
      <w:r>
        <w:rPr>
          <w:rFonts w:hAnsi="宋体" w:cs="宋体" w:hint="eastAsia"/>
          <w:szCs w:val="21"/>
        </w:rPr>
        <w:t>氢系统</w:t>
      </w:r>
      <w:proofErr w:type="gramEnd"/>
      <w:r>
        <w:rPr>
          <w:rFonts w:hAnsi="宋体" w:cs="宋体" w:hint="eastAsia"/>
          <w:szCs w:val="21"/>
        </w:rPr>
        <w:t>的额定工作压力不大于</w:t>
      </w:r>
      <w:r>
        <w:rPr>
          <w:rFonts w:hAnsi="宋体" w:cs="宋体" w:hint="eastAsia"/>
          <w:szCs w:val="21"/>
        </w:rPr>
        <w:t>35</w:t>
      </w:r>
      <w:r>
        <w:rPr>
          <w:rFonts w:hAnsi="宋体" w:cs="宋体"/>
          <w:szCs w:val="21"/>
        </w:rPr>
        <w:t xml:space="preserve"> </w:t>
      </w:r>
      <w:proofErr w:type="spellStart"/>
      <w:r>
        <w:rPr>
          <w:rFonts w:hAnsi="宋体" w:cs="宋体" w:hint="eastAsia"/>
          <w:szCs w:val="21"/>
        </w:rPr>
        <w:t>MPa</w:t>
      </w:r>
      <w:proofErr w:type="spellEnd"/>
      <w:r>
        <w:rPr>
          <w:rFonts w:hAnsi="宋体" w:cs="宋体" w:hint="eastAsia"/>
          <w:szCs w:val="21"/>
        </w:rPr>
        <w:t>的</w:t>
      </w:r>
      <w:r>
        <w:rPr>
          <w:rFonts w:hint="eastAsia"/>
        </w:rPr>
        <w:t>氢燃料电池公交车交通运营业务的企业。</w:t>
      </w:r>
    </w:p>
    <w:p w:rsidR="00626860" w:rsidRDefault="00E963F2">
      <w:pPr>
        <w:pStyle w:val="a4"/>
        <w:spacing w:before="312" w:after="312"/>
        <w:ind w:left="0"/>
      </w:pPr>
      <w:bookmarkStart w:id="24" w:name="_Toc9886"/>
      <w:bookmarkStart w:id="25" w:name="_Toc11516"/>
      <w:bookmarkStart w:id="26" w:name="_Toc3742"/>
      <w:bookmarkStart w:id="27" w:name="_Toc17897"/>
      <w:bookmarkStart w:id="28" w:name="_Toc28924"/>
      <w:bookmarkStart w:id="29" w:name="_Toc3257"/>
      <w:bookmarkStart w:id="30" w:name="_Toc12324"/>
      <w:bookmarkEnd w:id="24"/>
      <w:bookmarkEnd w:id="25"/>
      <w:bookmarkEnd w:id="26"/>
      <w:r>
        <w:rPr>
          <w:rFonts w:hint="eastAsia"/>
        </w:rPr>
        <w:t>一般要求</w:t>
      </w:r>
      <w:bookmarkEnd w:id="27"/>
    </w:p>
    <w:p w:rsidR="00626860" w:rsidRDefault="00E963F2">
      <w:pPr>
        <w:pStyle w:val="a5"/>
        <w:spacing w:beforeLines="0" w:afterLines="0"/>
        <w:rPr>
          <w:rFonts w:ascii="宋体" w:eastAsia="宋体" w:hAnsi="宋体" w:cs="宋体"/>
        </w:rPr>
      </w:pPr>
      <w:bookmarkStart w:id="31" w:name="_Toc13489"/>
      <w:bookmarkStart w:id="32" w:name="_Toc30086"/>
      <w:bookmarkStart w:id="33" w:name="_Toc12010"/>
      <w:bookmarkStart w:id="34" w:name="_Toc2358"/>
      <w:bookmarkEnd w:id="28"/>
      <w:bookmarkEnd w:id="29"/>
      <w:bookmarkEnd w:id="30"/>
      <w:r>
        <w:rPr>
          <w:rFonts w:ascii="宋体" w:eastAsia="宋体" w:hAnsi="宋体" w:cs="宋体" w:hint="eastAsia"/>
        </w:rPr>
        <w:t>运营单位应建立健全组织机构，设置行车组织、客运服务、设施设备维护和安全管理等部门，并保障各部门职责分明、分工合理，制定切实可行的安全管理、从业人员管理、车辆管理、行车组织、车站与停车场、服务组织与管理等规章制度和操作办法。</w:t>
      </w:r>
      <w:bookmarkEnd w:id="31"/>
    </w:p>
    <w:p w:rsidR="00626860" w:rsidRDefault="00E963F2">
      <w:pPr>
        <w:pStyle w:val="a5"/>
        <w:tabs>
          <w:tab w:val="center" w:pos="4201"/>
          <w:tab w:val="right" w:leader="dot" w:pos="9298"/>
        </w:tabs>
        <w:spacing w:beforeLines="0" w:afterLines="0"/>
        <w:rPr>
          <w:rFonts w:ascii="宋体" w:eastAsia="宋体" w:hAnsi="宋体" w:cs="宋体"/>
        </w:rPr>
      </w:pPr>
      <w:bookmarkStart w:id="35" w:name="_Toc12877"/>
      <w:r>
        <w:rPr>
          <w:rFonts w:ascii="宋体" w:eastAsia="宋体" w:hAnsi="宋体" w:cs="宋体" w:hint="eastAsia"/>
        </w:rPr>
        <w:t>运营单位应确保公交车加注的加氢站有氢气质量检验合格报告书。</w:t>
      </w:r>
      <w:bookmarkEnd w:id="35"/>
    </w:p>
    <w:p w:rsidR="00626860" w:rsidRDefault="00E963F2">
      <w:pPr>
        <w:pStyle w:val="a5"/>
        <w:spacing w:beforeLines="0" w:afterLines="0"/>
      </w:pPr>
      <w:bookmarkStart w:id="36" w:name="_Toc897"/>
      <w:r>
        <w:rPr>
          <w:rFonts w:ascii="宋体" w:eastAsia="宋体" w:hAnsi="宋体" w:cs="宋体" w:hint="eastAsia"/>
        </w:rPr>
        <w:t>运营单位应建立公交智能调度、实时监控、出行查询和线路运行显示等系统，确保系统正常运行，保证氢燃料电池公交车正常行驶、安全运营。</w:t>
      </w:r>
      <w:bookmarkEnd w:id="36"/>
    </w:p>
    <w:p w:rsidR="00626860" w:rsidRDefault="00E963F2">
      <w:pPr>
        <w:pStyle w:val="a4"/>
        <w:spacing w:before="312" w:after="312"/>
        <w:ind w:left="0"/>
      </w:pPr>
      <w:bookmarkStart w:id="37" w:name="_Toc24388"/>
      <w:bookmarkStart w:id="38" w:name="_Toc26635"/>
      <w:bookmarkStart w:id="39" w:name="_Toc8693"/>
      <w:bookmarkStart w:id="40" w:name="_Toc20949"/>
      <w:bookmarkEnd w:id="32"/>
      <w:bookmarkEnd w:id="33"/>
      <w:bookmarkEnd w:id="34"/>
      <w:r>
        <w:rPr>
          <w:rFonts w:hint="eastAsia"/>
        </w:rPr>
        <w:lastRenderedPageBreak/>
        <w:t>场站管理要求</w:t>
      </w:r>
      <w:bookmarkEnd w:id="37"/>
      <w:bookmarkEnd w:id="38"/>
      <w:bookmarkEnd w:id="39"/>
      <w:bookmarkEnd w:id="40"/>
    </w:p>
    <w:p w:rsidR="00626860" w:rsidRDefault="00E963F2">
      <w:pPr>
        <w:pStyle w:val="a5"/>
        <w:spacing w:before="156" w:after="156"/>
      </w:pPr>
      <w:bookmarkStart w:id="41" w:name="_Toc11106"/>
      <w:bookmarkStart w:id="42" w:name="_Toc5756"/>
      <w:bookmarkStart w:id="43" w:name="_Toc12981"/>
      <w:bookmarkStart w:id="44" w:name="_Toc25341"/>
      <w:r>
        <w:rPr>
          <w:rFonts w:hint="eastAsia"/>
        </w:rPr>
        <w:t>进入加氢站要求</w:t>
      </w:r>
      <w:bookmarkEnd w:id="41"/>
      <w:bookmarkEnd w:id="42"/>
      <w:bookmarkEnd w:id="43"/>
      <w:bookmarkEnd w:id="44"/>
    </w:p>
    <w:p w:rsidR="00626860" w:rsidRDefault="00E963F2">
      <w:pPr>
        <w:pStyle w:val="aff9"/>
      </w:pPr>
      <w:r>
        <w:rPr>
          <w:rFonts w:hint="eastAsia"/>
        </w:rPr>
        <w:t>充气时禁止将无关的人员</w:t>
      </w:r>
      <w:r>
        <w:rPr>
          <w:rFonts w:hint="eastAsia"/>
        </w:rPr>
        <w:t>或乘客带入加氢站内。</w:t>
      </w:r>
    </w:p>
    <w:p w:rsidR="00626860" w:rsidRDefault="00E963F2">
      <w:pPr>
        <w:pStyle w:val="aff9"/>
      </w:pPr>
      <w:r>
        <w:rPr>
          <w:rFonts w:hint="eastAsia"/>
        </w:rPr>
        <w:t>司机应遵守加氢站各项规章制度。</w:t>
      </w:r>
    </w:p>
    <w:p w:rsidR="00626860" w:rsidRDefault="00E963F2">
      <w:pPr>
        <w:pStyle w:val="aff9"/>
      </w:pPr>
      <w:r>
        <w:rPr>
          <w:rFonts w:hint="eastAsia"/>
        </w:rPr>
        <w:t>禁止在站内维修车辆，车辆出现故障时，须推至站外进行处理。</w:t>
      </w:r>
    </w:p>
    <w:p w:rsidR="00626860" w:rsidRDefault="00E963F2">
      <w:pPr>
        <w:pStyle w:val="a5"/>
        <w:spacing w:before="156" w:after="156"/>
      </w:pPr>
      <w:bookmarkStart w:id="45" w:name="_Toc28744"/>
      <w:bookmarkStart w:id="46" w:name="_Toc15457"/>
      <w:bookmarkStart w:id="47" w:name="_Toc15944"/>
      <w:bookmarkStart w:id="48" w:name="_Toc90"/>
      <w:r>
        <w:rPr>
          <w:rFonts w:hint="eastAsia"/>
        </w:rPr>
        <w:t>停车场管理要求</w:t>
      </w:r>
      <w:bookmarkEnd w:id="45"/>
      <w:bookmarkEnd w:id="46"/>
      <w:bookmarkEnd w:id="47"/>
      <w:bookmarkEnd w:id="48"/>
    </w:p>
    <w:p w:rsidR="00626860" w:rsidRDefault="00E963F2">
      <w:pPr>
        <w:pStyle w:val="aff9"/>
      </w:pPr>
      <w:r>
        <w:rPr>
          <w:rFonts w:hint="eastAsia"/>
        </w:rPr>
        <w:t>停车场用地面积宜按每车投影面积的</w:t>
      </w:r>
      <w:r>
        <w:rPr>
          <w:rFonts w:hint="eastAsia"/>
        </w:rPr>
        <w:t>3</w:t>
      </w:r>
      <w:r>
        <w:rPr>
          <w:rFonts w:hint="eastAsia"/>
        </w:rPr>
        <w:t>倍计算。</w:t>
      </w:r>
    </w:p>
    <w:p w:rsidR="00626860" w:rsidRDefault="00E963F2">
      <w:pPr>
        <w:pStyle w:val="aff9"/>
      </w:pPr>
      <w:r>
        <w:rPr>
          <w:rFonts w:hint="eastAsia"/>
        </w:rPr>
        <w:t>停车场应配置照明、通讯和监控设备，消防和气体泄漏报警系统，保障停放车辆和工作人员的安全。</w:t>
      </w:r>
    </w:p>
    <w:p w:rsidR="00626860" w:rsidRDefault="00E963F2">
      <w:pPr>
        <w:pStyle w:val="aff9"/>
      </w:pPr>
      <w:r>
        <w:rPr>
          <w:rFonts w:hint="eastAsia"/>
        </w:rPr>
        <w:t>综合车场内车辆停放、车辆清洗、车辆维修等功能分区合理、标示明显，无积水、污物，环境保持整洁、卫生。</w:t>
      </w:r>
    </w:p>
    <w:p w:rsidR="00626860" w:rsidRDefault="00E963F2">
      <w:pPr>
        <w:pStyle w:val="a4"/>
        <w:spacing w:before="312" w:after="312"/>
        <w:rPr>
          <w:szCs w:val="22"/>
        </w:rPr>
      </w:pPr>
      <w:bookmarkStart w:id="49" w:name="_Toc11970"/>
      <w:bookmarkStart w:id="50" w:name="_Toc30897"/>
      <w:bookmarkStart w:id="51" w:name="_Toc9890"/>
      <w:bookmarkStart w:id="52" w:name="_Toc30079"/>
      <w:r>
        <w:rPr>
          <w:rFonts w:hint="eastAsia"/>
          <w:szCs w:val="22"/>
        </w:rPr>
        <w:t>车辆管理要求</w:t>
      </w:r>
      <w:bookmarkEnd w:id="49"/>
      <w:bookmarkEnd w:id="50"/>
      <w:bookmarkEnd w:id="51"/>
      <w:bookmarkEnd w:id="52"/>
    </w:p>
    <w:p w:rsidR="00626860" w:rsidRDefault="00E963F2">
      <w:pPr>
        <w:pStyle w:val="a5"/>
        <w:spacing w:before="156" w:after="156"/>
      </w:pPr>
      <w:bookmarkStart w:id="53" w:name="_Toc28675"/>
      <w:bookmarkStart w:id="54" w:name="_Toc20003"/>
      <w:bookmarkStart w:id="55" w:name="_Toc22761"/>
      <w:bookmarkStart w:id="56" w:name="_Toc28057"/>
      <w:r>
        <w:rPr>
          <w:rFonts w:hint="eastAsia"/>
        </w:rPr>
        <w:t>性能与配置</w:t>
      </w:r>
      <w:bookmarkEnd w:id="53"/>
      <w:bookmarkEnd w:id="54"/>
      <w:bookmarkEnd w:id="55"/>
      <w:bookmarkEnd w:id="56"/>
    </w:p>
    <w:p w:rsidR="00626860" w:rsidRDefault="00E963F2">
      <w:pPr>
        <w:pStyle w:val="aff9"/>
      </w:pPr>
      <w:r>
        <w:rPr>
          <w:rFonts w:hint="eastAsia"/>
        </w:rPr>
        <w:t>氢燃料</w:t>
      </w:r>
      <w:r>
        <w:rPr>
          <w:rFonts w:hAnsi="宋体" w:cs="宋体" w:hint="eastAsia"/>
        </w:rPr>
        <w:t>电池</w:t>
      </w:r>
      <w:r>
        <w:rPr>
          <w:rFonts w:hint="eastAsia"/>
        </w:rPr>
        <w:t>公交车的安全性能应符合</w:t>
      </w:r>
      <w:r>
        <w:rPr>
          <w:rFonts w:hint="eastAsia"/>
        </w:rPr>
        <w:t>GB 7258</w:t>
      </w:r>
      <w:r>
        <w:rPr>
          <w:rFonts w:hint="eastAsia"/>
        </w:rPr>
        <w:t>的规定。</w:t>
      </w:r>
    </w:p>
    <w:p w:rsidR="00626860" w:rsidRDefault="00E963F2">
      <w:pPr>
        <w:pStyle w:val="aff9"/>
      </w:pPr>
      <w:r>
        <w:rPr>
          <w:rFonts w:hint="eastAsia"/>
        </w:rPr>
        <w:t>运营单位应按期对车辆进行安全技术检验，按</w:t>
      </w:r>
      <w:r>
        <w:rPr>
          <w:rFonts w:hint="eastAsia"/>
        </w:rPr>
        <w:t xml:space="preserve">GB/T </w:t>
      </w:r>
      <w:r>
        <w:rPr>
          <w:rFonts w:hint="eastAsia"/>
        </w:rPr>
        <w:t>29729</w:t>
      </w:r>
      <w:r>
        <w:rPr>
          <w:rFonts w:hint="eastAsia"/>
        </w:rPr>
        <w:t>要求对车辆的气瓶进行检验。</w:t>
      </w:r>
    </w:p>
    <w:p w:rsidR="00626860" w:rsidRDefault="00E963F2">
      <w:pPr>
        <w:pStyle w:val="aff9"/>
      </w:pPr>
      <w:r>
        <w:rPr>
          <w:rFonts w:hint="eastAsia"/>
        </w:rPr>
        <w:t>氢燃料电池公交车应配置应急设备：</w:t>
      </w:r>
      <w:r>
        <w:rPr>
          <w:rFonts w:hAnsi="宋体" w:cs="宋体" w:hint="eastAsia"/>
        </w:rPr>
        <w:t>二氧化碳或干粉灭火器</w:t>
      </w:r>
      <w:r>
        <w:rPr>
          <w:rFonts w:hint="eastAsia"/>
        </w:rPr>
        <w:t>、应急锤、车门紧急开启装置、自动喷淋、气瓶气体泄露探测器等安全应急设施设备及智能车载终端、视频监控设备、</w:t>
      </w:r>
      <w:r>
        <w:rPr>
          <w:rFonts w:hint="eastAsia"/>
        </w:rPr>
        <w:t>IC</w:t>
      </w:r>
      <w:r>
        <w:rPr>
          <w:rFonts w:hint="eastAsia"/>
        </w:rPr>
        <w:t>卡读写器等信息化设备，并保证设备齐全、完好。</w:t>
      </w:r>
    </w:p>
    <w:p w:rsidR="00626860" w:rsidRDefault="00E963F2">
      <w:pPr>
        <w:pStyle w:val="aff9"/>
      </w:pPr>
      <w:r>
        <w:rPr>
          <w:rFonts w:hint="eastAsia"/>
        </w:rPr>
        <w:t>车辆的前部、后部和靠</w:t>
      </w:r>
      <w:proofErr w:type="gramStart"/>
      <w:r>
        <w:rPr>
          <w:rFonts w:hint="eastAsia"/>
        </w:rPr>
        <w:t>站台侧应安装</w:t>
      </w:r>
      <w:proofErr w:type="gramEnd"/>
      <w:r>
        <w:rPr>
          <w:rFonts w:hint="eastAsia"/>
        </w:rPr>
        <w:t>线路指示牌，具备夜间显示功能。</w:t>
      </w:r>
    </w:p>
    <w:p w:rsidR="00626860" w:rsidRDefault="00E963F2">
      <w:pPr>
        <w:pStyle w:val="a5"/>
        <w:spacing w:before="156" w:after="156"/>
      </w:pPr>
      <w:bookmarkStart w:id="57" w:name="_Toc19712"/>
      <w:bookmarkStart w:id="58" w:name="_Toc27157"/>
      <w:bookmarkStart w:id="59" w:name="_Toc19337"/>
      <w:bookmarkStart w:id="60" w:name="_Toc26498"/>
      <w:r>
        <w:rPr>
          <w:rFonts w:hint="eastAsia"/>
        </w:rPr>
        <w:t>维保</w:t>
      </w:r>
      <w:bookmarkEnd w:id="57"/>
      <w:bookmarkEnd w:id="58"/>
      <w:bookmarkEnd w:id="59"/>
      <w:bookmarkEnd w:id="60"/>
    </w:p>
    <w:p w:rsidR="00626860" w:rsidRDefault="00E963F2">
      <w:pPr>
        <w:pStyle w:val="aff9"/>
        <w:numPr>
          <w:ilvl w:val="0"/>
          <w:numId w:val="0"/>
        </w:numPr>
        <w:ind w:firstLineChars="200" w:firstLine="420"/>
      </w:pPr>
      <w:r>
        <w:rPr>
          <w:rFonts w:hint="eastAsia"/>
        </w:rPr>
        <w:t>氢燃料电池公交车的维护周期和项目参照</w:t>
      </w:r>
      <w:r>
        <w:rPr>
          <w:rFonts w:hint="eastAsia"/>
        </w:rPr>
        <w:t>GB/T 18344</w:t>
      </w:r>
      <w:r>
        <w:rPr>
          <w:rFonts w:hint="eastAsia"/>
        </w:rPr>
        <w:t>实施，保持车辆技术状况良好。</w:t>
      </w:r>
    </w:p>
    <w:p w:rsidR="00626860" w:rsidRDefault="00E963F2">
      <w:pPr>
        <w:pStyle w:val="a5"/>
        <w:spacing w:before="156" w:after="156"/>
      </w:pPr>
      <w:bookmarkStart w:id="61" w:name="_Toc203"/>
      <w:bookmarkStart w:id="62" w:name="_Toc24701"/>
      <w:bookmarkStart w:id="63" w:name="_Toc4171"/>
      <w:bookmarkStart w:id="64" w:name="_Toc3603"/>
      <w:r>
        <w:rPr>
          <w:rFonts w:hint="eastAsia"/>
        </w:rPr>
        <w:t>安全检查</w:t>
      </w:r>
      <w:bookmarkEnd w:id="61"/>
      <w:bookmarkEnd w:id="62"/>
      <w:bookmarkEnd w:id="63"/>
      <w:bookmarkEnd w:id="64"/>
    </w:p>
    <w:p w:rsidR="00626860" w:rsidRDefault="00E963F2">
      <w:pPr>
        <w:pStyle w:val="aff9"/>
      </w:pPr>
      <w:r>
        <w:rPr>
          <w:rFonts w:hint="eastAsia"/>
        </w:rPr>
        <w:t>驾驶员每日收车后应用压力表和便携式可燃气体探测报警仪对车辆进行检查</w:t>
      </w:r>
      <w:r>
        <w:rPr>
          <w:rFonts w:hint="eastAsia"/>
          <w:b/>
          <w:bCs/>
          <w:color w:val="FF0000"/>
          <w:u w:val="single"/>
        </w:rPr>
        <w:t>。</w:t>
      </w:r>
    </w:p>
    <w:p w:rsidR="00626860" w:rsidRDefault="00E963F2">
      <w:pPr>
        <w:pStyle w:val="aff9"/>
      </w:pPr>
      <w:r>
        <w:rPr>
          <w:rFonts w:hint="eastAsia"/>
        </w:rPr>
        <w:t>氢燃料电池公交车经营单位应建立车辆定期安全检查制度，并建立</w:t>
      </w:r>
      <w:proofErr w:type="gramStart"/>
      <w:r>
        <w:rPr>
          <w:rFonts w:hint="eastAsia"/>
        </w:rPr>
        <w:t>相关台</w:t>
      </w:r>
      <w:proofErr w:type="gramEnd"/>
      <w:r>
        <w:rPr>
          <w:rFonts w:hint="eastAsia"/>
        </w:rPr>
        <w:t>账，台账保存期限为</w:t>
      </w:r>
      <w:r>
        <w:rPr>
          <w:rFonts w:hint="eastAsia"/>
        </w:rPr>
        <w:t>3</w:t>
      </w:r>
      <w:r>
        <w:t>个月</w:t>
      </w:r>
      <w:r>
        <w:rPr>
          <w:rFonts w:hint="eastAsia"/>
        </w:rPr>
        <w:t>。</w:t>
      </w:r>
    </w:p>
    <w:p w:rsidR="00626860" w:rsidRDefault="00E963F2">
      <w:pPr>
        <w:pStyle w:val="aff9"/>
      </w:pPr>
      <w:r>
        <w:rPr>
          <w:rFonts w:hint="eastAsia"/>
        </w:rPr>
        <w:t>车辆安全检查人员应按要求对车辆进行安全检查，检查项目至少包括：</w:t>
      </w:r>
    </w:p>
    <w:p w:rsidR="00626860" w:rsidRDefault="00E963F2">
      <w:pPr>
        <w:pStyle w:val="ac"/>
        <w:ind w:left="840" w:hanging="420"/>
      </w:pPr>
      <w:r>
        <w:rPr>
          <w:rFonts w:hint="eastAsia"/>
        </w:rPr>
        <w:t>对</w:t>
      </w:r>
      <w:proofErr w:type="gramStart"/>
      <w:r>
        <w:rPr>
          <w:rFonts w:hint="eastAsia"/>
        </w:rPr>
        <w:t>氢系统</w:t>
      </w:r>
      <w:proofErr w:type="gramEnd"/>
      <w:r>
        <w:rPr>
          <w:rFonts w:hint="eastAsia"/>
        </w:rPr>
        <w:t>的危险因素进行排查：泄漏和渗漏、与燃烧有关的危险因素、与压力有关的危险因素（氢气系统失效）、与温度有关的危险因素；</w:t>
      </w:r>
    </w:p>
    <w:p w:rsidR="00626860" w:rsidRDefault="00E963F2">
      <w:pPr>
        <w:pStyle w:val="ac"/>
        <w:ind w:left="840" w:hanging="420"/>
      </w:pPr>
      <w:r>
        <w:rPr>
          <w:rFonts w:hint="eastAsia"/>
        </w:rPr>
        <w:t>车门紧急开启装置等应急设备是否配置并正常运作；</w:t>
      </w:r>
    </w:p>
    <w:p w:rsidR="00626860" w:rsidRDefault="00E963F2">
      <w:pPr>
        <w:pStyle w:val="ac"/>
        <w:ind w:left="840" w:hanging="420"/>
      </w:pPr>
      <w:r>
        <w:rPr>
          <w:rFonts w:hint="eastAsia"/>
        </w:rPr>
        <w:t>仪表、电路、底盘等车辆常规设备是否正常运作。</w:t>
      </w:r>
    </w:p>
    <w:p w:rsidR="00626860" w:rsidRDefault="00E963F2">
      <w:pPr>
        <w:pStyle w:val="a5"/>
        <w:spacing w:before="156" w:after="156"/>
      </w:pPr>
      <w:bookmarkStart w:id="65" w:name="_Toc22657"/>
      <w:bookmarkStart w:id="66" w:name="_Toc27808"/>
      <w:bookmarkStart w:id="67" w:name="_Toc25911"/>
      <w:bookmarkStart w:id="68" w:name="_Toc748"/>
      <w:r>
        <w:rPr>
          <w:rFonts w:hint="eastAsia"/>
        </w:rPr>
        <w:t>车辆技术档案</w:t>
      </w:r>
      <w:bookmarkEnd w:id="65"/>
      <w:bookmarkEnd w:id="66"/>
      <w:bookmarkEnd w:id="67"/>
      <w:bookmarkEnd w:id="68"/>
    </w:p>
    <w:p w:rsidR="00626860" w:rsidRDefault="00E963F2">
      <w:pPr>
        <w:pStyle w:val="aff9"/>
      </w:pPr>
      <w:r>
        <w:rPr>
          <w:rFonts w:hint="eastAsia"/>
        </w:rPr>
        <w:t>应建立车辆技术档案，做到一车一档，内容记载应及时、完整和准确。</w:t>
      </w:r>
    </w:p>
    <w:p w:rsidR="00626860" w:rsidRDefault="00E963F2">
      <w:pPr>
        <w:pStyle w:val="aff9"/>
      </w:pPr>
      <w:r>
        <w:rPr>
          <w:rFonts w:hint="eastAsia"/>
        </w:rPr>
        <w:t>车辆技术档案包括车辆基本情况、车辆维护计划和维护、修理及主要</w:t>
      </w:r>
      <w:r>
        <w:rPr>
          <w:rFonts w:hint="eastAsia"/>
        </w:rPr>
        <w:t>部件更换情况记录、车辆变更记录和交通事故记录、维修竣工出厂合格证。车辆技术档案应保存到车辆报废之日起</w:t>
      </w:r>
      <w:r>
        <w:rPr>
          <w:rFonts w:hint="eastAsia"/>
        </w:rPr>
        <w:t>3</w:t>
      </w:r>
      <w:r>
        <w:rPr>
          <w:rFonts w:hint="eastAsia"/>
        </w:rPr>
        <w:t>年。</w:t>
      </w:r>
    </w:p>
    <w:p w:rsidR="00626860" w:rsidRDefault="00E963F2">
      <w:pPr>
        <w:pStyle w:val="a4"/>
        <w:spacing w:before="312" w:after="312"/>
        <w:ind w:left="0"/>
      </w:pPr>
      <w:bookmarkStart w:id="69" w:name="_Toc2855"/>
      <w:bookmarkStart w:id="70" w:name="_Toc11750"/>
      <w:bookmarkStart w:id="71" w:name="_Toc25585"/>
      <w:bookmarkStart w:id="72" w:name="_Toc31963"/>
      <w:r>
        <w:rPr>
          <w:rFonts w:hint="eastAsia"/>
          <w:szCs w:val="22"/>
        </w:rPr>
        <w:lastRenderedPageBreak/>
        <w:t>人员要求</w:t>
      </w:r>
      <w:bookmarkEnd w:id="69"/>
      <w:bookmarkEnd w:id="70"/>
      <w:bookmarkEnd w:id="71"/>
      <w:bookmarkEnd w:id="72"/>
    </w:p>
    <w:p w:rsidR="00626860" w:rsidRDefault="00E963F2">
      <w:pPr>
        <w:pStyle w:val="a5"/>
        <w:spacing w:beforeLines="0" w:afterLines="0"/>
        <w:rPr>
          <w:rFonts w:ascii="宋体" w:eastAsia="宋体" w:hAnsi="宋体" w:cs="宋体"/>
        </w:rPr>
      </w:pPr>
      <w:bookmarkStart w:id="73" w:name="_Toc26606"/>
      <w:bookmarkStart w:id="74" w:name="_Toc27728"/>
      <w:bookmarkStart w:id="75" w:name="_Toc6023"/>
      <w:bookmarkStart w:id="76" w:name="_Toc7192"/>
      <w:bookmarkStart w:id="77" w:name="_Toc6208"/>
      <w:r>
        <w:rPr>
          <w:rFonts w:ascii="宋体" w:eastAsia="宋体" w:hAnsi="宋体" w:cs="宋体" w:hint="eastAsia"/>
        </w:rPr>
        <w:t>驾驶员应取得</w:t>
      </w:r>
      <w:r>
        <w:rPr>
          <w:rFonts w:ascii="宋体" w:eastAsia="宋体" w:hAnsi="宋体" w:cs="宋体" w:hint="eastAsia"/>
        </w:rPr>
        <w:t>A1</w:t>
      </w:r>
      <w:r>
        <w:rPr>
          <w:rFonts w:ascii="宋体" w:eastAsia="宋体" w:hAnsi="宋体" w:cs="宋体" w:hint="eastAsia"/>
        </w:rPr>
        <w:t>或</w:t>
      </w:r>
      <w:r>
        <w:rPr>
          <w:rFonts w:ascii="宋体" w:eastAsia="宋体" w:hAnsi="宋体" w:cs="宋体" w:hint="eastAsia"/>
        </w:rPr>
        <w:t>A3</w:t>
      </w:r>
      <w:r>
        <w:rPr>
          <w:rFonts w:ascii="宋体" w:eastAsia="宋体" w:hAnsi="宋体" w:cs="宋体" w:hint="eastAsia"/>
        </w:rPr>
        <w:t>驾驶证。</w:t>
      </w:r>
      <w:bookmarkEnd w:id="73"/>
      <w:bookmarkEnd w:id="74"/>
    </w:p>
    <w:p w:rsidR="00626860" w:rsidRDefault="00E963F2">
      <w:pPr>
        <w:pStyle w:val="a5"/>
        <w:spacing w:beforeLines="0" w:afterLines="0"/>
        <w:rPr>
          <w:rFonts w:ascii="宋体" w:eastAsia="宋体" w:hAnsi="宋体" w:cs="宋体"/>
        </w:rPr>
      </w:pPr>
      <w:bookmarkStart w:id="78" w:name="_Toc25863"/>
      <w:r>
        <w:rPr>
          <w:rFonts w:ascii="宋体" w:eastAsia="宋体" w:hAnsi="宋体" w:cs="宋体" w:hint="eastAsia"/>
        </w:rPr>
        <w:t>工作人员应经过岗位培训，考试合格后持证上岗。特种作业人员应经过专业培训，持有特种作业资格证，并在有效期内持证上岗。</w:t>
      </w:r>
      <w:bookmarkEnd w:id="75"/>
      <w:bookmarkEnd w:id="76"/>
      <w:bookmarkEnd w:id="77"/>
      <w:bookmarkEnd w:id="78"/>
    </w:p>
    <w:p w:rsidR="00626860" w:rsidRDefault="00E963F2">
      <w:pPr>
        <w:pStyle w:val="a5"/>
        <w:spacing w:beforeLines="0" w:afterLines="0"/>
        <w:rPr>
          <w:rFonts w:ascii="宋体" w:eastAsia="宋体" w:hAnsi="宋体" w:cs="宋体"/>
        </w:rPr>
      </w:pPr>
      <w:bookmarkStart w:id="79" w:name="_Toc30178"/>
      <w:bookmarkStart w:id="80" w:name="_Toc20936"/>
      <w:bookmarkStart w:id="81" w:name="_Toc16355"/>
      <w:bookmarkStart w:id="82" w:name="_Toc4145"/>
      <w:r>
        <w:rPr>
          <w:rFonts w:ascii="宋体" w:eastAsia="宋体" w:hAnsi="宋体" w:cs="宋体" w:hint="eastAsia"/>
        </w:rPr>
        <w:t>运营单位应对工作人员进行新政策、新技术、突发事件应急处理等的年度继续教育培训。课程采用小班教学，并进行实操和考核。年度继续教育时间不应少于</w:t>
      </w:r>
      <w:r>
        <w:rPr>
          <w:rFonts w:ascii="宋体" w:eastAsia="宋体" w:hAnsi="宋体" w:cs="宋体" w:hint="eastAsia"/>
        </w:rPr>
        <w:t>12</w:t>
      </w:r>
      <w:r>
        <w:rPr>
          <w:rFonts w:ascii="宋体" w:eastAsia="宋体" w:hAnsi="宋体" w:cs="宋体" w:hint="eastAsia"/>
        </w:rPr>
        <w:t>学时。</w:t>
      </w:r>
      <w:bookmarkEnd w:id="79"/>
      <w:bookmarkEnd w:id="80"/>
      <w:bookmarkEnd w:id="81"/>
      <w:bookmarkEnd w:id="82"/>
    </w:p>
    <w:p w:rsidR="00626860" w:rsidRDefault="00E963F2">
      <w:pPr>
        <w:pStyle w:val="a5"/>
        <w:spacing w:beforeLines="0" w:afterLines="0"/>
        <w:rPr>
          <w:rFonts w:ascii="宋体" w:eastAsia="宋体" w:hAnsi="宋体" w:cs="宋体"/>
        </w:rPr>
      </w:pPr>
      <w:bookmarkStart w:id="83" w:name="_Toc5034"/>
      <w:bookmarkStart w:id="84" w:name="_Toc24556"/>
      <w:bookmarkStart w:id="85" w:name="_Toc345"/>
      <w:bookmarkStart w:id="86" w:name="_Toc9102"/>
      <w:r>
        <w:rPr>
          <w:rFonts w:ascii="宋体" w:eastAsia="宋体" w:hAnsi="宋体" w:cs="宋体" w:hint="eastAsia"/>
        </w:rPr>
        <w:t>运营单位应建立驾驶员星级考核评定制度，建立、完善考核指标体系和奖惩机制，星级考核评定每年度至少组</w:t>
      </w:r>
      <w:r>
        <w:rPr>
          <w:rFonts w:ascii="宋体" w:eastAsia="宋体" w:hAnsi="宋体" w:cs="宋体" w:hint="eastAsia"/>
        </w:rPr>
        <w:t>织</w:t>
      </w:r>
      <w:r>
        <w:rPr>
          <w:rFonts w:ascii="宋体" w:eastAsia="宋体" w:hAnsi="宋体" w:cs="宋体" w:hint="eastAsia"/>
        </w:rPr>
        <w:t>1</w:t>
      </w:r>
      <w:r>
        <w:rPr>
          <w:rFonts w:ascii="宋体" w:eastAsia="宋体" w:hAnsi="宋体" w:cs="宋体" w:hint="eastAsia"/>
        </w:rPr>
        <w:t>次。</w:t>
      </w:r>
      <w:bookmarkEnd w:id="83"/>
      <w:bookmarkEnd w:id="84"/>
      <w:bookmarkEnd w:id="85"/>
      <w:bookmarkEnd w:id="86"/>
    </w:p>
    <w:p w:rsidR="00626860" w:rsidRDefault="00E963F2">
      <w:pPr>
        <w:pStyle w:val="a5"/>
        <w:spacing w:beforeLines="0" w:afterLines="0"/>
        <w:rPr>
          <w:rFonts w:ascii="宋体" w:eastAsia="宋体" w:hAnsi="宋体" w:cs="宋体"/>
        </w:rPr>
      </w:pPr>
      <w:bookmarkStart w:id="87" w:name="_Toc11195"/>
      <w:bookmarkStart w:id="88" w:name="_Toc3721"/>
      <w:bookmarkStart w:id="89" w:name="_Toc2466"/>
      <w:bookmarkStart w:id="90" w:name="_Toc20421"/>
      <w:r>
        <w:rPr>
          <w:rFonts w:ascii="宋体" w:eastAsia="宋体" w:hAnsi="宋体" w:cs="宋体" w:hint="eastAsia"/>
        </w:rPr>
        <w:t>工作人员上岗时宜</w:t>
      </w:r>
      <w:proofErr w:type="gramStart"/>
      <w:r>
        <w:rPr>
          <w:rFonts w:ascii="宋体" w:eastAsia="宋体" w:hAnsi="宋体" w:cs="宋体" w:hint="eastAsia"/>
        </w:rPr>
        <w:t>穿符合</w:t>
      </w:r>
      <w:proofErr w:type="gramEnd"/>
      <w:r>
        <w:rPr>
          <w:rFonts w:ascii="宋体" w:eastAsia="宋体" w:hAnsi="宋体" w:cs="宋体" w:hint="eastAsia"/>
        </w:rPr>
        <w:t>GB 12014</w:t>
      </w:r>
      <w:r>
        <w:rPr>
          <w:rFonts w:ascii="宋体" w:eastAsia="宋体" w:hAnsi="宋体" w:cs="宋体" w:hint="eastAsia"/>
        </w:rPr>
        <w:t>规定的阻燃、防静电工作服和符合</w:t>
      </w:r>
      <w:r>
        <w:rPr>
          <w:rFonts w:ascii="宋体" w:eastAsia="宋体" w:hAnsi="宋体" w:cs="宋体" w:hint="eastAsia"/>
        </w:rPr>
        <w:t>GB 21146</w:t>
      </w:r>
      <w:r>
        <w:rPr>
          <w:rFonts w:ascii="宋体" w:eastAsia="宋体" w:hAnsi="宋体" w:cs="宋体" w:hint="eastAsia"/>
        </w:rPr>
        <w:t>规定的防静电鞋。</w:t>
      </w:r>
      <w:bookmarkEnd w:id="87"/>
      <w:bookmarkEnd w:id="88"/>
      <w:bookmarkEnd w:id="89"/>
      <w:bookmarkEnd w:id="90"/>
    </w:p>
    <w:p w:rsidR="00626860" w:rsidRDefault="00E963F2">
      <w:pPr>
        <w:pStyle w:val="a4"/>
        <w:spacing w:before="312" w:after="312"/>
        <w:ind w:left="0"/>
      </w:pPr>
      <w:bookmarkStart w:id="91" w:name="_Toc28116"/>
      <w:bookmarkStart w:id="92" w:name="_Toc32447"/>
      <w:bookmarkStart w:id="93" w:name="_Toc27042"/>
      <w:bookmarkStart w:id="94" w:name="_Toc3782"/>
      <w:r>
        <w:rPr>
          <w:rFonts w:hint="eastAsia"/>
        </w:rPr>
        <w:t>安全管理</w:t>
      </w:r>
      <w:bookmarkEnd w:id="91"/>
      <w:bookmarkEnd w:id="92"/>
      <w:bookmarkEnd w:id="93"/>
      <w:bookmarkEnd w:id="94"/>
    </w:p>
    <w:p w:rsidR="00626860" w:rsidRDefault="00E963F2">
      <w:pPr>
        <w:pStyle w:val="a5"/>
        <w:spacing w:before="156" w:after="156"/>
      </w:pPr>
      <w:bookmarkStart w:id="95" w:name="_Toc10788"/>
      <w:bookmarkStart w:id="96" w:name="_Toc20308"/>
      <w:bookmarkStart w:id="97" w:name="_Toc471"/>
      <w:bookmarkStart w:id="98" w:name="_Toc17907"/>
      <w:r>
        <w:rPr>
          <w:rFonts w:hint="eastAsia"/>
        </w:rPr>
        <w:t>一般要求</w:t>
      </w:r>
      <w:bookmarkEnd w:id="95"/>
      <w:bookmarkEnd w:id="96"/>
      <w:bookmarkEnd w:id="97"/>
      <w:bookmarkEnd w:id="98"/>
    </w:p>
    <w:p w:rsidR="00626860" w:rsidRDefault="00E963F2">
      <w:pPr>
        <w:pStyle w:val="aff9"/>
      </w:pPr>
      <w:r>
        <w:rPr>
          <w:rFonts w:hint="eastAsia"/>
        </w:rPr>
        <w:t>运营单位应设置安全生产管理机构，保证安全生产条件所必需的资金投入。</w:t>
      </w:r>
    </w:p>
    <w:p w:rsidR="00626860" w:rsidRDefault="00E963F2">
      <w:pPr>
        <w:pStyle w:val="aff9"/>
      </w:pPr>
      <w:r>
        <w:rPr>
          <w:rFonts w:hint="eastAsia"/>
        </w:rPr>
        <w:t>运营单位应配备专职的安全生产管理人员，并根据需要配备兼职的安全生产管理人员。</w:t>
      </w:r>
    </w:p>
    <w:p w:rsidR="00626860" w:rsidRDefault="00E963F2">
      <w:pPr>
        <w:pStyle w:val="aff9"/>
      </w:pPr>
      <w:r>
        <w:t>运营单位应建立健全安全生产责任制，实行安全生产目标分级管理，逐级落实安全生产目标责任，并加强监督考核。</w:t>
      </w:r>
    </w:p>
    <w:p w:rsidR="00626860" w:rsidRDefault="00E963F2">
      <w:pPr>
        <w:pStyle w:val="aff9"/>
      </w:pPr>
      <w:r>
        <w:rPr>
          <w:rFonts w:hint="eastAsia"/>
        </w:rPr>
        <w:t>氢燃料电池公交车和站场、维修车间</w:t>
      </w:r>
      <w:r>
        <w:t>投人试运营前，应通过试运营基本条件评审。</w:t>
      </w:r>
    </w:p>
    <w:p w:rsidR="00626860" w:rsidRDefault="00E963F2">
      <w:pPr>
        <w:pStyle w:val="a5"/>
        <w:spacing w:before="156" w:after="156"/>
      </w:pPr>
      <w:bookmarkStart w:id="99" w:name="_Toc17167"/>
      <w:bookmarkStart w:id="100" w:name="_Toc25336"/>
      <w:bookmarkStart w:id="101" w:name="_Toc24568"/>
      <w:bookmarkStart w:id="102" w:name="_Toc6923"/>
      <w:r>
        <w:t>安全教育</w:t>
      </w:r>
      <w:bookmarkEnd w:id="99"/>
      <w:bookmarkEnd w:id="100"/>
    </w:p>
    <w:p w:rsidR="00626860" w:rsidRDefault="00E963F2">
      <w:pPr>
        <w:pStyle w:val="aff9"/>
      </w:pPr>
      <w:r>
        <w:t>应建立健全安全生产教育培训制度，制定年度安全生产教育培训计划，合理安排培训事项，认真组织实施。</w:t>
      </w:r>
    </w:p>
    <w:p w:rsidR="00626860" w:rsidRDefault="00E963F2">
      <w:pPr>
        <w:pStyle w:val="aff9"/>
      </w:pPr>
      <w:r>
        <w:t>应建立安全生产教育培训档案，对各类形式的安全教育培训情况做好记录。</w:t>
      </w:r>
    </w:p>
    <w:p w:rsidR="00626860" w:rsidRDefault="00E963F2">
      <w:pPr>
        <w:pStyle w:val="aff9"/>
      </w:pPr>
      <w:r>
        <w:t>应采取</w:t>
      </w:r>
      <w:r>
        <w:rPr>
          <w:rFonts w:hint="eastAsia"/>
        </w:rPr>
        <w:t>媒体、公众号等</w:t>
      </w:r>
      <w:r>
        <w:t>多种形式，向社会公众宣传</w:t>
      </w:r>
      <w:r>
        <w:rPr>
          <w:rFonts w:hint="eastAsia"/>
        </w:rPr>
        <w:t>氢气相关</w:t>
      </w:r>
      <w:r>
        <w:t>安全</w:t>
      </w:r>
      <w:r>
        <w:rPr>
          <w:rFonts w:hint="eastAsia"/>
        </w:rPr>
        <w:t>与应急</w:t>
      </w:r>
      <w:r>
        <w:t>知识，提高公众的安全意识。</w:t>
      </w:r>
    </w:p>
    <w:p w:rsidR="00626860" w:rsidRDefault="00E963F2">
      <w:pPr>
        <w:pStyle w:val="a5"/>
        <w:spacing w:before="156" w:after="156"/>
      </w:pPr>
      <w:bookmarkStart w:id="103" w:name="_Toc17362"/>
      <w:bookmarkStart w:id="104" w:name="_Toc9970"/>
      <w:r>
        <w:rPr>
          <w:rFonts w:hint="eastAsia"/>
        </w:rPr>
        <w:t>安全检查</w:t>
      </w:r>
      <w:bookmarkEnd w:id="103"/>
      <w:bookmarkEnd w:id="104"/>
    </w:p>
    <w:p w:rsidR="00626860" w:rsidRDefault="00E963F2">
      <w:pPr>
        <w:pStyle w:val="aff9"/>
      </w:pPr>
      <w:r>
        <w:t>安全检查宜采用日常安全检查、定期安全检查、专业安全检查、季节性专项安全检查、节前安全检查</w:t>
      </w:r>
      <w:r>
        <w:rPr>
          <w:rFonts w:hint="eastAsia"/>
        </w:rPr>
        <w:t>、</w:t>
      </w:r>
      <w:r>
        <w:t>重大活动前安全检查</w:t>
      </w:r>
      <w:r>
        <w:rPr>
          <w:rFonts w:hint="eastAsia"/>
        </w:rPr>
        <w:t>和安全隐患排查</w:t>
      </w:r>
      <w:r>
        <w:t>等形式。</w:t>
      </w:r>
      <w:r>
        <w:rPr>
          <w:rFonts w:hint="eastAsia"/>
        </w:rPr>
        <w:t>宜根据设施特点，确定检查的内容、方式、周期、范围、处理流程等。</w:t>
      </w:r>
    </w:p>
    <w:p w:rsidR="00626860" w:rsidRDefault="00E963F2">
      <w:pPr>
        <w:pStyle w:val="aff9"/>
      </w:pPr>
      <w:r>
        <w:t>运营单位对安全检查中发现的各类安全问题，应</w:t>
      </w:r>
      <w:r>
        <w:rPr>
          <w:rFonts w:hint="eastAsia"/>
        </w:rPr>
        <w:t>立即制组织</w:t>
      </w:r>
      <w:r>
        <w:t>整改。</w:t>
      </w:r>
      <w:r>
        <w:rPr>
          <w:rFonts w:hint="eastAsia"/>
        </w:rPr>
        <w:t>本单位无力解决的应书面向相关部门报告，在整改未完成前应采取有效防范措施或停止运行。</w:t>
      </w:r>
    </w:p>
    <w:p w:rsidR="00626860" w:rsidRDefault="00E963F2">
      <w:pPr>
        <w:pStyle w:val="aff9"/>
      </w:pPr>
      <w:r>
        <w:rPr>
          <w:rFonts w:hint="eastAsia"/>
        </w:rPr>
        <w:t>应对使用的压力容器、压力管道、安全附件、气体检测仪器、计量器具等进行日常安全检查，定期向有关部门申请检验、校验。</w:t>
      </w:r>
    </w:p>
    <w:p w:rsidR="00626860" w:rsidRDefault="00E963F2">
      <w:pPr>
        <w:pStyle w:val="a5"/>
        <w:spacing w:before="156" w:after="156"/>
      </w:pPr>
      <w:bookmarkStart w:id="105" w:name="_Toc14103"/>
      <w:bookmarkStart w:id="106" w:name="_Toc32694"/>
      <w:r>
        <w:t>应急管理</w:t>
      </w:r>
      <w:bookmarkEnd w:id="105"/>
      <w:bookmarkEnd w:id="106"/>
      <w:r>
        <w:rPr>
          <w:rFonts w:hint="eastAsia"/>
        </w:rPr>
        <w:t xml:space="preserve">　　</w:t>
      </w:r>
      <w:proofErr w:type="gramStart"/>
      <w:r>
        <w:rPr>
          <w:rFonts w:hint="eastAsia"/>
        </w:rPr>
        <w:t xml:space="preserve">　</w:t>
      </w:r>
      <w:proofErr w:type="gramEnd"/>
    </w:p>
    <w:p w:rsidR="00626860" w:rsidRDefault="00E963F2">
      <w:pPr>
        <w:pStyle w:val="aff9"/>
      </w:pPr>
      <w:r>
        <w:t>运营单位</w:t>
      </w:r>
      <w:proofErr w:type="gramStart"/>
      <w:r>
        <w:t>宜设立</w:t>
      </w:r>
      <w:proofErr w:type="gramEnd"/>
      <w:r>
        <w:t>统一的应急指挥中心，承担各类突发事件的指挥协调处置工作。</w:t>
      </w:r>
    </w:p>
    <w:p w:rsidR="00626860" w:rsidRDefault="00E963F2">
      <w:pPr>
        <w:pStyle w:val="aff9"/>
      </w:pPr>
      <w:proofErr w:type="gramStart"/>
      <w:r>
        <w:rPr>
          <w:rFonts w:hint="eastAsia"/>
        </w:rPr>
        <w:t>若车辆</w:t>
      </w:r>
      <w:proofErr w:type="gramEnd"/>
      <w:r>
        <w:rPr>
          <w:rFonts w:hint="eastAsia"/>
        </w:rPr>
        <w:t>发生火警、严重气体泄漏等突发事件，驾驶员应</w:t>
      </w:r>
      <w:r>
        <w:rPr>
          <w:rFonts w:hint="eastAsia"/>
          <w:i/>
          <w:iCs/>
        </w:rPr>
        <w:t>启动紧急关停系统</w:t>
      </w:r>
      <w:r>
        <w:rPr>
          <w:rFonts w:hint="eastAsia"/>
        </w:rPr>
        <w:t>，疏散乘客，到安全的地方拨打火警电话，严格按照突发事件处置程序进行处理。</w:t>
      </w:r>
    </w:p>
    <w:p w:rsidR="00626860" w:rsidRDefault="00E963F2">
      <w:pPr>
        <w:pStyle w:val="aff9"/>
      </w:pPr>
      <w:r>
        <w:t>应编制突发事件应急预案，应急预案编制应科学合理，内容完备，针对性和操作性强，并定期</w:t>
      </w:r>
      <w:r>
        <w:t>进行演练。</w:t>
      </w:r>
    </w:p>
    <w:p w:rsidR="00626860" w:rsidRDefault="00E963F2">
      <w:pPr>
        <w:pStyle w:val="aff9"/>
      </w:pPr>
      <w:r>
        <w:lastRenderedPageBreak/>
        <w:t>应根据有关法律法规和标准的变动情况、安全生产条件的变化情况以及应急预案演练和应用过程中发现的问题，及时修订完善应急预案。</w:t>
      </w:r>
    </w:p>
    <w:p w:rsidR="00626860" w:rsidRDefault="00E963F2">
      <w:pPr>
        <w:pStyle w:val="aff9"/>
      </w:pPr>
      <w:r>
        <w:t>运营单位制定的应急预案</w:t>
      </w:r>
      <w:r>
        <w:rPr>
          <w:rFonts w:hint="eastAsia"/>
        </w:rPr>
        <w:t>应</w:t>
      </w:r>
      <w:r>
        <w:t>遵循统一指挥、逐级负责、快速反应、配合协同原则</w:t>
      </w:r>
      <w:r>
        <w:rPr>
          <w:rFonts w:hint="eastAsia"/>
        </w:rPr>
        <w:t>。</w:t>
      </w:r>
      <w:r>
        <w:t>发生运营安全事故后，应按规定立即启动相应级别的应急预案，采取应急抢险措施，防止事态扩大，在确保安全的前提下尽快恢复正常运营，并按规定及时报告。</w:t>
      </w:r>
    </w:p>
    <w:p w:rsidR="00626860" w:rsidRDefault="00E963F2">
      <w:pPr>
        <w:pStyle w:val="a5"/>
        <w:spacing w:before="156" w:after="156"/>
      </w:pPr>
      <w:bookmarkStart w:id="107" w:name="_Toc10972"/>
      <w:bookmarkStart w:id="108" w:name="_Toc12085"/>
      <w:r>
        <w:rPr>
          <w:rFonts w:hint="eastAsia"/>
        </w:rPr>
        <w:t>设备安全管理</w:t>
      </w:r>
      <w:bookmarkEnd w:id="101"/>
      <w:bookmarkEnd w:id="102"/>
      <w:bookmarkEnd w:id="107"/>
      <w:bookmarkEnd w:id="108"/>
    </w:p>
    <w:p w:rsidR="00626860" w:rsidRDefault="00E963F2">
      <w:pPr>
        <w:pStyle w:val="aff9"/>
      </w:pPr>
      <w:r>
        <w:rPr>
          <w:rFonts w:hint="eastAsia"/>
        </w:rPr>
        <w:t>氢气瓶应根据《气瓶安全监察规程》的规定，每</w:t>
      </w:r>
      <w:r>
        <w:rPr>
          <w:rFonts w:hint="eastAsia"/>
        </w:rPr>
        <w:t>3</w:t>
      </w:r>
      <w:r>
        <w:rPr>
          <w:rFonts w:hint="eastAsia"/>
        </w:rPr>
        <w:t>年进行检验，气瓶上应有检验钢印及检验色标。</w:t>
      </w:r>
    </w:p>
    <w:p w:rsidR="00626860" w:rsidRDefault="00E963F2">
      <w:pPr>
        <w:pStyle w:val="aff9"/>
      </w:pPr>
      <w:r>
        <w:rPr>
          <w:rFonts w:hint="eastAsia"/>
        </w:rPr>
        <w:t>对氢气设备、管道和阀门等连接点进行漏气检查时，应使用中性肥皂</w:t>
      </w:r>
      <w:r>
        <w:rPr>
          <w:rFonts w:hint="eastAsia"/>
        </w:rPr>
        <w:t>水或便携式可燃气体检测报警仪，禁止使用明火进行漏气检查。便携式可燃气体报警仪应定期校验。</w:t>
      </w:r>
    </w:p>
    <w:p w:rsidR="00626860" w:rsidRDefault="00E963F2">
      <w:pPr>
        <w:pStyle w:val="aff9"/>
      </w:pPr>
      <w:r>
        <w:rPr>
          <w:rFonts w:hint="eastAsia"/>
        </w:rPr>
        <w:t>爆炸危险区域内电气设备应符合</w:t>
      </w:r>
      <w:r>
        <w:rPr>
          <w:rFonts w:hint="eastAsia"/>
        </w:rPr>
        <w:t>GB 3836.1</w:t>
      </w:r>
      <w:r>
        <w:rPr>
          <w:rFonts w:hint="eastAsia"/>
        </w:rPr>
        <w:t>的要求。与氢气相关的所有电气设备应有防静电接地装置，应定期检测接地电阻，每年至少检测一次。</w:t>
      </w:r>
    </w:p>
    <w:p w:rsidR="00626860" w:rsidRDefault="00E963F2">
      <w:pPr>
        <w:pStyle w:val="aff9"/>
      </w:pPr>
      <w:r>
        <w:rPr>
          <w:rFonts w:hint="eastAsia"/>
        </w:rPr>
        <w:t>应按照规定的检验周期对运行设备进行有效检验，记录相关检验信息并保留原始凭证，宜在设备上以不易擦除的描述明示下次检验时间或有效期。</w:t>
      </w:r>
    </w:p>
    <w:p w:rsidR="00626860" w:rsidRDefault="00E963F2">
      <w:pPr>
        <w:pStyle w:val="a4"/>
        <w:spacing w:before="312" w:after="312"/>
        <w:ind w:left="0"/>
      </w:pPr>
      <w:bookmarkStart w:id="109" w:name="_Toc31663"/>
      <w:bookmarkStart w:id="110" w:name="_Toc31133"/>
      <w:bookmarkStart w:id="111" w:name="_Toc20351"/>
      <w:bookmarkStart w:id="112" w:name="_Toc14106"/>
      <w:r>
        <w:rPr>
          <w:rFonts w:hint="eastAsia"/>
          <w:szCs w:val="22"/>
        </w:rPr>
        <w:t>服务</w:t>
      </w:r>
      <w:bookmarkEnd w:id="109"/>
      <w:bookmarkEnd w:id="110"/>
      <w:bookmarkEnd w:id="111"/>
      <w:bookmarkEnd w:id="112"/>
      <w:r>
        <w:rPr>
          <w:rFonts w:hint="eastAsia"/>
          <w:szCs w:val="22"/>
        </w:rPr>
        <w:t>评价及投诉</w:t>
      </w:r>
    </w:p>
    <w:p w:rsidR="00626860" w:rsidRDefault="00E963F2">
      <w:pPr>
        <w:pStyle w:val="a5"/>
        <w:spacing w:before="156" w:after="156"/>
      </w:pPr>
      <w:bookmarkStart w:id="113" w:name="_Toc20779"/>
      <w:bookmarkStart w:id="114" w:name="_Toc2847"/>
      <w:bookmarkStart w:id="115" w:name="_Toc4733"/>
      <w:bookmarkStart w:id="116" w:name="_Toc2885"/>
      <w:r>
        <w:rPr>
          <w:rFonts w:hint="eastAsia"/>
        </w:rPr>
        <w:t>服务评价</w:t>
      </w:r>
      <w:bookmarkEnd w:id="113"/>
      <w:bookmarkEnd w:id="114"/>
      <w:bookmarkEnd w:id="115"/>
      <w:bookmarkEnd w:id="116"/>
    </w:p>
    <w:p w:rsidR="00626860" w:rsidRDefault="00E963F2">
      <w:pPr>
        <w:pStyle w:val="aff9"/>
      </w:pPr>
      <w:r>
        <w:rPr>
          <w:rFonts w:hint="eastAsia"/>
        </w:rPr>
        <w:t>运营单位应建立服务质量评价体系，定期在企业内部开展服务质量考核和评价。</w:t>
      </w:r>
    </w:p>
    <w:p w:rsidR="00626860" w:rsidRDefault="00E963F2">
      <w:pPr>
        <w:pStyle w:val="aff9"/>
      </w:pPr>
      <w:r>
        <w:rPr>
          <w:rFonts w:hint="eastAsia"/>
        </w:rPr>
        <w:t>服务质量和乘客满意度等方面评价宜由所在地道路运输管理机构</w:t>
      </w:r>
      <w:r>
        <w:rPr>
          <w:rFonts w:hint="eastAsia"/>
        </w:rPr>
        <w:t>负责组织实施。</w:t>
      </w:r>
    </w:p>
    <w:p w:rsidR="00626860" w:rsidRDefault="00E963F2">
      <w:pPr>
        <w:pStyle w:val="a5"/>
        <w:spacing w:before="156" w:after="156"/>
      </w:pPr>
      <w:bookmarkStart w:id="117" w:name="_Toc20727"/>
      <w:bookmarkStart w:id="118" w:name="_Toc15681"/>
      <w:bookmarkStart w:id="119" w:name="_Toc27579"/>
      <w:bookmarkStart w:id="120" w:name="_Toc10618"/>
      <w:r>
        <w:rPr>
          <w:rFonts w:hint="eastAsia"/>
        </w:rPr>
        <w:t>投诉管理</w:t>
      </w:r>
      <w:bookmarkEnd w:id="117"/>
      <w:bookmarkEnd w:id="118"/>
      <w:bookmarkEnd w:id="119"/>
      <w:bookmarkEnd w:id="120"/>
    </w:p>
    <w:p w:rsidR="00626860" w:rsidRDefault="00E963F2">
      <w:pPr>
        <w:pStyle w:val="aff9"/>
      </w:pPr>
      <w:r>
        <w:rPr>
          <w:rFonts w:hint="eastAsia"/>
        </w:rPr>
        <w:t>运营单位应建立服务投诉处理制度，公布投诉电话等联系方式。</w:t>
      </w:r>
    </w:p>
    <w:p w:rsidR="00626860" w:rsidRDefault="00E963F2">
      <w:pPr>
        <w:pStyle w:val="aff9"/>
      </w:pPr>
      <w:r>
        <w:rPr>
          <w:rFonts w:hint="eastAsia"/>
        </w:rPr>
        <w:t>运营单位应按照</w:t>
      </w:r>
      <w:r>
        <w:rPr>
          <w:rFonts w:hint="eastAsia"/>
        </w:rPr>
        <w:t>GB/T 17242</w:t>
      </w:r>
      <w:r>
        <w:rPr>
          <w:rFonts w:hint="eastAsia"/>
        </w:rPr>
        <w:t>处理乘客服务投诉。</w:t>
      </w:r>
    </w:p>
    <w:p w:rsidR="00626860" w:rsidRDefault="00E963F2">
      <w:pPr>
        <w:pStyle w:val="aff9"/>
      </w:pPr>
      <w:r>
        <w:rPr>
          <w:rFonts w:hint="eastAsia"/>
        </w:rPr>
        <w:t>运营单位对乘客的投诉应自收到投诉之日起</w:t>
      </w:r>
      <w:r>
        <w:rPr>
          <w:rFonts w:hint="eastAsia"/>
        </w:rPr>
        <w:t>5</w:t>
      </w:r>
      <w:r>
        <w:rPr>
          <w:rFonts w:hint="eastAsia"/>
        </w:rPr>
        <w:t>个工作日内</w:t>
      </w:r>
      <w:proofErr w:type="gramStart"/>
      <w:r>
        <w:rPr>
          <w:rFonts w:hint="eastAsia"/>
        </w:rPr>
        <w:t>作出</w:t>
      </w:r>
      <w:proofErr w:type="gramEnd"/>
      <w:r>
        <w:rPr>
          <w:rFonts w:hint="eastAsia"/>
        </w:rPr>
        <w:t>答复。</w:t>
      </w:r>
    </w:p>
    <w:p w:rsidR="00626860" w:rsidRDefault="00E963F2">
      <w:pPr>
        <w:pStyle w:val="a4"/>
        <w:spacing w:before="312" w:after="312"/>
        <w:ind w:left="0"/>
        <w:rPr>
          <w:szCs w:val="22"/>
        </w:rPr>
      </w:pPr>
      <w:bookmarkStart w:id="121" w:name="_Toc88"/>
      <w:bookmarkStart w:id="122" w:name="_Toc12600"/>
      <w:bookmarkStart w:id="123" w:name="_Toc15730"/>
      <w:bookmarkStart w:id="124" w:name="_Toc31493"/>
      <w:r>
        <w:rPr>
          <w:rFonts w:hint="eastAsia"/>
          <w:szCs w:val="22"/>
        </w:rPr>
        <w:t>安全标志标识</w:t>
      </w:r>
      <w:bookmarkEnd w:id="121"/>
      <w:bookmarkEnd w:id="122"/>
      <w:bookmarkEnd w:id="123"/>
      <w:bookmarkEnd w:id="124"/>
    </w:p>
    <w:p w:rsidR="00626860" w:rsidRDefault="00E963F2">
      <w:pPr>
        <w:pStyle w:val="a5"/>
        <w:spacing w:beforeLines="0" w:afterLines="0"/>
        <w:rPr>
          <w:rFonts w:ascii="宋体" w:eastAsia="宋体" w:hAnsi="宋体" w:cs="宋体"/>
        </w:rPr>
      </w:pPr>
      <w:bookmarkStart w:id="125" w:name="_Toc6363"/>
      <w:bookmarkStart w:id="126" w:name="_Toc31262"/>
      <w:bookmarkStart w:id="127" w:name="_Toc7999"/>
      <w:bookmarkStart w:id="128" w:name="_Toc4361"/>
      <w:r>
        <w:rPr>
          <w:rFonts w:ascii="宋体" w:eastAsia="宋体" w:hAnsi="宋体" w:cs="宋体" w:hint="eastAsia"/>
        </w:rPr>
        <w:t>在涉及安全隐患的主要设备、主要操作点等明显处，标示紧急安全联系人的姓名及其联系电话等信息。在氢燃料电池公交车上用突出颜色标出关键急停开关、紧急截止阀、放空阀等安全部件。</w:t>
      </w:r>
      <w:bookmarkEnd w:id="125"/>
      <w:bookmarkEnd w:id="126"/>
      <w:bookmarkEnd w:id="127"/>
      <w:bookmarkEnd w:id="128"/>
    </w:p>
    <w:p w:rsidR="00626860" w:rsidRDefault="00E963F2">
      <w:pPr>
        <w:pStyle w:val="a5"/>
        <w:spacing w:beforeLines="0" w:afterLines="0"/>
        <w:rPr>
          <w:rFonts w:ascii="宋体" w:eastAsia="宋体" w:hAnsi="宋体" w:cs="宋体"/>
        </w:rPr>
      </w:pPr>
      <w:bookmarkStart w:id="129" w:name="_Toc31831"/>
      <w:bookmarkStart w:id="130" w:name="_Toc30014"/>
      <w:bookmarkStart w:id="131" w:name="_Toc772"/>
      <w:bookmarkStart w:id="132" w:name="_Toc23579"/>
      <w:r>
        <w:rPr>
          <w:rFonts w:ascii="宋体" w:eastAsia="宋体" w:hAnsi="宋体" w:cs="宋体" w:hint="eastAsia"/>
        </w:rPr>
        <w:t>应在危险区域和重要设备、设施处悬挂安全警示标志。</w:t>
      </w:r>
      <w:bookmarkEnd w:id="129"/>
      <w:bookmarkEnd w:id="130"/>
      <w:bookmarkEnd w:id="131"/>
      <w:bookmarkEnd w:id="132"/>
    </w:p>
    <w:bookmarkEnd w:id="2"/>
    <w:p w:rsidR="00626860" w:rsidRDefault="00E963F2">
      <w:pPr>
        <w:pStyle w:val="aff5"/>
        <w:framePr w:wrap="around" w:hAnchor="page" w:x="4064" w:y="302"/>
        <w:spacing w:before="156" w:after="156"/>
        <w:jc w:val="center"/>
      </w:pPr>
      <w:r>
        <w:t>_________________________________</w:t>
      </w:r>
    </w:p>
    <w:p w:rsidR="00626860" w:rsidRDefault="00626860">
      <w:pPr>
        <w:pStyle w:val="a4"/>
        <w:numPr>
          <w:ilvl w:val="0"/>
          <w:numId w:val="0"/>
        </w:numPr>
        <w:spacing w:before="312" w:after="312"/>
        <w:jc w:val="center"/>
        <w:rPr>
          <w:rFonts w:ascii="Swis721 BlkCn BT" w:hAnsi="Swis721 BlkCn BT"/>
          <w:sz w:val="144"/>
          <w:szCs w:val="144"/>
        </w:rPr>
      </w:pPr>
    </w:p>
    <w:sectPr w:rsidR="00626860">
      <w:footerReference w:type="default" r:id="rId14"/>
      <w:pgSz w:w="11906" w:h="16838"/>
      <w:pgMar w:top="1440" w:right="1797" w:bottom="1440" w:left="1797" w:header="851" w:footer="851"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F2" w:rsidRDefault="00E963F2">
      <w:r>
        <w:separator/>
      </w:r>
    </w:p>
  </w:endnote>
  <w:endnote w:type="continuationSeparator" w:id="0">
    <w:p w:rsidR="00E963F2" w:rsidRDefault="00E9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wis721 BlkCn BT">
    <w:altName w:val="Franklin Gothic Demi Cond"/>
    <w:charset w:val="00"/>
    <w:family w:val="swiss"/>
    <w:pitch w:val="default"/>
    <w:sig w:usb0="00000000"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60" w:rsidRDefault="00E963F2">
    <w:pPr>
      <w:pStyle w:val="afd"/>
      <w:jc w:val="center"/>
    </w:pPr>
    <w:r>
      <w:fldChar w:fldCharType="begin"/>
    </w:r>
    <w:r>
      <w:instrText xml:space="preserve"> PAGE   \* MERGEFORMAT </w:instrText>
    </w:r>
    <w:r>
      <w:fldChar w:fldCharType="separate"/>
    </w:r>
    <w:r w:rsidR="00CC6A71" w:rsidRPr="00CC6A71">
      <w:rPr>
        <w:noProof/>
        <w:lang w:val="zh-CN"/>
      </w:rPr>
      <w:t>6</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F2" w:rsidRDefault="00E963F2">
      <w:r>
        <w:separator/>
      </w:r>
    </w:p>
  </w:footnote>
  <w:footnote w:type="continuationSeparator" w:id="0">
    <w:p w:rsidR="00E963F2" w:rsidRDefault="00E96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60" w:rsidRDefault="00E963F2">
    <w:pPr>
      <w:pStyle w:val="aff8"/>
      <w:tabs>
        <w:tab w:val="left" w:pos="9355"/>
      </w:tabs>
      <w:ind w:right="-1"/>
      <w:jc w:val="center"/>
      <w:rPr>
        <w:b/>
      </w:rPr>
    </w:pPr>
    <w:r>
      <w:t xml:space="preserve">                                                                XXXXX—2015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60" w:rsidRDefault="00E963F2">
    <w:pPr>
      <w:pStyle w:val="afe"/>
      <w:pBdr>
        <w:bottom w:val="none" w:sz="0" w:space="0" w:color="auto"/>
      </w:pBdr>
      <w:jc w:val="right"/>
      <w:rPr>
        <w:sz w:val="21"/>
        <w:szCs w:val="21"/>
      </w:rPr>
    </w:pPr>
    <w:r>
      <w:rPr>
        <w:rFonts w:ascii="宋体" w:cs="宋体"/>
        <w:color w:val="000000"/>
        <w:kern w:val="0"/>
        <w:szCs w:val="21"/>
        <w:lang w:val="zh-CN"/>
      </w:rPr>
      <w:t xml:space="preserve">                                                                             </w:t>
    </w:r>
  </w:p>
  <w:p w:rsidR="00626860" w:rsidRDefault="00626860">
    <w:pPr>
      <w:pStyle w:val="afe"/>
      <w:pBdr>
        <w:bottom w:val="none" w:sz="0" w:space="0" w:color="auto"/>
      </w:pBdr>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60" w:rsidRDefault="00E963F2">
    <w:pPr>
      <w:pStyle w:val="afe"/>
      <w:pBdr>
        <w:bottom w:val="none" w:sz="0" w:space="0" w:color="auto"/>
      </w:pBdr>
      <w:jc w:val="right"/>
      <w:rPr>
        <w:sz w:val="21"/>
        <w:szCs w:val="21"/>
      </w:rPr>
    </w:pPr>
    <w:r>
      <w:rPr>
        <w:rFonts w:ascii="宋体" w:cs="宋体"/>
        <w:color w:val="000000"/>
        <w:kern w:val="0"/>
        <w:szCs w:val="21"/>
      </w:rPr>
      <w:t xml:space="preserve">                                                                         </w:t>
    </w:r>
    <w:r>
      <w:rPr>
        <w:rFonts w:ascii="宋体" w:cs="宋体" w:hint="eastAsia"/>
        <w:color w:val="000000"/>
        <w:kern w:val="0"/>
        <w:szCs w:val="21"/>
      </w:rPr>
      <w:t>T/</w:t>
    </w:r>
    <w:r>
      <w:rPr>
        <w:rFonts w:hint="eastAsia"/>
        <w:sz w:val="21"/>
        <w:szCs w:val="21"/>
      </w:rPr>
      <w:t>CE</w:t>
    </w:r>
    <w:r>
      <w:rPr>
        <w:rFonts w:hint="eastAsia"/>
        <w:sz w:val="21"/>
        <w:szCs w:val="21"/>
      </w:rPr>
      <w:t xml:space="preserve">TE </w:t>
    </w:r>
    <w:r>
      <w:rPr>
        <w:rFonts w:hint="eastAsia"/>
        <w:sz w:val="21"/>
        <w:szCs w:val="21"/>
      </w:rPr>
      <w:t>XXXX</w:t>
    </w:r>
    <w:r>
      <w:rPr>
        <w:sz w:val="21"/>
        <w:szCs w:val="21"/>
      </w:rPr>
      <w:t>—20</w:t>
    </w:r>
    <w:r>
      <w:rPr>
        <w:rFonts w:hint="eastAsia"/>
        <w:sz w:val="21"/>
        <w:szCs w:val="21"/>
      </w:rPr>
      <w:t>20</w:t>
    </w:r>
  </w:p>
  <w:p w:rsidR="00626860" w:rsidRDefault="00626860">
    <w:pPr>
      <w:pStyle w:val="afe"/>
      <w:pBdr>
        <w:bottom w:val="none" w:sz="0" w:space="0" w:color="auto"/>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nsid w:val="1FC91163"/>
    <w:multiLevelType w:val="multilevel"/>
    <w:tmpl w:val="1FC91163"/>
    <w:lvl w:ilvl="0">
      <w:start w:val="1"/>
      <w:numFmt w:val="decimal"/>
      <w:pStyle w:val="a4"/>
      <w:suff w:val="nothing"/>
      <w:lvlText w:val="%1　"/>
      <w:lvlJc w:val="left"/>
      <w:pPr>
        <w:ind w:left="142"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nsid w:val="44C50F90"/>
    <w:multiLevelType w:val="multilevel"/>
    <w:tmpl w:val="44C50F90"/>
    <w:lvl w:ilvl="0">
      <w:start w:val="1"/>
      <w:numFmt w:val="lowerLetter"/>
      <w:pStyle w:val="ac"/>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d"/>
      <w:lvlText w:val="%2)"/>
      <w:lvlJc w:val="left"/>
      <w:pPr>
        <w:tabs>
          <w:tab w:val="left" w:pos="1259"/>
        </w:tabs>
        <w:ind w:left="1259" w:hanging="420"/>
      </w:pPr>
      <w:rPr>
        <w:rFonts w:ascii="宋体" w:eastAsia="宋体" w:hAnsi="宋体" w:hint="eastAsia"/>
        <w:b w:val="0"/>
        <w:i w:val="0"/>
        <w:sz w:val="20"/>
      </w:rPr>
    </w:lvl>
    <w:lvl w:ilvl="2">
      <w:start w:val="1"/>
      <w:numFmt w:val="decimal"/>
      <w:pStyle w:val="ae"/>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4">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5">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315"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0061"/>
    <w:rsid w:val="0000499C"/>
    <w:rsid w:val="000D4E66"/>
    <w:rsid w:val="000F109A"/>
    <w:rsid w:val="000F2425"/>
    <w:rsid w:val="00135FA4"/>
    <w:rsid w:val="0013741F"/>
    <w:rsid w:val="00145CEB"/>
    <w:rsid w:val="00156D7D"/>
    <w:rsid w:val="00177104"/>
    <w:rsid w:val="00193933"/>
    <w:rsid w:val="001B2957"/>
    <w:rsid w:val="001E2099"/>
    <w:rsid w:val="00333B3B"/>
    <w:rsid w:val="00360F17"/>
    <w:rsid w:val="003635CE"/>
    <w:rsid w:val="003C1A86"/>
    <w:rsid w:val="00436192"/>
    <w:rsid w:val="0044125A"/>
    <w:rsid w:val="00441DA4"/>
    <w:rsid w:val="004A2209"/>
    <w:rsid w:val="004C462D"/>
    <w:rsid w:val="00540061"/>
    <w:rsid w:val="005776DA"/>
    <w:rsid w:val="005A05A0"/>
    <w:rsid w:val="005A3B67"/>
    <w:rsid w:val="005E7B52"/>
    <w:rsid w:val="00620F87"/>
    <w:rsid w:val="00626860"/>
    <w:rsid w:val="006336DD"/>
    <w:rsid w:val="00695AC3"/>
    <w:rsid w:val="007843F1"/>
    <w:rsid w:val="00796875"/>
    <w:rsid w:val="007B4A05"/>
    <w:rsid w:val="00801064"/>
    <w:rsid w:val="00814F95"/>
    <w:rsid w:val="0088534A"/>
    <w:rsid w:val="008A6BF1"/>
    <w:rsid w:val="008D7758"/>
    <w:rsid w:val="008F2A42"/>
    <w:rsid w:val="0094161A"/>
    <w:rsid w:val="00973034"/>
    <w:rsid w:val="00976015"/>
    <w:rsid w:val="00987BEC"/>
    <w:rsid w:val="009E2478"/>
    <w:rsid w:val="00A05F1E"/>
    <w:rsid w:val="00B32D73"/>
    <w:rsid w:val="00B90B04"/>
    <w:rsid w:val="00BB23EB"/>
    <w:rsid w:val="00BD5BCE"/>
    <w:rsid w:val="00C56515"/>
    <w:rsid w:val="00C651CF"/>
    <w:rsid w:val="00CC6A71"/>
    <w:rsid w:val="00CC7004"/>
    <w:rsid w:val="00CD49D1"/>
    <w:rsid w:val="00D24495"/>
    <w:rsid w:val="00D93781"/>
    <w:rsid w:val="00D95DBD"/>
    <w:rsid w:val="00DE3A25"/>
    <w:rsid w:val="00DE5FD0"/>
    <w:rsid w:val="00E06514"/>
    <w:rsid w:val="00E22736"/>
    <w:rsid w:val="00E57777"/>
    <w:rsid w:val="00E83D90"/>
    <w:rsid w:val="00E963F2"/>
    <w:rsid w:val="00ED045B"/>
    <w:rsid w:val="00ED1739"/>
    <w:rsid w:val="00EF0AEB"/>
    <w:rsid w:val="00F23BB4"/>
    <w:rsid w:val="00F2485A"/>
    <w:rsid w:val="00F26ADA"/>
    <w:rsid w:val="00F83FAB"/>
    <w:rsid w:val="00F84550"/>
    <w:rsid w:val="00FA2046"/>
    <w:rsid w:val="00FA2251"/>
    <w:rsid w:val="00FC08D7"/>
    <w:rsid w:val="0AD964A6"/>
    <w:rsid w:val="27BE59EA"/>
    <w:rsid w:val="350B5D40"/>
    <w:rsid w:val="38754055"/>
    <w:rsid w:val="440709B5"/>
    <w:rsid w:val="447A235F"/>
    <w:rsid w:val="57635BC7"/>
    <w:rsid w:val="63BB65A6"/>
    <w:rsid w:val="6EA31328"/>
    <w:rsid w:val="6FE9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1" type="connector" idref="#_x0000_s1027"/>
        <o:r id="V:Rule2" type="connector" idref="#自选图形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pPr>
      <w:widowControl w:val="0"/>
      <w:jc w:val="both"/>
    </w:pPr>
    <w:rPr>
      <w:rFonts w:asciiTheme="minorHAnsi" w:eastAsiaTheme="minorEastAsia" w:hAnsiTheme="minorHAnsi" w:cstheme="minorBidi"/>
      <w:kern w:val="2"/>
      <w:sz w:val="21"/>
      <w:szCs w:val="21"/>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styleId="afc">
    <w:name w:val="Balloon Text"/>
    <w:basedOn w:val="af8"/>
    <w:link w:val="Char"/>
    <w:uiPriority w:val="99"/>
    <w:semiHidden/>
    <w:unhideWhenUsed/>
    <w:rPr>
      <w:sz w:val="18"/>
      <w:szCs w:val="18"/>
    </w:rPr>
  </w:style>
  <w:style w:type="paragraph" w:styleId="afd">
    <w:name w:val="footer"/>
    <w:basedOn w:val="af8"/>
    <w:link w:val="Char0"/>
    <w:unhideWhenUsed/>
    <w:pPr>
      <w:tabs>
        <w:tab w:val="center" w:pos="4153"/>
        <w:tab w:val="right" w:pos="8306"/>
      </w:tabs>
      <w:snapToGrid w:val="0"/>
      <w:jc w:val="left"/>
    </w:pPr>
    <w:rPr>
      <w:sz w:val="18"/>
      <w:szCs w:val="18"/>
    </w:rPr>
  </w:style>
  <w:style w:type="paragraph" w:styleId="afe">
    <w:name w:val="header"/>
    <w:basedOn w:val="af8"/>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f8"/>
    <w:next w:val="af8"/>
    <w:semiHidden/>
    <w:qFormat/>
    <w:pPr>
      <w:tabs>
        <w:tab w:val="right" w:leader="dot" w:pos="9241"/>
      </w:tabs>
      <w:spacing w:beforeLines="25" w:afterLines="25"/>
      <w:jc w:val="left"/>
    </w:pPr>
    <w:rPr>
      <w:rFonts w:ascii="宋体" w:eastAsia="宋体" w:hAnsi="Times New Roman" w:cs="Times New Roman"/>
    </w:rPr>
  </w:style>
  <w:style w:type="paragraph" w:styleId="aff">
    <w:name w:val="Normal (Web)"/>
    <w:basedOn w:val="af8"/>
    <w:qFormat/>
    <w:pPr>
      <w:widowControl/>
      <w:spacing w:before="100" w:beforeAutospacing="1" w:after="100" w:afterAutospacing="1"/>
      <w:jc w:val="left"/>
    </w:pPr>
    <w:rPr>
      <w:rFonts w:ascii="宋体" w:eastAsia="宋体" w:hAnsi="宋体" w:cs="宋体"/>
      <w:kern w:val="0"/>
      <w:sz w:val="24"/>
      <w:szCs w:val="24"/>
    </w:rPr>
  </w:style>
  <w:style w:type="character" w:styleId="aff0">
    <w:name w:val="page number"/>
    <w:basedOn w:val="af9"/>
    <w:qFormat/>
    <w:rPr>
      <w:rFonts w:ascii="Times New Roman" w:eastAsia="宋体" w:hAnsi="Times New Roman" w:cs="Times New Roman"/>
      <w:sz w:val="18"/>
    </w:rPr>
  </w:style>
  <w:style w:type="character" w:styleId="aff1">
    <w:name w:val="Hyperlink"/>
    <w:qFormat/>
    <w:rPr>
      <w:color w:val="0000FF"/>
      <w:spacing w:val="0"/>
      <w:w w:val="100"/>
      <w:szCs w:val="21"/>
      <w:u w:val="single"/>
    </w:rPr>
  </w:style>
  <w:style w:type="character" w:customStyle="1" w:styleId="Char1">
    <w:name w:val="页眉 Char"/>
    <w:basedOn w:val="af9"/>
    <w:link w:val="afe"/>
    <w:uiPriority w:val="99"/>
    <w:semiHidden/>
    <w:qFormat/>
    <w:rPr>
      <w:sz w:val="18"/>
      <w:szCs w:val="18"/>
    </w:rPr>
  </w:style>
  <w:style w:type="character" w:customStyle="1" w:styleId="Char0">
    <w:name w:val="页脚 Char"/>
    <w:basedOn w:val="af9"/>
    <w:link w:val="afd"/>
    <w:uiPriority w:val="99"/>
    <w:semiHidden/>
    <w:qFormat/>
    <w:rPr>
      <w:sz w:val="18"/>
      <w:szCs w:val="18"/>
    </w:rPr>
  </w:style>
  <w:style w:type="character" w:customStyle="1" w:styleId="Char">
    <w:name w:val="批注框文本 Char"/>
    <w:basedOn w:val="af9"/>
    <w:link w:val="afc"/>
    <w:uiPriority w:val="99"/>
    <w:semiHidden/>
    <w:qFormat/>
    <w:rPr>
      <w:sz w:val="18"/>
      <w:szCs w:val="18"/>
    </w:rPr>
  </w:style>
  <w:style w:type="paragraph" w:customStyle="1" w:styleId="aff2">
    <w:name w:val="目次、标准名称标题"/>
    <w:basedOn w:val="af8"/>
    <w:next w:val="aff3"/>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3">
    <w:name w:val="段"/>
    <w:link w:val="Char2"/>
    <w:qFormat/>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ff3"/>
    <w:qFormat/>
    <w:rPr>
      <w:rFonts w:ascii="宋体" w:eastAsia="宋体" w:hAnsi="Times New Roman" w:cs="Times New Roman"/>
      <w:kern w:val="0"/>
      <w:szCs w:val="20"/>
    </w:rPr>
  </w:style>
  <w:style w:type="paragraph" w:customStyle="1" w:styleId="a5">
    <w:name w:val="一级条标题"/>
    <w:next w:val="aff3"/>
    <w:qFormat/>
    <w:pPr>
      <w:numPr>
        <w:ilvl w:val="1"/>
        <w:numId w:val="1"/>
      </w:numPr>
      <w:spacing w:beforeLines="50" w:afterLines="50"/>
      <w:outlineLvl w:val="2"/>
    </w:pPr>
    <w:rPr>
      <w:rFonts w:ascii="黑体" w:eastAsia="黑体"/>
      <w:sz w:val="21"/>
      <w:szCs w:val="21"/>
    </w:rPr>
  </w:style>
  <w:style w:type="paragraph" w:customStyle="1" w:styleId="a4">
    <w:name w:val="章标题"/>
    <w:next w:val="aff3"/>
    <w:qFormat/>
    <w:pPr>
      <w:numPr>
        <w:numId w:val="1"/>
      </w:numPr>
      <w:spacing w:beforeLines="100" w:afterLines="100"/>
      <w:jc w:val="both"/>
      <w:outlineLvl w:val="1"/>
    </w:pPr>
    <w:rPr>
      <w:rFonts w:ascii="黑体" w:eastAsia="黑体"/>
      <w:sz w:val="21"/>
    </w:rPr>
  </w:style>
  <w:style w:type="paragraph" w:customStyle="1" w:styleId="a6">
    <w:name w:val="二级条标题"/>
    <w:basedOn w:val="a5"/>
    <w:next w:val="aff3"/>
    <w:qFormat/>
    <w:pPr>
      <w:numPr>
        <w:ilvl w:val="2"/>
      </w:numPr>
      <w:spacing w:before="50" w:after="50"/>
      <w:outlineLvl w:val="3"/>
    </w:pPr>
  </w:style>
  <w:style w:type="paragraph" w:customStyle="1" w:styleId="a7">
    <w:name w:val="三级条标题"/>
    <w:basedOn w:val="a6"/>
    <w:next w:val="aff3"/>
    <w:qFormat/>
    <w:pPr>
      <w:numPr>
        <w:ilvl w:val="3"/>
      </w:numPr>
      <w:outlineLvl w:val="4"/>
    </w:pPr>
  </w:style>
  <w:style w:type="paragraph" w:customStyle="1" w:styleId="a8">
    <w:name w:val="四级条标题"/>
    <w:basedOn w:val="a7"/>
    <w:next w:val="aff3"/>
    <w:qFormat/>
    <w:pPr>
      <w:numPr>
        <w:ilvl w:val="4"/>
      </w:numPr>
      <w:outlineLvl w:val="5"/>
    </w:pPr>
  </w:style>
  <w:style w:type="paragraph" w:customStyle="1" w:styleId="a9">
    <w:name w:val="五级条标题"/>
    <w:basedOn w:val="a8"/>
    <w:next w:val="aff3"/>
    <w:qFormat/>
    <w:pPr>
      <w:numPr>
        <w:ilvl w:val="5"/>
      </w:numPr>
      <w:outlineLvl w:val="6"/>
    </w:pPr>
  </w:style>
  <w:style w:type="paragraph" w:customStyle="1" w:styleId="af1">
    <w:name w:val="附录标识"/>
    <w:basedOn w:val="af8"/>
    <w:next w:val="aff3"/>
    <w:qFormat/>
    <w:pPr>
      <w:keepNext/>
      <w:widowControl/>
      <w:numPr>
        <w:numId w:val="2"/>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
    <w:name w:val="附录表标号"/>
    <w:basedOn w:val="af8"/>
    <w:next w:val="aff3"/>
    <w:qFormat/>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0">
    <w:name w:val="附录表标题"/>
    <w:basedOn w:val="af8"/>
    <w:next w:val="aff3"/>
    <w:qFormat/>
    <w:pPr>
      <w:numPr>
        <w:ilvl w:val="1"/>
        <w:numId w:val="3"/>
      </w:numPr>
      <w:tabs>
        <w:tab w:val="left" w:pos="180"/>
      </w:tabs>
      <w:spacing w:beforeLines="50" w:afterLines="50"/>
      <w:ind w:left="0" w:firstLine="0"/>
      <w:jc w:val="center"/>
    </w:pPr>
    <w:rPr>
      <w:rFonts w:ascii="黑体" w:eastAsia="黑体" w:hAnsi="Times New Roman" w:cs="Times New Roman"/>
    </w:rPr>
  </w:style>
  <w:style w:type="paragraph" w:customStyle="1" w:styleId="af4">
    <w:name w:val="附录二级条标题"/>
    <w:basedOn w:val="af8"/>
    <w:next w:val="aff3"/>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5">
    <w:name w:val="附录三级条标题"/>
    <w:basedOn w:val="af4"/>
    <w:next w:val="aff3"/>
    <w:qFormat/>
    <w:pPr>
      <w:numPr>
        <w:ilvl w:val="4"/>
      </w:numPr>
      <w:outlineLvl w:val="4"/>
    </w:pPr>
  </w:style>
  <w:style w:type="paragraph" w:customStyle="1" w:styleId="af6">
    <w:name w:val="附录四级条标题"/>
    <w:basedOn w:val="af5"/>
    <w:next w:val="aff3"/>
    <w:qFormat/>
    <w:pPr>
      <w:numPr>
        <w:ilvl w:val="5"/>
      </w:numPr>
      <w:outlineLvl w:val="5"/>
    </w:pPr>
  </w:style>
  <w:style w:type="paragraph" w:customStyle="1" w:styleId="aa">
    <w:name w:val="附录图标号"/>
    <w:basedOn w:val="af8"/>
    <w:qFormat/>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b">
    <w:name w:val="附录图标题"/>
    <w:basedOn w:val="af8"/>
    <w:next w:val="aff3"/>
    <w:qFormat/>
    <w:pPr>
      <w:numPr>
        <w:ilvl w:val="1"/>
        <w:numId w:val="4"/>
      </w:numPr>
      <w:tabs>
        <w:tab w:val="left" w:pos="363"/>
      </w:tabs>
      <w:spacing w:beforeLines="50" w:afterLines="50"/>
      <w:ind w:left="0" w:firstLine="0"/>
      <w:jc w:val="center"/>
    </w:pPr>
    <w:rPr>
      <w:rFonts w:ascii="黑体" w:eastAsia="黑体" w:hAnsi="Times New Roman" w:cs="Times New Roman"/>
    </w:rPr>
  </w:style>
  <w:style w:type="paragraph" w:customStyle="1" w:styleId="af7">
    <w:name w:val="附录五级条标题"/>
    <w:basedOn w:val="af6"/>
    <w:next w:val="aff3"/>
    <w:qFormat/>
    <w:pPr>
      <w:numPr>
        <w:ilvl w:val="6"/>
      </w:numPr>
      <w:outlineLvl w:val="6"/>
    </w:pPr>
  </w:style>
  <w:style w:type="paragraph" w:customStyle="1" w:styleId="af2">
    <w:name w:val="附录章标题"/>
    <w:next w:val="aff3"/>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3"/>
    <w:qFormat/>
    <w:pPr>
      <w:numPr>
        <w:ilvl w:val="2"/>
      </w:numPr>
      <w:autoSpaceDN w:val="0"/>
      <w:spacing w:beforeLines="50" w:afterLines="50"/>
      <w:outlineLvl w:val="2"/>
    </w:pPr>
  </w:style>
  <w:style w:type="paragraph" w:customStyle="1" w:styleId="aff4">
    <w:name w:val="前言、引言标题"/>
    <w:next w:val="aff3"/>
    <w:uiPriority w:val="99"/>
    <w:qFormat/>
    <w:pPr>
      <w:keepNext/>
      <w:pageBreakBefore/>
      <w:shd w:val="clear" w:color="FFFFFF" w:fill="FFFFFF"/>
      <w:spacing w:before="640" w:after="560"/>
      <w:jc w:val="center"/>
      <w:outlineLvl w:val="0"/>
    </w:pPr>
    <w:rPr>
      <w:rFonts w:ascii="黑体" w:eastAsia="黑体"/>
      <w:sz w:val="32"/>
    </w:rPr>
  </w:style>
  <w:style w:type="paragraph" w:customStyle="1" w:styleId="aff5">
    <w:name w:val="终结线"/>
    <w:basedOn w:val="af8"/>
    <w:qFormat/>
    <w:pPr>
      <w:framePr w:hSpace="181" w:vSpace="181" w:wrap="around" w:vAnchor="text" w:hAnchor="margin" w:xAlign="center" w:y="285"/>
    </w:pPr>
    <w:rPr>
      <w:rFonts w:ascii="Times New Roman" w:eastAsia="宋体" w:hAnsi="Times New Roman" w:cs="Times New Roman"/>
      <w:szCs w:val="24"/>
    </w:rPr>
  </w:style>
  <w:style w:type="paragraph" w:customStyle="1" w:styleId="aff6">
    <w:name w:val="标准书脚_偶数页"/>
    <w:uiPriority w:val="99"/>
    <w:qFormat/>
    <w:pPr>
      <w:spacing w:before="120"/>
    </w:pPr>
    <w:rPr>
      <w:sz w:val="18"/>
    </w:rPr>
  </w:style>
  <w:style w:type="paragraph" w:customStyle="1" w:styleId="aff7">
    <w:name w:val="标准书脚_奇数页"/>
    <w:uiPriority w:val="99"/>
    <w:qFormat/>
    <w:pPr>
      <w:spacing w:before="120"/>
      <w:jc w:val="right"/>
    </w:pPr>
    <w:rPr>
      <w:sz w:val="18"/>
    </w:rPr>
  </w:style>
  <w:style w:type="paragraph" w:customStyle="1" w:styleId="aff8">
    <w:name w:val="标准书眉_偶数页"/>
    <w:basedOn w:val="af8"/>
    <w:next w:val="af8"/>
    <w:uiPriority w:val="9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8"/>
    <w:uiPriority w:val="99"/>
    <w:qFormat/>
    <w:pPr>
      <w:numPr>
        <w:ilvl w:val="3"/>
        <w:numId w:val="5"/>
      </w:numPr>
    </w:pPr>
    <w:rPr>
      <w:rFonts w:ascii="Times New Roman" w:eastAsia="宋体" w:hAnsi="Times New Roman" w:cs="Times New Roman"/>
      <w:szCs w:val="24"/>
    </w:rPr>
  </w:style>
  <w:style w:type="paragraph" w:customStyle="1" w:styleId="a1">
    <w:name w:val="三级无标题条"/>
    <w:basedOn w:val="af8"/>
    <w:uiPriority w:val="99"/>
    <w:qFormat/>
    <w:pPr>
      <w:numPr>
        <w:ilvl w:val="4"/>
        <w:numId w:val="5"/>
      </w:numPr>
    </w:pPr>
    <w:rPr>
      <w:rFonts w:ascii="Times New Roman" w:eastAsia="宋体" w:hAnsi="Times New Roman" w:cs="Times New Roman"/>
      <w:szCs w:val="24"/>
    </w:rPr>
  </w:style>
  <w:style w:type="paragraph" w:customStyle="1" w:styleId="ad">
    <w:name w:val="数字编号列项（二级）"/>
    <w:qFormat/>
    <w:pPr>
      <w:numPr>
        <w:ilvl w:val="1"/>
        <w:numId w:val="6"/>
      </w:numPr>
      <w:ind w:leftChars="400" w:left="400" w:hangingChars="200" w:hanging="200"/>
      <w:jc w:val="both"/>
    </w:pPr>
    <w:rPr>
      <w:rFonts w:ascii="宋体"/>
      <w:sz w:val="21"/>
    </w:rPr>
  </w:style>
  <w:style w:type="paragraph" w:customStyle="1" w:styleId="a2">
    <w:name w:val="四级无标题条"/>
    <w:basedOn w:val="af8"/>
    <w:uiPriority w:val="99"/>
    <w:qFormat/>
    <w:pPr>
      <w:numPr>
        <w:ilvl w:val="5"/>
        <w:numId w:val="5"/>
      </w:numPr>
    </w:pPr>
    <w:rPr>
      <w:rFonts w:ascii="Times New Roman" w:eastAsia="宋体" w:hAnsi="Times New Roman" w:cs="Times New Roman"/>
      <w:szCs w:val="24"/>
    </w:rPr>
  </w:style>
  <w:style w:type="paragraph" w:customStyle="1" w:styleId="a3">
    <w:name w:val="五级无标题条"/>
    <w:basedOn w:val="af8"/>
    <w:uiPriority w:val="99"/>
    <w:qFormat/>
    <w:pPr>
      <w:numPr>
        <w:ilvl w:val="6"/>
        <w:numId w:val="5"/>
      </w:numPr>
    </w:pPr>
    <w:rPr>
      <w:rFonts w:ascii="Times New Roman" w:eastAsia="宋体" w:hAnsi="Times New Roman" w:cs="Times New Roman"/>
      <w:szCs w:val="24"/>
    </w:rPr>
  </w:style>
  <w:style w:type="paragraph" w:customStyle="1" w:styleId="a">
    <w:name w:val="一级无标题条"/>
    <w:basedOn w:val="af8"/>
    <w:uiPriority w:val="99"/>
    <w:qFormat/>
    <w:pPr>
      <w:numPr>
        <w:ilvl w:val="2"/>
        <w:numId w:val="5"/>
      </w:numPr>
    </w:pPr>
    <w:rPr>
      <w:rFonts w:ascii="Times New Roman" w:eastAsia="宋体" w:hAnsi="Times New Roman" w:cs="Times New Roman"/>
      <w:szCs w:val="24"/>
    </w:rPr>
  </w:style>
  <w:style w:type="paragraph" w:customStyle="1" w:styleId="ac">
    <w:name w:val="字母编号列项（一级）"/>
    <w:qFormat/>
    <w:pPr>
      <w:numPr>
        <w:numId w:val="6"/>
      </w:numPr>
      <w:ind w:leftChars="200" w:left="200" w:hangingChars="200" w:hanging="200"/>
      <w:jc w:val="both"/>
    </w:pPr>
    <w:rPr>
      <w:rFonts w:ascii="宋体"/>
      <w:sz w:val="21"/>
    </w:rPr>
  </w:style>
  <w:style w:type="paragraph" w:customStyle="1" w:styleId="ae">
    <w:name w:val="编号列项（三级）"/>
    <w:qFormat/>
    <w:pPr>
      <w:numPr>
        <w:ilvl w:val="2"/>
        <w:numId w:val="6"/>
      </w:numPr>
    </w:pPr>
    <w:rPr>
      <w:rFonts w:ascii="宋体"/>
      <w:sz w:val="21"/>
    </w:rPr>
  </w:style>
  <w:style w:type="paragraph" w:customStyle="1" w:styleId="aff9">
    <w:name w:val="二级无"/>
    <w:basedOn w:val="a6"/>
    <w:qFormat/>
    <w:pPr>
      <w:spacing w:beforeLines="0" w:before="0" w:afterLines="0" w:after="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pPr>
      <w:widowControl w:val="0"/>
      <w:jc w:val="both"/>
    </w:p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46944-6808-49D7-A116-E8677DD3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537</Words>
  <Characters>3064</Characters>
  <Application>Microsoft Office Word</Application>
  <DocSecurity>0</DocSecurity>
  <Lines>25</Lines>
  <Paragraphs>7</Paragraphs>
  <ScaleCrop>false</ScaleCrop>
  <Company>Microsoft</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win10</cp:lastModifiedBy>
  <cp:revision>30</cp:revision>
  <cp:lastPrinted>2015-07-14T12:40:00Z</cp:lastPrinted>
  <dcterms:created xsi:type="dcterms:W3CDTF">2015-07-14T12:20:00Z</dcterms:created>
  <dcterms:modified xsi:type="dcterms:W3CDTF">2020-06-04T09:21:00Z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