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059CF" w14:textId="77777777" w:rsidR="003439F6" w:rsidRPr="00E7326A" w:rsidRDefault="00617D75">
      <w:pPr>
        <w:spacing w:line="360" w:lineRule="auto"/>
        <w:rPr>
          <w:rFonts w:ascii="Times New Roman" w:eastAsia="黑体" w:hAnsi="Times New Roman" w:cs="Times New Roman"/>
          <w:kern w:val="0"/>
          <w:sz w:val="28"/>
          <w:szCs w:val="22"/>
        </w:rPr>
      </w:pPr>
      <w:bookmarkStart w:id="0" w:name="c1"/>
      <w:bookmarkStart w:id="1" w:name="SectionMark0"/>
      <w:bookmarkStart w:id="2" w:name="StdNo0"/>
      <w:r w:rsidRPr="00E7326A">
        <w:rPr>
          <w:rFonts w:ascii="Times New Roman" w:eastAsia="黑体" w:hAnsi="Times New Roman" w:cs="Times New Roman"/>
          <w:noProof/>
          <w:kern w:val="0"/>
          <w:szCs w:val="22"/>
        </w:rPr>
        <mc:AlternateContent>
          <mc:Choice Requires="wps">
            <w:drawing>
              <wp:anchor distT="0" distB="0" distL="114300" distR="114300" simplePos="0" relativeHeight="251659264" behindDoc="0" locked="0" layoutInCell="1" allowOverlap="1" wp14:anchorId="4D32006B" wp14:editId="1246EDBA">
                <wp:simplePos x="0" y="0"/>
                <wp:positionH relativeFrom="column">
                  <wp:posOffset>113665</wp:posOffset>
                </wp:positionH>
                <wp:positionV relativeFrom="paragraph">
                  <wp:posOffset>131445</wp:posOffset>
                </wp:positionV>
                <wp:extent cx="2361565" cy="406400"/>
                <wp:effectExtent l="5080" t="5080" r="14605" b="7620"/>
                <wp:wrapNone/>
                <wp:docPr id="14" name="文本框 14"/>
                <wp:cNvGraphicFramePr/>
                <a:graphic xmlns:a="http://schemas.openxmlformats.org/drawingml/2006/main">
                  <a:graphicData uri="http://schemas.microsoft.com/office/word/2010/wordprocessingShape">
                    <wps:wsp>
                      <wps:cNvSpPr txBox="1"/>
                      <wps:spPr>
                        <a:xfrm>
                          <a:off x="0" y="0"/>
                          <a:ext cx="2361565" cy="4064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27B81BB" w14:textId="77777777" w:rsidR="003439F6" w:rsidRDefault="00617D75">
                            <w:pPr>
                              <w:spacing w:beforeLines="50" w:before="120" w:line="360" w:lineRule="exact"/>
                              <w:jc w:val="left"/>
                              <w:rPr>
                                <w:rFonts w:ascii="黑体" w:eastAsia="黑体" w:hAnsi="黑体" w:cs="Times New Roman"/>
                                <w:color w:val="000000"/>
                                <w:kern w:val="0"/>
                                <w:szCs w:val="21"/>
                                <w:shd w:val="clear" w:color="auto" w:fill="FFFFFF"/>
                              </w:rPr>
                            </w:pPr>
                            <w:r>
                              <w:rPr>
                                <w:rFonts w:ascii="黑体" w:eastAsia="黑体" w:hAnsi="黑体" w:cs="Times New Roman"/>
                                <w:color w:val="000000"/>
                                <w:kern w:val="0"/>
                                <w:szCs w:val="21"/>
                                <w:shd w:val="clear" w:color="auto" w:fill="FFFFFF"/>
                              </w:rPr>
                              <w:t xml:space="preserve">ICS </w:t>
                            </w:r>
                          </w:p>
                        </w:txbxContent>
                      </wps:txbx>
                      <wps:bodyPr upright="1">
                        <a:spAutoFit/>
                      </wps:bodyPr>
                    </wps:wsp>
                  </a:graphicData>
                </a:graphic>
              </wp:anchor>
            </w:drawing>
          </mc:Choice>
          <mc:Fallback>
            <w:pict>
              <v:shapetype w14:anchorId="4D32006B" id="_x0000_t202" coordsize="21600,21600" o:spt="202" path="m,l,21600r21600,l21600,xe">
                <v:stroke joinstyle="miter"/>
                <v:path gradientshapeok="t" o:connecttype="rect"/>
              </v:shapetype>
              <v:shape id="文本框 14" o:spid="_x0000_s1026" type="#_x0000_t202" style="position:absolute;left:0;text-align:left;margin-left:8.95pt;margin-top:10.35pt;width:185.95pt;height: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" strokecolor="white">
                <v:textbox style="mso-fit-shape-to-text:t">
                  <w:txbxContent>
                    <w:p w14:paraId="327B81BB" w14:textId="77777777" w:rsidR="003439F6" w:rsidRDefault="00617D75">
                      <w:pPr>
                        <w:spacing w:beforeLines="50" w:before="120" w:line="360" w:lineRule="exact"/>
                        <w:jc w:val="left"/>
                        <w:rPr>
                          <w:rFonts w:ascii="黑体" w:eastAsia="黑体" w:hAnsi="黑体" w:cs="Times New Roman"/>
                          <w:color w:val="000000"/>
                          <w:kern w:val="0"/>
                          <w:szCs w:val="21"/>
                          <w:shd w:val="clear" w:color="auto" w:fill="FFFFFF"/>
                        </w:rPr>
                      </w:pPr>
                      <w:r>
                        <w:rPr>
                          <w:rFonts w:ascii="黑体" w:eastAsia="黑体" w:hAnsi="黑体" w:cs="Times New Roman"/>
                          <w:color w:val="000000"/>
                          <w:kern w:val="0"/>
                          <w:szCs w:val="21"/>
                          <w:shd w:val="clear" w:color="auto" w:fill="FFFFFF"/>
                        </w:rPr>
                        <w:t xml:space="preserve">ICS </w:t>
                      </w:r>
                    </w:p>
                  </w:txbxContent>
                </v:textbox>
              </v:shape>
            </w:pict>
          </mc:Fallback>
        </mc:AlternateContent>
      </w:r>
      <w:r w:rsidRPr="00E7326A">
        <w:rPr>
          <w:rFonts w:ascii="Times New Roman" w:eastAsia="黑体" w:hAnsi="Times New Roman" w:cs="Times New Roman" w:hint="eastAsia"/>
          <w:kern w:val="0"/>
          <w:sz w:val="28"/>
          <w:szCs w:val="22"/>
        </w:rPr>
        <w:t xml:space="preserve"> </w:t>
      </w:r>
    </w:p>
    <w:p w14:paraId="26C20FB3" w14:textId="77777777" w:rsidR="003439F6" w:rsidRPr="00E7326A" w:rsidRDefault="003439F6">
      <w:pPr>
        <w:spacing w:line="360" w:lineRule="auto"/>
        <w:ind w:firstLineChars="200" w:firstLine="420"/>
        <w:rPr>
          <w:rFonts w:ascii="Times New Roman" w:eastAsia="Times New Roman" w:hAnsi="Times New Roman" w:cs="Times New Roman"/>
          <w:kern w:val="0"/>
          <w:szCs w:val="22"/>
        </w:rPr>
      </w:pPr>
    </w:p>
    <w:p w14:paraId="7DE11406" w14:textId="77777777" w:rsidR="003439F6" w:rsidRPr="00E7326A" w:rsidRDefault="00617D75">
      <w:pPr>
        <w:spacing w:line="360" w:lineRule="auto"/>
        <w:ind w:firstLineChars="150" w:firstLine="315"/>
        <w:rPr>
          <w:rFonts w:ascii="黑体" w:eastAsia="黑体" w:hAnsi="黑体" w:cs="Times New Roman"/>
          <w:kern w:val="0"/>
          <w:szCs w:val="21"/>
        </w:rPr>
      </w:pPr>
      <w:r w:rsidRPr="00E7326A">
        <w:rPr>
          <w:rFonts w:ascii="黑体" w:eastAsia="黑体" w:hAnsi="黑体" w:cs="Times New Roman" w:hint="eastAsia"/>
          <w:kern w:val="0"/>
          <w:szCs w:val="21"/>
        </w:rPr>
        <w:t>中国标准分类号</w:t>
      </w:r>
    </w:p>
    <w:p w14:paraId="3ECA2DC1" w14:textId="77777777" w:rsidR="003439F6" w:rsidRPr="00E7326A" w:rsidRDefault="003439F6">
      <w:pPr>
        <w:rPr>
          <w:rFonts w:ascii="Times New Roman" w:eastAsia="Times New Roman" w:hAnsi="Times New Roman" w:cs="Times New Roman"/>
          <w:kern w:val="0"/>
          <w:sz w:val="28"/>
          <w:szCs w:val="22"/>
        </w:rPr>
      </w:pPr>
    </w:p>
    <w:p w14:paraId="6D4A1D74" w14:textId="77777777" w:rsidR="003439F6" w:rsidRPr="00E7326A" w:rsidRDefault="00617D75">
      <w:pPr>
        <w:jc w:val="center"/>
        <w:rPr>
          <w:rFonts w:ascii="Times New Roman" w:eastAsia="黑体" w:hAnsi="Times New Roman" w:cs="Times New Roman"/>
          <w:kern w:val="0"/>
          <w:sz w:val="84"/>
          <w:szCs w:val="22"/>
        </w:rPr>
      </w:pPr>
      <w:r w:rsidRPr="00E7326A">
        <w:rPr>
          <w:rFonts w:ascii="Times New Roman" w:eastAsia="黑体" w:hAnsi="Times New Roman" w:cs="Times New Roman"/>
          <w:kern w:val="0"/>
          <w:sz w:val="84"/>
          <w:szCs w:val="22"/>
        </w:rPr>
        <w:t>团</w:t>
      </w:r>
      <w:r w:rsidRPr="00E7326A">
        <w:rPr>
          <w:rFonts w:ascii="Times New Roman" w:eastAsia="黑体" w:hAnsi="Times New Roman" w:cs="Times New Roman"/>
          <w:kern w:val="0"/>
          <w:sz w:val="84"/>
          <w:szCs w:val="22"/>
        </w:rPr>
        <w:t xml:space="preserve">   </w:t>
      </w:r>
      <w:r w:rsidRPr="00E7326A">
        <w:rPr>
          <w:rFonts w:ascii="Times New Roman" w:eastAsia="黑体" w:hAnsi="Times New Roman" w:cs="Times New Roman"/>
          <w:kern w:val="0"/>
          <w:sz w:val="84"/>
          <w:szCs w:val="22"/>
        </w:rPr>
        <w:t>体</w:t>
      </w:r>
      <w:r w:rsidRPr="00E7326A">
        <w:rPr>
          <w:rFonts w:ascii="Times New Roman" w:eastAsia="黑体" w:hAnsi="Times New Roman" w:cs="Times New Roman"/>
          <w:kern w:val="0"/>
          <w:sz w:val="84"/>
          <w:szCs w:val="22"/>
        </w:rPr>
        <w:t xml:space="preserve">   </w:t>
      </w:r>
      <w:r w:rsidRPr="00E7326A">
        <w:rPr>
          <w:rFonts w:ascii="Times New Roman" w:eastAsia="黑体" w:hAnsi="Times New Roman" w:cs="Times New Roman"/>
          <w:kern w:val="0"/>
          <w:sz w:val="84"/>
          <w:szCs w:val="22"/>
        </w:rPr>
        <w:t>标</w:t>
      </w:r>
      <w:r w:rsidRPr="00E7326A">
        <w:rPr>
          <w:rFonts w:ascii="Times New Roman" w:eastAsia="黑体" w:hAnsi="Times New Roman" w:cs="Times New Roman"/>
          <w:kern w:val="0"/>
          <w:sz w:val="84"/>
          <w:szCs w:val="22"/>
        </w:rPr>
        <w:t xml:space="preserve">   </w:t>
      </w:r>
      <w:r w:rsidRPr="00E7326A">
        <w:rPr>
          <w:rFonts w:ascii="Times New Roman" w:eastAsia="黑体" w:hAnsi="Times New Roman" w:cs="Times New Roman"/>
          <w:kern w:val="0"/>
          <w:sz w:val="84"/>
          <w:szCs w:val="22"/>
        </w:rPr>
        <w:t>准</w:t>
      </w:r>
    </w:p>
    <w:p w14:paraId="4F58CAE6" w14:textId="6B377846" w:rsidR="003439F6" w:rsidRPr="00E7326A" w:rsidRDefault="00F2013F">
      <w:pPr>
        <w:wordWrap w:val="0"/>
        <w:ind w:rightChars="-24" w:right="-50"/>
        <w:jc w:val="right"/>
        <w:rPr>
          <w:rFonts w:ascii="黑体" w:eastAsia="黑体" w:hAnsi="黑体" w:cs="Times New Roman"/>
          <w:b/>
          <w:kern w:val="0"/>
          <w:sz w:val="28"/>
          <w:szCs w:val="28"/>
        </w:rPr>
      </w:pPr>
      <w:r w:rsidRPr="002E710C">
        <w:rPr>
          <w:rFonts w:ascii="黑体" w:eastAsia="黑体" w:hAnsi="黑体"/>
          <w:kern w:val="0"/>
          <w:sz w:val="28"/>
          <w:szCs w:val="28"/>
        </w:rPr>
        <w:t>T/CSTE 00</w:t>
      </w:r>
      <w:r>
        <w:rPr>
          <w:rFonts w:ascii="黑体" w:eastAsia="黑体" w:hAnsi="黑体" w:hint="eastAsia"/>
          <w:kern w:val="0"/>
          <w:sz w:val="28"/>
          <w:szCs w:val="28"/>
        </w:rPr>
        <w:t>XX</w:t>
      </w:r>
      <w:r w:rsidRPr="002E710C">
        <w:rPr>
          <w:rFonts w:ascii="黑体" w:eastAsia="黑体" w:hAnsi="黑体"/>
          <w:kern w:val="0"/>
          <w:sz w:val="28"/>
          <w:szCs w:val="28"/>
        </w:rPr>
        <w:t>—20</w:t>
      </w:r>
      <w:r>
        <w:rPr>
          <w:rFonts w:ascii="黑体" w:eastAsia="黑体" w:hAnsi="黑体"/>
          <w:kern w:val="0"/>
          <w:sz w:val="28"/>
          <w:szCs w:val="28"/>
        </w:rPr>
        <w:t>19</w:t>
      </w:r>
      <w:r w:rsidR="00617D75" w:rsidRPr="00E7326A">
        <w:rPr>
          <w:rFonts w:ascii="黑体" w:eastAsia="黑体" w:hAnsi="黑体" w:cs="Times New Roman" w:hint="eastAsia"/>
          <w:b/>
          <w:kern w:val="0"/>
          <w:sz w:val="28"/>
          <w:szCs w:val="28"/>
        </w:rPr>
        <w:t xml:space="preserve"> </w:t>
      </w:r>
    </w:p>
    <w:p w14:paraId="1C6CB8CB" w14:textId="304D3683" w:rsidR="003439F6" w:rsidRPr="00E7326A" w:rsidRDefault="003439F6">
      <w:pPr>
        <w:rPr>
          <w:rFonts w:ascii="Times New Roman" w:eastAsia="Times New Roman" w:hAnsi="Times New Roman" w:cs="Times New Roman"/>
          <w:kern w:val="0"/>
          <w:szCs w:val="22"/>
        </w:rPr>
      </w:pPr>
    </w:p>
    <w:p w14:paraId="11F9F20E" w14:textId="1D310FB1" w:rsidR="003439F6" w:rsidRPr="00E7326A" w:rsidRDefault="00F2013F">
      <w:pPr>
        <w:rPr>
          <w:rFonts w:ascii="Times New Roman" w:eastAsia="Times New Roman" w:hAnsi="Times New Roman" w:cs="Times New Roman"/>
          <w:kern w:val="0"/>
          <w:szCs w:val="22"/>
        </w:rPr>
      </w:pPr>
      <w:r w:rsidRPr="00E7326A">
        <w:rPr>
          <w:rFonts w:ascii="Times New Roman" w:eastAsia="Times New Roman" w:hAnsi="Times New Roman" w:cs="Times New Roman"/>
          <w:noProof/>
          <w:kern w:val="0"/>
          <w:szCs w:val="22"/>
        </w:rPr>
        <mc:AlternateContent>
          <mc:Choice Requires="wps">
            <w:drawing>
              <wp:anchor distT="0" distB="0" distL="114300" distR="114300" simplePos="0" relativeHeight="251656704" behindDoc="0" locked="0" layoutInCell="1" allowOverlap="1" wp14:anchorId="461ABEC7" wp14:editId="5399B7E5">
                <wp:simplePos x="0" y="0"/>
                <wp:positionH relativeFrom="column">
                  <wp:posOffset>-147320</wp:posOffset>
                </wp:positionH>
                <wp:positionV relativeFrom="paragraph">
                  <wp:posOffset>91440</wp:posOffset>
                </wp:positionV>
                <wp:extent cx="5494655" cy="0"/>
                <wp:effectExtent l="0" t="0" r="29845" b="19050"/>
                <wp:wrapNone/>
                <wp:docPr id="3" name="直接箭头连接符 3"/>
                <wp:cNvGraphicFramePr/>
                <a:graphic xmlns:a="http://schemas.openxmlformats.org/drawingml/2006/main">
                  <a:graphicData uri="http://schemas.microsoft.com/office/word/2010/wordprocessingShape">
                    <wps:wsp>
                      <wps:cNvCnPr/>
                      <wps:spPr>
                        <a:xfrm>
                          <a:off x="0" y="0"/>
                          <a:ext cx="54946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0F42A24" id="_x0000_t32" coordsize="21600,21600" o:spt="32" o:oned="t" path="m,l21600,21600e" filled="f">
                <v:path arrowok="t" fillok="f" o:connecttype="none"/>
                <o:lock v:ext="edit" shapetype="t"/>
              </v:shapetype>
              <v:shape id="直接箭头连接符 3" o:spid="_x0000_s1026" type="#_x0000_t32" style="position:absolute;left:0;text-align:left;margin-left:-11.6pt;margin-top:7.2pt;width:432.65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"/>
            </w:pict>
          </mc:Fallback>
        </mc:AlternateContent>
      </w:r>
    </w:p>
    <w:p w14:paraId="3CC7C04E" w14:textId="77777777" w:rsidR="003439F6" w:rsidRPr="00E7326A" w:rsidRDefault="003439F6">
      <w:pPr>
        <w:rPr>
          <w:rFonts w:ascii="Times New Roman" w:eastAsia="Times New Roman" w:hAnsi="Times New Roman" w:cs="Times New Roman"/>
          <w:kern w:val="0"/>
          <w:szCs w:val="22"/>
        </w:rPr>
      </w:pPr>
    </w:p>
    <w:p w14:paraId="5629332C" w14:textId="77777777" w:rsidR="003439F6" w:rsidRPr="00E7326A" w:rsidRDefault="003439F6">
      <w:pPr>
        <w:rPr>
          <w:rFonts w:ascii="Times New Roman" w:eastAsia="Times New Roman" w:hAnsi="Times New Roman" w:cs="Times New Roman"/>
          <w:kern w:val="0"/>
          <w:szCs w:val="22"/>
        </w:rPr>
      </w:pPr>
    </w:p>
    <w:p w14:paraId="059CF9BA" w14:textId="77777777" w:rsidR="003439F6" w:rsidRPr="00E7326A" w:rsidRDefault="003439F6">
      <w:pPr>
        <w:rPr>
          <w:rFonts w:ascii="Times New Roman" w:eastAsia="Times New Roman" w:hAnsi="Times New Roman" w:cs="Times New Roman"/>
          <w:kern w:val="0"/>
          <w:szCs w:val="22"/>
        </w:rPr>
      </w:pPr>
    </w:p>
    <w:p w14:paraId="722506C5" w14:textId="77777777" w:rsidR="003439F6" w:rsidRPr="00E7326A" w:rsidRDefault="003439F6">
      <w:pPr>
        <w:rPr>
          <w:rFonts w:ascii="Times New Roman" w:eastAsia="Times New Roman" w:hAnsi="Times New Roman" w:cs="Times New Roman"/>
          <w:kern w:val="0"/>
          <w:szCs w:val="22"/>
        </w:rPr>
      </w:pPr>
    </w:p>
    <w:p w14:paraId="1181A83C" w14:textId="77777777" w:rsidR="003439F6" w:rsidRPr="00E7326A" w:rsidRDefault="00617D75" w:rsidP="00653317">
      <w:pPr>
        <w:framePr w:w="8296" w:h="2732" w:hRule="exact" w:wrap="around" w:vAnchor="page" w:hAnchor="page" w:x="1846" w:y="6480" w:anchorLock="1"/>
        <w:spacing w:beforeLines="50" w:before="120" w:line="360" w:lineRule="exact"/>
        <w:jc w:val="center"/>
        <w:rPr>
          <w:rFonts w:ascii="Times New Roman" w:eastAsia="黑体" w:hAnsi="Times New Roman" w:cs="Times New Roman"/>
          <w:kern w:val="0"/>
          <w:sz w:val="52"/>
          <w:szCs w:val="20"/>
        </w:rPr>
      </w:pPr>
      <w:r w:rsidRPr="00E7326A">
        <w:rPr>
          <w:rFonts w:ascii="Times New Roman" w:eastAsia="黑体" w:hAnsi="Times New Roman" w:cs="Times New Roman"/>
          <w:kern w:val="0"/>
          <w:sz w:val="52"/>
          <w:szCs w:val="20"/>
        </w:rPr>
        <w:t>绿色炉窑评价技术通则</w:t>
      </w:r>
    </w:p>
    <w:p w14:paraId="361FB23B" w14:textId="77777777" w:rsidR="003439F6" w:rsidRPr="00E7326A" w:rsidRDefault="00617D75" w:rsidP="00653317">
      <w:pPr>
        <w:framePr w:w="8296" w:h="2732" w:hRule="exact" w:wrap="around" w:vAnchor="page" w:hAnchor="page" w:x="1846" w:y="6480" w:anchorLock="1"/>
        <w:spacing w:beforeLines="50" w:before="120" w:line="360" w:lineRule="exact"/>
        <w:jc w:val="center"/>
        <w:rPr>
          <w:rFonts w:ascii="黑体" w:eastAsia="黑体" w:hAnsi="黑体" w:cs="Times New Roman"/>
          <w:bCs/>
          <w:kern w:val="0"/>
          <w:sz w:val="28"/>
          <w:szCs w:val="28"/>
        </w:rPr>
      </w:pPr>
      <w:r w:rsidRPr="00E7326A">
        <w:rPr>
          <w:rFonts w:ascii="黑体" w:eastAsia="黑体" w:hAnsi="黑体" w:cs="Times New Roman"/>
          <w:bCs/>
          <w:kern w:val="0"/>
          <w:sz w:val="28"/>
          <w:szCs w:val="28"/>
        </w:rPr>
        <w:t xml:space="preserve">General </w:t>
      </w:r>
      <w:r w:rsidRPr="00E7326A">
        <w:rPr>
          <w:rFonts w:ascii="黑体" w:eastAsia="黑体" w:hAnsi="黑体" w:cs="Times New Roman"/>
          <w:kern w:val="0"/>
          <w:sz w:val="28"/>
          <w:szCs w:val="28"/>
          <w:shd w:val="clear" w:color="auto" w:fill="FFFFFF"/>
        </w:rPr>
        <w:t>technical</w:t>
      </w:r>
      <w:r w:rsidRPr="00E7326A">
        <w:rPr>
          <w:rFonts w:ascii="黑体" w:eastAsia="黑体" w:hAnsi="黑体" w:cs="Times New Roman"/>
          <w:bCs/>
          <w:kern w:val="0"/>
          <w:sz w:val="28"/>
          <w:szCs w:val="28"/>
        </w:rPr>
        <w:t xml:space="preserve"> principles for green furnaces and kilns evaluation</w:t>
      </w:r>
    </w:p>
    <w:p w14:paraId="79055041" w14:textId="77777777" w:rsidR="003439F6" w:rsidRPr="00E7326A" w:rsidRDefault="00617D75" w:rsidP="00653317">
      <w:pPr>
        <w:framePr w:w="8296" w:h="2732" w:hRule="exact" w:wrap="around" w:vAnchor="page" w:hAnchor="page" w:x="1846" w:y="6480" w:anchorLock="1"/>
        <w:spacing w:beforeLines="50" w:before="120" w:line="360" w:lineRule="exact"/>
        <w:jc w:val="center"/>
        <w:rPr>
          <w:rFonts w:ascii="Times New Roman" w:eastAsia="Times New Roman" w:hAnsi="Times New Roman" w:cs="Times New Roman"/>
          <w:kern w:val="0"/>
          <w:sz w:val="28"/>
          <w:szCs w:val="22"/>
          <w:shd w:val="clear" w:color="auto" w:fill="FFFFFF"/>
        </w:rPr>
      </w:pPr>
      <w:r w:rsidRPr="00E7326A">
        <w:rPr>
          <w:rFonts w:ascii="Times New Roman" w:eastAsia="宋体" w:hAnsi="Times New Roman" w:cs="Times New Roman"/>
          <w:kern w:val="0"/>
          <w:sz w:val="28"/>
          <w:szCs w:val="22"/>
          <w:shd w:val="clear" w:color="auto" w:fill="FFFFFF"/>
        </w:rPr>
        <w:t>（</w:t>
      </w:r>
      <w:r w:rsidRPr="00E7326A">
        <w:rPr>
          <w:rFonts w:ascii="Times New Roman" w:eastAsia="宋体" w:hAnsi="Times New Roman" w:cs="Times New Roman" w:hint="eastAsia"/>
          <w:kern w:val="0"/>
          <w:sz w:val="28"/>
          <w:szCs w:val="22"/>
          <w:shd w:val="clear" w:color="auto" w:fill="FFFFFF"/>
        </w:rPr>
        <w:t>征求意见稿</w:t>
      </w:r>
      <w:r w:rsidRPr="00E7326A">
        <w:rPr>
          <w:rFonts w:ascii="Times New Roman" w:eastAsia="宋体" w:hAnsi="Times New Roman" w:cs="Times New Roman"/>
          <w:kern w:val="0"/>
          <w:sz w:val="28"/>
          <w:szCs w:val="22"/>
          <w:shd w:val="clear" w:color="auto" w:fill="FFFFFF"/>
        </w:rPr>
        <w:t>）</w:t>
      </w:r>
    </w:p>
    <w:p w14:paraId="5BE4D11C" w14:textId="77777777" w:rsidR="003439F6" w:rsidRPr="00E7326A" w:rsidRDefault="003439F6">
      <w:pPr>
        <w:spacing w:beforeLines="50" w:before="120" w:afterLines="50" w:after="120" w:line="360" w:lineRule="auto"/>
        <w:jc w:val="center"/>
        <w:rPr>
          <w:rFonts w:ascii="Times New Roman" w:eastAsia="Times New Roman" w:hAnsi="Times New Roman" w:cs="Times New Roman"/>
          <w:b/>
          <w:kern w:val="0"/>
          <w:sz w:val="28"/>
          <w:szCs w:val="22"/>
          <w:shd w:val="clear" w:color="auto" w:fill="FFFFFF"/>
        </w:rPr>
      </w:pPr>
    </w:p>
    <w:p w14:paraId="743716FB" w14:textId="77777777" w:rsidR="003439F6" w:rsidRPr="00E7326A" w:rsidRDefault="003439F6">
      <w:pPr>
        <w:rPr>
          <w:rFonts w:ascii="Times New Roman" w:eastAsia="Times New Roman" w:hAnsi="Times New Roman" w:cs="Times New Roman"/>
          <w:kern w:val="0"/>
          <w:szCs w:val="22"/>
        </w:rPr>
      </w:pPr>
    </w:p>
    <w:p w14:paraId="00798609" w14:textId="77777777" w:rsidR="003439F6" w:rsidRPr="00E7326A" w:rsidRDefault="003439F6">
      <w:pPr>
        <w:rPr>
          <w:rFonts w:ascii="Times New Roman" w:eastAsia="Times New Roman" w:hAnsi="Times New Roman" w:cs="Times New Roman"/>
          <w:kern w:val="0"/>
          <w:szCs w:val="22"/>
        </w:rPr>
      </w:pPr>
    </w:p>
    <w:p w14:paraId="5117BBA5" w14:textId="77777777" w:rsidR="003439F6" w:rsidRPr="00E7326A" w:rsidRDefault="003439F6">
      <w:pPr>
        <w:rPr>
          <w:rFonts w:ascii="Times New Roman" w:eastAsia="Times New Roman" w:hAnsi="Times New Roman" w:cs="Times New Roman"/>
          <w:kern w:val="0"/>
          <w:szCs w:val="22"/>
        </w:rPr>
      </w:pPr>
    </w:p>
    <w:p w14:paraId="16868183" w14:textId="77777777" w:rsidR="003439F6" w:rsidRPr="00E7326A" w:rsidRDefault="003439F6">
      <w:pPr>
        <w:rPr>
          <w:rFonts w:ascii="Times New Roman" w:eastAsia="宋体" w:hAnsi="Times New Roman" w:cs="Times New Roman"/>
          <w:kern w:val="0"/>
          <w:szCs w:val="22"/>
        </w:rPr>
      </w:pPr>
    </w:p>
    <w:p w14:paraId="412331FE" w14:textId="77777777" w:rsidR="003439F6" w:rsidRPr="00E7326A" w:rsidRDefault="003439F6">
      <w:pPr>
        <w:rPr>
          <w:rFonts w:ascii="Times New Roman" w:eastAsia="宋体" w:hAnsi="Times New Roman" w:cs="Times New Roman"/>
          <w:kern w:val="0"/>
          <w:szCs w:val="22"/>
        </w:rPr>
      </w:pPr>
    </w:p>
    <w:p w14:paraId="7E41A7F9" w14:textId="77777777" w:rsidR="003439F6" w:rsidRPr="00E7326A" w:rsidRDefault="003439F6">
      <w:pPr>
        <w:rPr>
          <w:rFonts w:ascii="Times New Roman" w:eastAsia="宋体" w:hAnsi="Times New Roman" w:cs="Times New Roman"/>
          <w:kern w:val="0"/>
          <w:szCs w:val="22"/>
        </w:rPr>
      </w:pPr>
    </w:p>
    <w:p w14:paraId="37D5FF55" w14:textId="77777777" w:rsidR="003439F6" w:rsidRPr="00E7326A" w:rsidRDefault="003439F6">
      <w:pPr>
        <w:rPr>
          <w:rFonts w:ascii="Times New Roman" w:eastAsia="宋体" w:hAnsi="Times New Roman" w:cs="Times New Roman"/>
          <w:kern w:val="0"/>
          <w:szCs w:val="22"/>
        </w:rPr>
      </w:pPr>
    </w:p>
    <w:p w14:paraId="27B12DBB" w14:textId="77777777" w:rsidR="003439F6" w:rsidRPr="00E7326A" w:rsidRDefault="003439F6">
      <w:pPr>
        <w:rPr>
          <w:rFonts w:ascii="Times New Roman" w:eastAsia="宋体" w:hAnsi="Times New Roman" w:cs="Times New Roman"/>
          <w:kern w:val="0"/>
          <w:szCs w:val="22"/>
        </w:rPr>
      </w:pPr>
    </w:p>
    <w:p w14:paraId="53342E35" w14:textId="77777777" w:rsidR="003439F6" w:rsidRPr="00E7326A" w:rsidRDefault="003439F6">
      <w:pPr>
        <w:rPr>
          <w:rFonts w:ascii="Times New Roman" w:eastAsia="Times New Roman" w:hAnsi="Times New Roman" w:cs="Times New Roman"/>
          <w:kern w:val="0"/>
          <w:szCs w:val="22"/>
        </w:rPr>
      </w:pPr>
    </w:p>
    <w:p w14:paraId="13DD87D7" w14:textId="77777777" w:rsidR="003439F6" w:rsidRPr="00E7326A" w:rsidRDefault="003439F6">
      <w:pPr>
        <w:rPr>
          <w:rFonts w:ascii="Times New Roman" w:eastAsia="Times New Roman" w:hAnsi="Times New Roman" w:cs="Times New Roman"/>
          <w:kern w:val="0"/>
          <w:szCs w:val="22"/>
        </w:rPr>
      </w:pPr>
    </w:p>
    <w:p w14:paraId="34B0FBC1" w14:textId="59209E47" w:rsidR="003439F6" w:rsidRDefault="003439F6">
      <w:pPr>
        <w:rPr>
          <w:rFonts w:ascii="Times New Roman" w:hAnsi="Times New Roman" w:cs="Times New Roman"/>
          <w:kern w:val="0"/>
          <w:szCs w:val="22"/>
        </w:rPr>
      </w:pPr>
    </w:p>
    <w:p w14:paraId="5364F910" w14:textId="63B3AA89" w:rsidR="00653317" w:rsidRDefault="00653317">
      <w:pPr>
        <w:rPr>
          <w:rFonts w:ascii="Times New Roman" w:hAnsi="Times New Roman" w:cs="Times New Roman"/>
          <w:kern w:val="0"/>
          <w:szCs w:val="22"/>
        </w:rPr>
      </w:pPr>
    </w:p>
    <w:p w14:paraId="7EA22DCC" w14:textId="2EC3D7C2" w:rsidR="00653317" w:rsidRDefault="00653317">
      <w:pPr>
        <w:rPr>
          <w:rFonts w:ascii="Times New Roman" w:hAnsi="Times New Roman" w:cs="Times New Roman"/>
          <w:kern w:val="0"/>
          <w:szCs w:val="22"/>
        </w:rPr>
      </w:pPr>
    </w:p>
    <w:p w14:paraId="2A38EFA4" w14:textId="654E28F6" w:rsidR="00653317" w:rsidRDefault="00653317">
      <w:pPr>
        <w:rPr>
          <w:rFonts w:ascii="Times New Roman" w:hAnsi="Times New Roman" w:cs="Times New Roman"/>
          <w:kern w:val="0"/>
          <w:szCs w:val="22"/>
        </w:rPr>
      </w:pPr>
    </w:p>
    <w:p w14:paraId="02866307" w14:textId="77777777" w:rsidR="00653317" w:rsidRPr="00653317" w:rsidRDefault="00653317">
      <w:pPr>
        <w:rPr>
          <w:rFonts w:ascii="Times New Roman" w:hAnsi="Times New Roman" w:cs="Times New Roman"/>
          <w:kern w:val="0"/>
          <w:szCs w:val="22"/>
        </w:rPr>
      </w:pPr>
    </w:p>
    <w:p w14:paraId="04B6DAE2" w14:textId="77777777" w:rsidR="003439F6" w:rsidRPr="00E7326A" w:rsidRDefault="003439F6">
      <w:pPr>
        <w:rPr>
          <w:rFonts w:ascii="Times New Roman" w:eastAsia="Times New Roman" w:hAnsi="Times New Roman" w:cs="Times New Roman"/>
          <w:kern w:val="0"/>
          <w:szCs w:val="22"/>
        </w:rPr>
      </w:pPr>
    </w:p>
    <w:p w14:paraId="75F7B351" w14:textId="4E05124E" w:rsidR="003439F6" w:rsidRDefault="00617D75">
      <w:pPr>
        <w:jc w:val="center"/>
        <w:rPr>
          <w:rFonts w:ascii="黑体" w:eastAsia="黑体" w:hAnsi="黑体" w:cs="Times New Roman"/>
          <w:w w:val="99"/>
          <w:kern w:val="0"/>
          <w:sz w:val="28"/>
          <w:szCs w:val="28"/>
        </w:rPr>
      </w:pPr>
      <w:r w:rsidRPr="00E7326A">
        <w:rPr>
          <w:rFonts w:ascii="黑体" w:eastAsia="黑体" w:hAnsi="黑体" w:cs="Times New Roman"/>
          <w:w w:val="99"/>
          <w:kern w:val="0"/>
          <w:sz w:val="28"/>
          <w:szCs w:val="22"/>
        </w:rPr>
        <w:t>2020</w:t>
      </w:r>
      <w:r w:rsidRPr="00E7326A">
        <w:rPr>
          <w:rFonts w:ascii="黑体" w:eastAsia="黑体" w:hAnsi="黑体" w:cs="Times New Roman" w:hint="eastAsia"/>
          <w:w w:val="99"/>
          <w:kern w:val="0"/>
          <w:sz w:val="28"/>
          <w:szCs w:val="22"/>
        </w:rPr>
        <w:t>-</w:t>
      </w:r>
      <w:r w:rsidR="00770584">
        <w:rPr>
          <w:rFonts w:ascii="黑体" w:eastAsia="黑体" w:hAnsi="微软雅黑" w:cs="Times New Roman" w:hint="eastAsia"/>
          <w:w w:val="99"/>
          <w:kern w:val="0"/>
          <w:sz w:val="28"/>
        </w:rPr>
        <w:t>XX-XX</w:t>
      </w:r>
      <w:r w:rsidRPr="00E7326A">
        <w:rPr>
          <w:rFonts w:ascii="黑体" w:eastAsia="黑体" w:hAnsi="黑体" w:cs="Times New Roman" w:hint="eastAsia"/>
          <w:w w:val="99"/>
          <w:kern w:val="0"/>
          <w:sz w:val="28"/>
          <w:szCs w:val="22"/>
        </w:rPr>
        <w:t xml:space="preserve"> 发布 </w:t>
      </w:r>
      <w:r w:rsidR="00770584">
        <w:rPr>
          <w:rFonts w:ascii="Times New Roman" w:eastAsia="黑体" w:hAnsi="Times New Roman" w:cs="Times New Roman"/>
          <w:w w:val="99"/>
          <w:kern w:val="0"/>
          <w:sz w:val="28"/>
          <w:szCs w:val="22"/>
        </w:rPr>
        <w:t xml:space="preserve">                       </w:t>
      </w:r>
      <w:bookmarkStart w:id="3" w:name="_GoBack"/>
      <w:bookmarkEnd w:id="3"/>
      <w:r w:rsidRPr="00E7326A">
        <w:rPr>
          <w:rFonts w:ascii="Times New Roman" w:eastAsia="黑体" w:hAnsi="Times New Roman" w:cs="Times New Roman"/>
          <w:w w:val="99"/>
          <w:kern w:val="0"/>
          <w:sz w:val="28"/>
          <w:szCs w:val="22"/>
        </w:rPr>
        <w:t xml:space="preserve">     </w:t>
      </w:r>
      <w:r w:rsidRPr="00E7326A">
        <w:rPr>
          <w:rFonts w:ascii="黑体" w:eastAsia="黑体" w:hAnsi="黑体" w:cs="Times New Roman"/>
          <w:w w:val="99"/>
          <w:kern w:val="0"/>
          <w:sz w:val="28"/>
          <w:szCs w:val="28"/>
        </w:rPr>
        <w:t>2020-</w:t>
      </w:r>
      <w:r w:rsidR="00770584">
        <w:rPr>
          <w:rFonts w:ascii="黑体" w:eastAsia="黑体" w:hAnsi="微软雅黑" w:cs="Times New Roman" w:hint="eastAsia"/>
          <w:w w:val="99"/>
          <w:kern w:val="0"/>
          <w:sz w:val="28"/>
        </w:rPr>
        <w:t>XX-XX</w:t>
      </w:r>
      <w:r w:rsidRPr="00E7326A">
        <w:rPr>
          <w:rFonts w:ascii="黑体" w:eastAsia="黑体" w:hAnsi="黑体" w:cs="Times New Roman"/>
          <w:w w:val="99"/>
          <w:kern w:val="0"/>
          <w:sz w:val="28"/>
          <w:szCs w:val="28"/>
        </w:rPr>
        <w:t xml:space="preserve"> </w:t>
      </w:r>
      <w:r w:rsidRPr="00E7326A">
        <w:rPr>
          <w:rFonts w:ascii="黑体" w:eastAsia="黑体" w:hAnsi="黑体" w:cs="Times New Roman" w:hint="eastAsia"/>
          <w:w w:val="99"/>
          <w:kern w:val="0"/>
          <w:sz w:val="28"/>
          <w:szCs w:val="28"/>
        </w:rPr>
        <w:t>实施</w:t>
      </w:r>
    </w:p>
    <w:p w14:paraId="7B6E3A5C" w14:textId="49B13C33" w:rsidR="00653317" w:rsidRPr="00E7326A" w:rsidRDefault="00653317">
      <w:pPr>
        <w:jc w:val="center"/>
        <w:rPr>
          <w:rFonts w:ascii="Times New Roman" w:eastAsia="黑体" w:hAnsi="Times New Roman" w:cs="Times New Roman"/>
          <w:kern w:val="0"/>
          <w:sz w:val="28"/>
          <w:szCs w:val="22"/>
        </w:rPr>
      </w:pPr>
      <w:r w:rsidRPr="00E7326A">
        <w:rPr>
          <w:rFonts w:ascii="Times New Roman" w:eastAsia="Times New Roman" w:hAnsi="Times New Roman" w:cs="Times New Roman"/>
          <w:noProof/>
          <w:kern w:val="0"/>
          <w:szCs w:val="22"/>
        </w:rPr>
        <mc:AlternateContent>
          <mc:Choice Requires="wps">
            <w:drawing>
              <wp:anchor distT="0" distB="0" distL="114300" distR="114300" simplePos="0" relativeHeight="251657728" behindDoc="0" locked="0" layoutInCell="1" allowOverlap="1" wp14:anchorId="5B81E6F6" wp14:editId="4C4DF86B">
                <wp:simplePos x="0" y="0"/>
                <wp:positionH relativeFrom="column">
                  <wp:posOffset>-59690</wp:posOffset>
                </wp:positionH>
                <wp:positionV relativeFrom="paragraph">
                  <wp:posOffset>95885</wp:posOffset>
                </wp:positionV>
                <wp:extent cx="5407025" cy="0"/>
                <wp:effectExtent l="0" t="0" r="22225" b="19050"/>
                <wp:wrapNone/>
                <wp:docPr id="4" name="直接箭头连接符 4"/>
                <wp:cNvGraphicFramePr/>
                <a:graphic xmlns:a="http://schemas.openxmlformats.org/drawingml/2006/main">
                  <a:graphicData uri="http://schemas.microsoft.com/office/word/2010/wordprocessingShape">
                    <wps:wsp>
                      <wps:cNvCnPr/>
                      <wps:spPr>
                        <a:xfrm>
                          <a:off x="0" y="0"/>
                          <a:ext cx="54070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w14:anchorId="52664C82" id="直接箭头连接符 4" o:spid="_x0000_s1026" type="#_x0000_t32" style="position:absolute;left:0;text-align:left;margin-left:-4.7pt;margin-top:7.55pt;width:425.75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" strokeweight="1.5pt"/>
            </w:pict>
          </mc:Fallback>
        </mc:AlternateContent>
      </w:r>
    </w:p>
    <w:p w14:paraId="3AA71280" w14:textId="33E740E4" w:rsidR="003439F6" w:rsidRPr="00E7326A" w:rsidRDefault="00653317">
      <w:pPr>
        <w:jc w:val="center"/>
        <w:rPr>
          <w:rFonts w:ascii="Times New Roman" w:eastAsia="Times New Roman" w:hAnsi="Times New Roman" w:cs="Times New Roman"/>
          <w:szCs w:val="22"/>
        </w:rPr>
      </w:pPr>
      <w:r w:rsidRPr="00E21030">
        <w:rPr>
          <w:rFonts w:ascii="方正小标宋_GBK" w:eastAsia="方正小标宋_GBK" w:hint="eastAsia"/>
          <w:kern w:val="0"/>
          <w:sz w:val="52"/>
        </w:rPr>
        <w:t>中国技术经济学会</w:t>
      </w:r>
      <w:r w:rsidR="00617D75" w:rsidRPr="00E7326A">
        <w:rPr>
          <w:rFonts w:ascii="Times New Roman" w:eastAsia="方正小标宋简体" w:hAnsi="Times New Roman" w:cs="Times New Roman"/>
          <w:kern w:val="0"/>
          <w:sz w:val="52"/>
          <w:szCs w:val="22"/>
        </w:rPr>
        <w:t xml:space="preserve"> </w:t>
      </w:r>
      <w:r w:rsidR="00617D75" w:rsidRPr="00E7326A">
        <w:rPr>
          <w:rFonts w:ascii="黑体" w:eastAsia="黑体" w:hAnsi="黑体" w:cs="Times New Roman" w:hint="eastAsia"/>
          <w:kern w:val="0"/>
          <w:sz w:val="28"/>
          <w:szCs w:val="28"/>
        </w:rPr>
        <w:t>发</w:t>
      </w:r>
      <w:r w:rsidR="00617D75" w:rsidRPr="00E7326A">
        <w:rPr>
          <w:rFonts w:ascii="黑体" w:eastAsia="黑体" w:hAnsi="黑体" w:cs="Times New Roman"/>
          <w:kern w:val="0"/>
          <w:sz w:val="28"/>
          <w:szCs w:val="28"/>
        </w:rPr>
        <w:t xml:space="preserve"> </w:t>
      </w:r>
      <w:r w:rsidR="00617D75" w:rsidRPr="00E7326A">
        <w:rPr>
          <w:rFonts w:ascii="黑体" w:eastAsia="黑体" w:hAnsi="黑体" w:cs="Times New Roman" w:hint="eastAsia"/>
          <w:kern w:val="0"/>
          <w:sz w:val="28"/>
          <w:szCs w:val="28"/>
        </w:rPr>
        <w:t>布</w:t>
      </w:r>
    </w:p>
    <w:p w14:paraId="367D9DE1" w14:textId="77777777" w:rsidR="003439F6" w:rsidRPr="00E7326A" w:rsidRDefault="003439F6">
      <w:pPr>
        <w:jc w:val="left"/>
        <w:rPr>
          <w:rFonts w:ascii="Times New Roman" w:hAnsi="Times New Roman" w:cs="Times New Roman"/>
        </w:rPr>
        <w:sectPr w:rsidR="003439F6" w:rsidRPr="00E7326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992" w:footer="851" w:gutter="0"/>
          <w:pgNumType w:fmt="upperRoman"/>
          <w:cols w:space="425"/>
          <w:titlePg/>
          <w:docGrid w:linePitch="312"/>
        </w:sectPr>
      </w:pPr>
    </w:p>
    <w:p w14:paraId="0C1E915D" w14:textId="77777777" w:rsidR="003439F6" w:rsidRPr="00E7326A" w:rsidRDefault="00617D75">
      <w:pPr>
        <w:keepNext/>
        <w:shd w:val="clear" w:color="FFFFFF" w:fill="FFFFFF"/>
        <w:spacing w:before="640" w:after="560"/>
        <w:jc w:val="center"/>
        <w:outlineLvl w:val="0"/>
        <w:rPr>
          <w:rFonts w:ascii="Times New Roman" w:eastAsia="黑体" w:hAnsi="Times New Roman" w:cs="Times New Roman"/>
          <w:kern w:val="0"/>
        </w:rPr>
      </w:pPr>
      <w:r w:rsidRPr="00E7326A">
        <w:rPr>
          <w:rFonts w:ascii="Times New Roman" w:eastAsia="黑体" w:hAnsi="Times New Roman" w:cs="Times New Roman"/>
          <w:kern w:val="0"/>
          <w:sz w:val="32"/>
          <w:szCs w:val="20"/>
        </w:rPr>
        <w:lastRenderedPageBreak/>
        <w:t>前</w:t>
      </w:r>
      <w:r w:rsidRPr="00E7326A">
        <w:rPr>
          <w:rFonts w:ascii="Times New Roman" w:eastAsia="黑体" w:hAnsi="Times New Roman" w:cs="Times New Roman" w:hint="eastAsia"/>
          <w:kern w:val="0"/>
          <w:sz w:val="32"/>
          <w:szCs w:val="20"/>
        </w:rPr>
        <w:t xml:space="preserve">    </w:t>
      </w:r>
      <w:r w:rsidRPr="00E7326A">
        <w:rPr>
          <w:rFonts w:ascii="Times New Roman" w:eastAsia="黑体" w:hAnsi="Times New Roman" w:cs="Times New Roman"/>
          <w:kern w:val="0"/>
          <w:sz w:val="32"/>
          <w:szCs w:val="20"/>
        </w:rPr>
        <w:t>言</w:t>
      </w:r>
    </w:p>
    <w:p w14:paraId="0BBB6159" w14:textId="77777777" w:rsidR="003439F6" w:rsidRPr="00E7326A" w:rsidRDefault="00617D75">
      <w:pPr>
        <w:spacing w:line="360" w:lineRule="auto"/>
        <w:ind w:firstLine="420"/>
        <w:rPr>
          <w:rFonts w:ascii="Times New Roman" w:eastAsia="宋体" w:hAnsi="Times New Roman" w:cs="Times New Roman"/>
          <w:szCs w:val="22"/>
        </w:rPr>
      </w:pPr>
      <w:r w:rsidRPr="00E7326A">
        <w:rPr>
          <w:rFonts w:ascii="Times New Roman" w:hAnsi="Times New Roman" w:cs="Times New Roman"/>
          <w:szCs w:val="21"/>
        </w:rPr>
        <w:t>本</w:t>
      </w:r>
      <w:r w:rsidRPr="00E7326A">
        <w:rPr>
          <w:rFonts w:ascii="Times New Roman" w:hAnsi="Times New Roman" w:cs="Times New Roman" w:hint="eastAsia"/>
          <w:szCs w:val="21"/>
        </w:rPr>
        <w:t>标准按</w:t>
      </w:r>
      <w:r w:rsidRPr="00E7326A">
        <w:rPr>
          <w:rFonts w:ascii="Times New Roman" w:hAnsi="Times New Roman" w:cs="Times New Roman" w:hint="eastAsia"/>
          <w:szCs w:val="21"/>
        </w:rPr>
        <w:t>GB/T 1.1-2020</w:t>
      </w:r>
      <w:r w:rsidRPr="00E7326A">
        <w:rPr>
          <w:rFonts w:ascii="Times New Roman" w:hAnsi="Times New Roman" w:cs="Times New Roman" w:hint="eastAsia"/>
          <w:szCs w:val="21"/>
        </w:rPr>
        <w:t>给出的规则起草</w:t>
      </w:r>
      <w:r w:rsidRPr="00E7326A">
        <w:rPr>
          <w:rFonts w:ascii="Times New Roman" w:hAnsi="Times New Roman" w:cs="Times New Roman"/>
          <w:szCs w:val="21"/>
        </w:rPr>
        <w:t>。</w:t>
      </w:r>
    </w:p>
    <w:p w14:paraId="2E924E87" w14:textId="77777777" w:rsidR="003439F6" w:rsidRPr="00E7326A" w:rsidRDefault="00617D75">
      <w:pPr>
        <w:spacing w:line="360" w:lineRule="auto"/>
        <w:ind w:firstLine="420"/>
        <w:rPr>
          <w:rFonts w:ascii="Times New Roman" w:eastAsia="宋体" w:hAnsi="Times New Roman" w:cs="Times New Roman"/>
          <w:szCs w:val="22"/>
        </w:rPr>
      </w:pPr>
      <w:r w:rsidRPr="00E7326A">
        <w:rPr>
          <w:rFonts w:ascii="Times New Roman" w:eastAsia="宋体" w:hAnsi="Times New Roman" w:cs="Times New Roman"/>
        </w:rPr>
        <w:t>本</w:t>
      </w:r>
      <w:r w:rsidRPr="00E7326A">
        <w:rPr>
          <w:rFonts w:ascii="Times New Roman" w:eastAsia="宋体" w:hAnsi="Times New Roman" w:cs="Times New Roman" w:hint="eastAsia"/>
        </w:rPr>
        <w:t>标准</w:t>
      </w:r>
      <w:r w:rsidRPr="00E7326A">
        <w:rPr>
          <w:rFonts w:ascii="Times New Roman" w:eastAsia="宋体" w:hAnsi="Times New Roman" w:cs="Times New Roman"/>
        </w:rPr>
        <w:t>中国技术经济学会</w:t>
      </w:r>
      <w:r w:rsidRPr="00E7326A">
        <w:rPr>
          <w:rFonts w:hint="eastAsia"/>
          <w:szCs w:val="21"/>
        </w:rPr>
        <w:t>提出并归口</w:t>
      </w:r>
      <w:r w:rsidRPr="00E7326A">
        <w:rPr>
          <w:rFonts w:ascii="Times New Roman" w:eastAsia="宋体" w:hAnsi="Times New Roman" w:cs="Times New Roman"/>
        </w:rPr>
        <w:t>。</w:t>
      </w:r>
    </w:p>
    <w:p w14:paraId="3DDB578D" w14:textId="77777777" w:rsidR="003439F6" w:rsidRPr="00E7326A" w:rsidRDefault="00617D75">
      <w:pPr>
        <w:spacing w:line="360" w:lineRule="auto"/>
        <w:ind w:firstLine="420"/>
        <w:rPr>
          <w:rFonts w:ascii="Times New Roman" w:eastAsia="宋体" w:hAnsi="Times New Roman" w:cs="Times New Roman"/>
          <w:szCs w:val="22"/>
        </w:rPr>
      </w:pPr>
      <w:r w:rsidRPr="00E7326A">
        <w:rPr>
          <w:rFonts w:ascii="Times New Roman" w:eastAsia="宋体" w:hAnsi="Times New Roman" w:cs="Times New Roman" w:hint="eastAsia"/>
          <w:szCs w:val="22"/>
        </w:rPr>
        <w:t>本标准</w:t>
      </w:r>
      <w:r w:rsidRPr="00E7326A">
        <w:rPr>
          <w:rFonts w:ascii="Times New Roman" w:eastAsia="宋体" w:hAnsi="Times New Roman" w:cs="Times New Roman"/>
          <w:szCs w:val="22"/>
        </w:rPr>
        <w:t>起草单位：。</w:t>
      </w:r>
    </w:p>
    <w:p w14:paraId="22BA9324" w14:textId="77777777" w:rsidR="003439F6" w:rsidRPr="00E7326A" w:rsidRDefault="00617D75">
      <w:pPr>
        <w:spacing w:line="360" w:lineRule="auto"/>
        <w:ind w:firstLine="420"/>
        <w:rPr>
          <w:rFonts w:ascii="Times New Roman" w:eastAsia="宋体" w:hAnsi="Times New Roman" w:cs="Times New Roman"/>
          <w:szCs w:val="22"/>
        </w:rPr>
      </w:pPr>
      <w:r w:rsidRPr="00E7326A">
        <w:rPr>
          <w:rFonts w:ascii="Times New Roman" w:eastAsia="宋体" w:hAnsi="Times New Roman" w:cs="Times New Roman" w:hint="eastAsia"/>
          <w:szCs w:val="22"/>
        </w:rPr>
        <w:t>本标准</w:t>
      </w:r>
      <w:r w:rsidRPr="00E7326A">
        <w:rPr>
          <w:rFonts w:ascii="Times New Roman" w:eastAsia="宋体" w:hAnsi="Times New Roman" w:cs="Times New Roman"/>
          <w:szCs w:val="22"/>
        </w:rPr>
        <w:t>主要起草人：。</w:t>
      </w:r>
    </w:p>
    <w:p w14:paraId="6AAB9A87" w14:textId="77777777" w:rsidR="003439F6" w:rsidRPr="00E7326A" w:rsidRDefault="00617D75">
      <w:pPr>
        <w:spacing w:line="360" w:lineRule="auto"/>
        <w:ind w:firstLineChars="200" w:firstLine="420"/>
        <w:rPr>
          <w:rFonts w:ascii="Times New Roman" w:hAnsi="Times New Roman" w:cs="Times New Roman"/>
          <w:sz w:val="24"/>
        </w:rPr>
        <w:sectPr w:rsidR="003439F6" w:rsidRPr="00E7326A">
          <w:footerReference w:type="default" r:id="rId15"/>
          <w:headerReference w:type="first" r:id="rId16"/>
          <w:footerReference w:type="first" r:id="rId17"/>
          <w:pgSz w:w="11906" w:h="16838"/>
          <w:pgMar w:top="1440" w:right="1797" w:bottom="1440" w:left="1797" w:header="851" w:footer="992" w:gutter="0"/>
          <w:pgNumType w:start="1"/>
          <w:cols w:space="425"/>
          <w:titlePg/>
          <w:docGrid w:type="linesAndChars" w:linePitch="312"/>
        </w:sectPr>
      </w:pPr>
      <w:r w:rsidRPr="00E7326A">
        <w:rPr>
          <w:rFonts w:ascii="Times New Roman" w:eastAsia="宋体" w:hAnsi="Times New Roman" w:cs="Times New Roman"/>
          <w:szCs w:val="22"/>
        </w:rPr>
        <w:t>本</w:t>
      </w:r>
      <w:r w:rsidRPr="00E7326A">
        <w:rPr>
          <w:rFonts w:ascii="Times New Roman" w:eastAsia="宋体" w:hAnsi="Times New Roman" w:cs="Times New Roman" w:hint="eastAsia"/>
          <w:szCs w:val="22"/>
        </w:rPr>
        <w:t>标准</w:t>
      </w:r>
      <w:r w:rsidRPr="00E7326A">
        <w:rPr>
          <w:rFonts w:ascii="Times New Roman" w:eastAsia="宋体" w:hAnsi="Times New Roman" w:cs="Times New Roman"/>
          <w:szCs w:val="22"/>
        </w:rPr>
        <w:t>为首次发布。</w:t>
      </w:r>
    </w:p>
    <w:bookmarkEnd w:id="0"/>
    <w:bookmarkEnd w:id="1"/>
    <w:bookmarkEnd w:id="2"/>
    <w:p w14:paraId="54540DB3" w14:textId="77777777" w:rsidR="003439F6" w:rsidRPr="00C87767" w:rsidRDefault="00617D75">
      <w:pPr>
        <w:jc w:val="center"/>
        <w:rPr>
          <w:rFonts w:ascii="黑体" w:eastAsia="黑体" w:hAnsi="黑体" w:cs="Times New Roman"/>
          <w:bCs/>
          <w:sz w:val="32"/>
          <w:szCs w:val="32"/>
        </w:rPr>
      </w:pPr>
      <w:r w:rsidRPr="00C87767">
        <w:rPr>
          <w:rFonts w:ascii="黑体" w:eastAsia="黑体" w:hAnsi="黑体" w:cs="Times New Roman" w:hint="eastAsia"/>
          <w:bCs/>
          <w:sz w:val="32"/>
          <w:szCs w:val="32"/>
        </w:rPr>
        <w:lastRenderedPageBreak/>
        <w:t>绿色炉窑评价技术通则</w:t>
      </w:r>
    </w:p>
    <w:p w14:paraId="379E7201" w14:textId="77777777" w:rsidR="003439F6" w:rsidRPr="00E7326A" w:rsidRDefault="003439F6">
      <w:pPr>
        <w:jc w:val="center"/>
        <w:rPr>
          <w:rFonts w:ascii="Times New Roman" w:hAnsi="Times New Roman" w:cs="Times New Roman"/>
          <w:b/>
          <w:bCs/>
          <w:sz w:val="24"/>
        </w:rPr>
      </w:pPr>
    </w:p>
    <w:p w14:paraId="5488725E" w14:textId="77777777" w:rsidR="003439F6" w:rsidRPr="00E7326A" w:rsidRDefault="00617D75">
      <w:pPr>
        <w:pStyle w:val="1"/>
        <w:rPr>
          <w:rFonts w:ascii="黑体" w:hAnsi="黑体"/>
          <w:b w:val="0"/>
          <w:sz w:val="21"/>
          <w:szCs w:val="21"/>
        </w:rPr>
      </w:pPr>
      <w:r w:rsidRPr="00E7326A">
        <w:rPr>
          <w:rFonts w:ascii="黑体" w:hAnsi="黑体"/>
          <w:b w:val="0"/>
          <w:sz w:val="21"/>
          <w:szCs w:val="21"/>
        </w:rPr>
        <w:t xml:space="preserve">1  </w:t>
      </w:r>
      <w:r w:rsidRPr="00E7326A">
        <w:rPr>
          <w:rFonts w:ascii="黑体" w:hAnsi="黑体" w:hint="eastAsia"/>
          <w:b w:val="0"/>
          <w:sz w:val="21"/>
          <w:szCs w:val="21"/>
        </w:rPr>
        <w:t>范围</w:t>
      </w:r>
    </w:p>
    <w:p w14:paraId="11987078" w14:textId="77777777" w:rsidR="003439F6" w:rsidRPr="00E7326A" w:rsidRDefault="00617D75">
      <w:pPr>
        <w:spacing w:line="360"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本</w:t>
      </w:r>
      <w:r w:rsidRPr="00E7326A">
        <w:rPr>
          <w:rFonts w:ascii="Times New Roman" w:hAnsi="Times New Roman" w:cs="Times New Roman" w:hint="eastAsia"/>
          <w:szCs w:val="21"/>
        </w:rPr>
        <w:t>标准</w:t>
      </w:r>
      <w:r w:rsidRPr="00E7326A">
        <w:rPr>
          <w:rFonts w:ascii="Times New Roman" w:hAnsi="Times New Roman" w:cs="Times New Roman"/>
          <w:szCs w:val="21"/>
        </w:rPr>
        <w:t>规定了绿色炉窑评价的术语和定义、基本原则、评价指标和评价方法。</w:t>
      </w:r>
    </w:p>
    <w:p w14:paraId="201F69C9" w14:textId="77777777" w:rsidR="003439F6" w:rsidRPr="00E7326A" w:rsidRDefault="00617D75">
      <w:pPr>
        <w:spacing w:line="360" w:lineRule="auto"/>
        <w:ind w:firstLineChars="200" w:firstLine="420"/>
        <w:jc w:val="left"/>
        <w:rPr>
          <w:rFonts w:ascii="Times New Roman" w:hAnsi="Times New Roman" w:cs="Times New Roman"/>
          <w:b/>
          <w:bCs/>
          <w:szCs w:val="21"/>
        </w:rPr>
      </w:pPr>
      <w:r w:rsidRPr="00E7326A">
        <w:rPr>
          <w:rFonts w:ascii="Times New Roman" w:hAnsi="Times New Roman" w:cs="Times New Roman"/>
          <w:szCs w:val="21"/>
        </w:rPr>
        <w:t>本</w:t>
      </w:r>
      <w:r w:rsidRPr="00E7326A">
        <w:rPr>
          <w:rFonts w:ascii="Times New Roman" w:hAnsi="Times New Roman" w:cs="Times New Roman" w:hint="eastAsia"/>
          <w:szCs w:val="21"/>
        </w:rPr>
        <w:t>标准</w:t>
      </w:r>
      <w:r w:rsidRPr="00E7326A">
        <w:rPr>
          <w:rFonts w:ascii="Times New Roman" w:hAnsi="Times New Roman" w:cs="Times New Roman"/>
          <w:szCs w:val="21"/>
        </w:rPr>
        <w:t>适用于具体绿色炉窑评价标准的制修订工作。</w:t>
      </w:r>
    </w:p>
    <w:p w14:paraId="702A14B7" w14:textId="77777777" w:rsidR="003439F6" w:rsidRPr="00E7326A" w:rsidRDefault="00617D75">
      <w:pPr>
        <w:pStyle w:val="1"/>
        <w:rPr>
          <w:rFonts w:ascii="黑体" w:hAnsi="黑体"/>
          <w:b w:val="0"/>
          <w:sz w:val="21"/>
          <w:szCs w:val="21"/>
        </w:rPr>
      </w:pPr>
      <w:r w:rsidRPr="00E7326A">
        <w:rPr>
          <w:rFonts w:ascii="黑体" w:hAnsi="黑体"/>
          <w:b w:val="0"/>
          <w:sz w:val="21"/>
          <w:szCs w:val="21"/>
        </w:rPr>
        <w:t xml:space="preserve">2  </w:t>
      </w:r>
      <w:r w:rsidRPr="00E7326A">
        <w:rPr>
          <w:rFonts w:ascii="黑体" w:hAnsi="黑体" w:hint="eastAsia"/>
          <w:b w:val="0"/>
          <w:sz w:val="21"/>
          <w:szCs w:val="21"/>
        </w:rPr>
        <w:t>规范性引用文件</w:t>
      </w:r>
    </w:p>
    <w:p w14:paraId="1969A260" w14:textId="77777777" w:rsidR="003439F6" w:rsidRPr="00E7326A" w:rsidRDefault="00617D75">
      <w:pPr>
        <w:spacing w:line="360"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下列文件对于本文件的应用是必不可少的。凡是注日期的引用文件，仅注日期的版本适用于本文件。凡是不注日期的引用文件，其最新版本（包括所有的修改单）适用于本文件。</w:t>
      </w:r>
    </w:p>
    <w:p w14:paraId="0486F3F4" w14:textId="77777777" w:rsidR="003439F6" w:rsidRPr="00E7326A" w:rsidRDefault="00617D75">
      <w:pPr>
        <w:spacing w:line="360" w:lineRule="auto"/>
        <w:ind w:firstLineChars="200" w:firstLine="420"/>
        <w:rPr>
          <w:rFonts w:ascii="Times New Roman" w:eastAsia="宋体" w:hAnsi="Times New Roman" w:cs="Times New Roman"/>
          <w:szCs w:val="21"/>
        </w:rPr>
      </w:pPr>
      <w:r w:rsidRPr="00E7326A">
        <w:rPr>
          <w:rFonts w:ascii="Times New Roman" w:eastAsia="宋体" w:hAnsi="Times New Roman" w:cs="Times New Roman" w:hint="eastAsia"/>
          <w:szCs w:val="21"/>
        </w:rPr>
        <w:t xml:space="preserve">GB 18599 </w:t>
      </w:r>
      <w:r w:rsidRPr="00E7326A">
        <w:rPr>
          <w:rFonts w:ascii="Times New Roman" w:eastAsia="宋体" w:hAnsi="Times New Roman" w:cs="Times New Roman" w:hint="eastAsia"/>
          <w:szCs w:val="21"/>
        </w:rPr>
        <w:t>一般工业固体废物贮存、处置场污染控制标准</w:t>
      </w:r>
    </w:p>
    <w:p w14:paraId="48497829" w14:textId="77777777" w:rsidR="003439F6" w:rsidRPr="00E7326A" w:rsidRDefault="00617D75">
      <w:pPr>
        <w:spacing w:line="360" w:lineRule="auto"/>
        <w:ind w:firstLineChars="200" w:firstLine="420"/>
        <w:rPr>
          <w:rFonts w:ascii="Times New Roman" w:eastAsia="宋体" w:hAnsi="Times New Roman" w:cs="Times New Roman"/>
          <w:szCs w:val="21"/>
        </w:rPr>
      </w:pPr>
      <w:r w:rsidRPr="00E7326A">
        <w:rPr>
          <w:rFonts w:ascii="Times New Roman" w:eastAsia="宋体" w:hAnsi="Times New Roman" w:cs="Times New Roman"/>
          <w:szCs w:val="21"/>
        </w:rPr>
        <w:t xml:space="preserve">GB/T 19001  </w:t>
      </w:r>
      <w:r w:rsidRPr="00E7326A">
        <w:rPr>
          <w:rFonts w:ascii="Times New Roman" w:eastAsia="宋体" w:hAnsi="Times New Roman" w:cs="Times New Roman"/>
          <w:szCs w:val="21"/>
        </w:rPr>
        <w:t>质量管理体系</w:t>
      </w:r>
      <w:r w:rsidRPr="00E7326A">
        <w:rPr>
          <w:rFonts w:ascii="Times New Roman" w:eastAsia="宋体" w:hAnsi="Times New Roman" w:cs="Times New Roman"/>
          <w:szCs w:val="21"/>
        </w:rPr>
        <w:t xml:space="preserve"> </w:t>
      </w:r>
      <w:r w:rsidRPr="00E7326A">
        <w:rPr>
          <w:rFonts w:ascii="Times New Roman" w:eastAsia="宋体" w:hAnsi="Times New Roman" w:cs="Times New Roman"/>
          <w:szCs w:val="21"/>
        </w:rPr>
        <w:t>要求</w:t>
      </w:r>
    </w:p>
    <w:p w14:paraId="4593904A" w14:textId="77777777" w:rsidR="003439F6" w:rsidRPr="00E7326A" w:rsidRDefault="00617D75">
      <w:pPr>
        <w:spacing w:line="360" w:lineRule="auto"/>
        <w:ind w:firstLineChars="200" w:firstLine="420"/>
        <w:rPr>
          <w:rFonts w:ascii="Times New Roman" w:eastAsia="宋体" w:hAnsi="Times New Roman" w:cs="Times New Roman"/>
          <w:szCs w:val="21"/>
        </w:rPr>
      </w:pPr>
      <w:r w:rsidRPr="00E7326A">
        <w:rPr>
          <w:rFonts w:ascii="Times New Roman" w:eastAsia="宋体" w:hAnsi="Times New Roman" w:cs="Times New Roman"/>
          <w:szCs w:val="21"/>
        </w:rPr>
        <w:t>GB/T</w:t>
      </w:r>
      <w:r w:rsidRPr="00E7326A">
        <w:rPr>
          <w:rFonts w:ascii="Times New Roman" w:eastAsia="宋体" w:hAnsi="Times New Roman" w:cs="Times New Roman" w:hint="eastAsia"/>
          <w:szCs w:val="21"/>
        </w:rPr>
        <w:t xml:space="preserve"> </w:t>
      </w:r>
      <w:r w:rsidRPr="00E7326A">
        <w:rPr>
          <w:rFonts w:ascii="Times New Roman" w:eastAsia="宋体" w:hAnsi="Times New Roman" w:cs="Times New Roman"/>
          <w:szCs w:val="21"/>
        </w:rPr>
        <w:t xml:space="preserve">23331  </w:t>
      </w:r>
      <w:r w:rsidRPr="00E7326A">
        <w:rPr>
          <w:rFonts w:ascii="Times New Roman" w:eastAsia="宋体" w:hAnsi="Times New Roman" w:cs="Times New Roman"/>
          <w:szCs w:val="21"/>
        </w:rPr>
        <w:t>能源管理体系</w:t>
      </w:r>
      <w:r w:rsidRPr="00E7326A">
        <w:rPr>
          <w:rFonts w:ascii="Times New Roman" w:eastAsia="宋体" w:hAnsi="Times New Roman" w:cs="Times New Roman"/>
          <w:szCs w:val="21"/>
        </w:rPr>
        <w:t xml:space="preserve"> </w:t>
      </w:r>
      <w:r w:rsidRPr="00E7326A">
        <w:rPr>
          <w:rFonts w:ascii="Times New Roman" w:eastAsia="宋体" w:hAnsi="Times New Roman" w:cs="Times New Roman"/>
          <w:szCs w:val="21"/>
        </w:rPr>
        <w:t>要求及使用指南</w:t>
      </w:r>
    </w:p>
    <w:p w14:paraId="49134717" w14:textId="77777777" w:rsidR="003439F6" w:rsidRPr="00E7326A" w:rsidRDefault="00617D75">
      <w:pPr>
        <w:spacing w:line="360" w:lineRule="auto"/>
        <w:ind w:firstLineChars="200" w:firstLine="420"/>
        <w:rPr>
          <w:rFonts w:ascii="Times New Roman" w:eastAsia="宋体" w:hAnsi="Times New Roman" w:cs="Times New Roman"/>
          <w:szCs w:val="21"/>
        </w:rPr>
      </w:pPr>
      <w:r w:rsidRPr="00E7326A">
        <w:rPr>
          <w:rFonts w:ascii="Times New Roman" w:eastAsia="宋体" w:hAnsi="Times New Roman" w:cs="Times New Roman"/>
          <w:szCs w:val="21"/>
        </w:rPr>
        <w:t>GB/T</w:t>
      </w:r>
      <w:r w:rsidRPr="00E7326A">
        <w:rPr>
          <w:rFonts w:ascii="Times New Roman" w:eastAsia="宋体" w:hAnsi="Times New Roman" w:cs="Times New Roman" w:hint="eastAsia"/>
          <w:szCs w:val="21"/>
        </w:rPr>
        <w:t xml:space="preserve"> </w:t>
      </w:r>
      <w:r w:rsidRPr="00E7326A">
        <w:rPr>
          <w:rFonts w:ascii="Times New Roman" w:eastAsia="宋体" w:hAnsi="Times New Roman" w:cs="Times New Roman"/>
          <w:szCs w:val="21"/>
        </w:rPr>
        <w:t xml:space="preserve">24001  </w:t>
      </w:r>
      <w:r w:rsidRPr="00E7326A">
        <w:rPr>
          <w:rFonts w:ascii="Times New Roman" w:eastAsia="宋体" w:hAnsi="Times New Roman" w:cs="Times New Roman"/>
          <w:szCs w:val="21"/>
        </w:rPr>
        <w:t>环境管理体系</w:t>
      </w:r>
      <w:r w:rsidRPr="00E7326A">
        <w:rPr>
          <w:rFonts w:ascii="Times New Roman" w:eastAsia="宋体" w:hAnsi="Times New Roman" w:cs="Times New Roman"/>
          <w:szCs w:val="21"/>
        </w:rPr>
        <w:t xml:space="preserve"> </w:t>
      </w:r>
      <w:r w:rsidRPr="00E7326A">
        <w:rPr>
          <w:rFonts w:ascii="Times New Roman" w:eastAsia="宋体" w:hAnsi="Times New Roman" w:cs="Times New Roman"/>
          <w:szCs w:val="21"/>
        </w:rPr>
        <w:t>要求及使用指南</w:t>
      </w:r>
    </w:p>
    <w:p w14:paraId="039B1FE4" w14:textId="77777777" w:rsidR="003439F6" w:rsidRPr="00E7326A" w:rsidRDefault="00617D75">
      <w:pPr>
        <w:spacing w:line="360" w:lineRule="auto"/>
        <w:ind w:firstLineChars="200" w:firstLine="420"/>
        <w:rPr>
          <w:rFonts w:ascii="Times New Roman" w:hAnsi="Times New Roman" w:cs="Times New Roman"/>
          <w:szCs w:val="21"/>
        </w:rPr>
      </w:pPr>
      <w:r w:rsidRPr="00E7326A">
        <w:rPr>
          <w:rFonts w:ascii="Times New Roman" w:hAnsi="Times New Roman" w:cs="Times New Roman"/>
          <w:szCs w:val="21"/>
        </w:rPr>
        <w:t xml:space="preserve">GB/T 33761-2017  </w:t>
      </w:r>
      <w:r w:rsidRPr="00E7326A">
        <w:rPr>
          <w:rFonts w:ascii="Times New Roman" w:hAnsi="Times New Roman" w:cs="Times New Roman"/>
          <w:szCs w:val="21"/>
        </w:rPr>
        <w:t>绿色产品评价通则</w:t>
      </w:r>
    </w:p>
    <w:p w14:paraId="71231BD5" w14:textId="77777777" w:rsidR="003439F6" w:rsidRPr="00E7326A" w:rsidRDefault="00617D75">
      <w:pPr>
        <w:spacing w:line="360" w:lineRule="auto"/>
        <w:ind w:firstLineChars="200" w:firstLine="420"/>
        <w:rPr>
          <w:rFonts w:ascii="Times New Roman" w:hAnsi="Times New Roman" w:cs="Times New Roman"/>
          <w:szCs w:val="21"/>
        </w:rPr>
      </w:pPr>
      <w:r w:rsidRPr="00E7326A">
        <w:rPr>
          <w:rFonts w:ascii="Times New Roman" w:hAnsi="Times New Roman" w:cs="Times New Roman"/>
          <w:szCs w:val="21"/>
        </w:rPr>
        <w:t xml:space="preserve">GB/T 36132-2018  </w:t>
      </w:r>
      <w:r w:rsidRPr="00E7326A">
        <w:rPr>
          <w:rFonts w:ascii="Times New Roman" w:hAnsi="Times New Roman" w:cs="Times New Roman"/>
          <w:szCs w:val="21"/>
        </w:rPr>
        <w:t>绿色工厂评价通则</w:t>
      </w:r>
    </w:p>
    <w:p w14:paraId="6AEFA872" w14:textId="77777777" w:rsidR="003439F6" w:rsidRPr="00E7326A" w:rsidRDefault="00617D75">
      <w:pPr>
        <w:pStyle w:val="1"/>
        <w:rPr>
          <w:rFonts w:ascii="黑体" w:hAnsi="黑体"/>
          <w:b w:val="0"/>
          <w:sz w:val="21"/>
          <w:szCs w:val="21"/>
        </w:rPr>
      </w:pPr>
      <w:r w:rsidRPr="00E7326A">
        <w:rPr>
          <w:rFonts w:ascii="黑体" w:hAnsi="黑体"/>
          <w:b w:val="0"/>
          <w:sz w:val="21"/>
          <w:szCs w:val="21"/>
        </w:rPr>
        <w:t xml:space="preserve">3  </w:t>
      </w:r>
      <w:r w:rsidRPr="00E7326A">
        <w:rPr>
          <w:rFonts w:ascii="黑体" w:hAnsi="黑体" w:hint="eastAsia"/>
          <w:b w:val="0"/>
          <w:sz w:val="21"/>
          <w:szCs w:val="21"/>
        </w:rPr>
        <w:t>术语和定义</w:t>
      </w:r>
    </w:p>
    <w:p w14:paraId="071E172D" w14:textId="77777777" w:rsidR="003439F6" w:rsidRPr="00E7326A" w:rsidRDefault="00617D75">
      <w:pPr>
        <w:spacing w:line="360"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下列术语和定义适用于本文件。</w:t>
      </w:r>
    </w:p>
    <w:p w14:paraId="286BD345" w14:textId="77777777" w:rsidR="003439F6" w:rsidRPr="00E7326A" w:rsidRDefault="00617D75">
      <w:pPr>
        <w:pStyle w:val="2"/>
        <w:rPr>
          <w:rFonts w:ascii="黑体" w:hAnsi="黑体"/>
          <w:b w:val="0"/>
        </w:rPr>
      </w:pPr>
      <w:r w:rsidRPr="00E7326A">
        <w:rPr>
          <w:rFonts w:ascii="黑体" w:hAnsi="黑体"/>
          <w:b w:val="0"/>
        </w:rPr>
        <w:t>3.1</w:t>
      </w:r>
    </w:p>
    <w:p w14:paraId="4B94C134" w14:textId="77777777" w:rsidR="003439F6" w:rsidRPr="00E7326A" w:rsidRDefault="00617D75">
      <w:pPr>
        <w:spacing w:line="360" w:lineRule="auto"/>
        <w:ind w:firstLine="360"/>
        <w:jc w:val="left"/>
        <w:rPr>
          <w:rFonts w:ascii="黑体" w:eastAsia="黑体" w:hAnsi="黑体" w:cs="Times New Roman"/>
          <w:szCs w:val="21"/>
        </w:rPr>
      </w:pPr>
      <w:r w:rsidRPr="00E7326A">
        <w:rPr>
          <w:rFonts w:ascii="黑体" w:eastAsia="黑体" w:hAnsi="黑体" w:cs="Times New Roman" w:hint="eastAsia"/>
          <w:szCs w:val="21"/>
        </w:rPr>
        <w:t xml:space="preserve">绿色炉窑 </w:t>
      </w:r>
      <w:r w:rsidRPr="00E7326A">
        <w:rPr>
          <w:rFonts w:ascii="黑体" w:eastAsia="黑体" w:hAnsi="黑体" w:cs="Times New Roman"/>
          <w:szCs w:val="21"/>
        </w:rPr>
        <w:t>green furnaces and kilns</w:t>
      </w:r>
    </w:p>
    <w:p w14:paraId="24C4B824" w14:textId="77777777" w:rsidR="003439F6" w:rsidRPr="00E7326A" w:rsidRDefault="00617D75">
      <w:pPr>
        <w:spacing w:line="360" w:lineRule="auto"/>
        <w:ind w:firstLine="360"/>
        <w:jc w:val="left"/>
        <w:rPr>
          <w:rFonts w:ascii="Times New Roman" w:hAnsi="Times New Roman" w:cs="Times New Roman"/>
          <w:b/>
          <w:bCs/>
          <w:szCs w:val="21"/>
        </w:rPr>
      </w:pPr>
      <w:r w:rsidRPr="00E7326A">
        <w:rPr>
          <w:rFonts w:ascii="Times New Roman" w:hAnsi="Times New Roman" w:cs="Times New Roman"/>
          <w:szCs w:val="21"/>
        </w:rPr>
        <w:t>指</w:t>
      </w:r>
      <w:r w:rsidRPr="00E7326A">
        <w:rPr>
          <w:rFonts w:ascii="Times New Roman" w:hAnsi="Times New Roman" w:cs="Times New Roman" w:hint="eastAsia"/>
          <w:szCs w:val="21"/>
        </w:rPr>
        <w:t>在炉窑生产应用过程中</w:t>
      </w:r>
      <w:r w:rsidRPr="00E7326A">
        <w:rPr>
          <w:rFonts w:ascii="Times New Roman" w:hAnsi="Times New Roman" w:cs="Times New Roman"/>
          <w:szCs w:val="21"/>
        </w:rPr>
        <w:t>，资源能源消耗少、</w:t>
      </w:r>
      <w:r w:rsidRPr="00E7326A">
        <w:rPr>
          <w:rFonts w:ascii="Times New Roman" w:hAnsi="Times New Roman" w:cs="Times New Roman" w:hint="eastAsia"/>
          <w:szCs w:val="21"/>
        </w:rPr>
        <w:t>排放物环境友好</w:t>
      </w:r>
      <w:r w:rsidRPr="00E7326A">
        <w:rPr>
          <w:rFonts w:ascii="Times New Roman" w:hAnsi="Times New Roman" w:cs="Times New Roman"/>
          <w:szCs w:val="21"/>
        </w:rPr>
        <w:t>、废物资源化、产品品质高的炉窑装备。</w:t>
      </w:r>
    </w:p>
    <w:p w14:paraId="29D90529" w14:textId="77777777" w:rsidR="003439F6" w:rsidRPr="00E7326A" w:rsidRDefault="00617D75">
      <w:pPr>
        <w:pStyle w:val="2"/>
        <w:rPr>
          <w:rFonts w:ascii="黑体" w:hAnsi="黑体"/>
          <w:b w:val="0"/>
        </w:rPr>
      </w:pPr>
      <w:r w:rsidRPr="00E7326A">
        <w:rPr>
          <w:rFonts w:ascii="黑体" w:hAnsi="黑体"/>
          <w:b w:val="0"/>
        </w:rPr>
        <w:t>3.2</w:t>
      </w:r>
    </w:p>
    <w:p w14:paraId="05A7C5B2" w14:textId="77777777" w:rsidR="003439F6" w:rsidRPr="00E7326A" w:rsidRDefault="00617D75">
      <w:pPr>
        <w:spacing w:line="360" w:lineRule="auto"/>
        <w:ind w:firstLine="360"/>
        <w:jc w:val="left"/>
        <w:rPr>
          <w:rFonts w:ascii="黑体" w:eastAsia="黑体" w:hAnsi="黑体" w:cs="Times New Roman"/>
          <w:szCs w:val="21"/>
        </w:rPr>
      </w:pPr>
      <w:r w:rsidRPr="00E7326A">
        <w:rPr>
          <w:rFonts w:ascii="黑体" w:eastAsia="黑体" w:hAnsi="黑体" w:cs="Times New Roman" w:hint="eastAsia"/>
          <w:szCs w:val="21"/>
        </w:rPr>
        <w:t xml:space="preserve">评价指标基准值  </w:t>
      </w:r>
      <w:r w:rsidRPr="00E7326A">
        <w:rPr>
          <w:rFonts w:ascii="黑体" w:eastAsia="黑体" w:hAnsi="黑体" w:cs="Times New Roman"/>
          <w:szCs w:val="21"/>
        </w:rPr>
        <w:t>reference value of assessment indicator</w:t>
      </w:r>
    </w:p>
    <w:p w14:paraId="1058024D" w14:textId="77777777" w:rsidR="003439F6" w:rsidRPr="00E7326A" w:rsidRDefault="00617D75">
      <w:pPr>
        <w:spacing w:line="360" w:lineRule="auto"/>
        <w:ind w:firstLine="360"/>
        <w:jc w:val="left"/>
        <w:rPr>
          <w:rFonts w:ascii="Times New Roman" w:hAnsi="Times New Roman" w:cs="Times New Roman"/>
          <w:szCs w:val="21"/>
        </w:rPr>
      </w:pPr>
      <w:r w:rsidRPr="00E7326A">
        <w:rPr>
          <w:rFonts w:ascii="Times New Roman" w:hAnsi="Times New Roman" w:cs="Times New Roman"/>
          <w:szCs w:val="21"/>
        </w:rPr>
        <w:t>为评价绿色炉窑而设定的指标参照值。</w:t>
      </w:r>
    </w:p>
    <w:p w14:paraId="1B5D0623" w14:textId="77777777" w:rsidR="003439F6" w:rsidRPr="00E7326A" w:rsidRDefault="00617D75">
      <w:pPr>
        <w:pStyle w:val="1"/>
        <w:rPr>
          <w:rFonts w:ascii="黑体" w:hAnsi="黑体"/>
          <w:b w:val="0"/>
          <w:sz w:val="21"/>
          <w:szCs w:val="21"/>
        </w:rPr>
      </w:pPr>
      <w:r w:rsidRPr="00E7326A">
        <w:rPr>
          <w:rFonts w:ascii="黑体" w:hAnsi="黑体"/>
          <w:b w:val="0"/>
          <w:sz w:val="21"/>
          <w:szCs w:val="21"/>
        </w:rPr>
        <w:t xml:space="preserve">4  </w:t>
      </w:r>
      <w:r w:rsidRPr="00E7326A">
        <w:rPr>
          <w:rFonts w:ascii="黑体" w:hAnsi="黑体" w:hint="eastAsia"/>
          <w:b w:val="0"/>
          <w:sz w:val="21"/>
          <w:szCs w:val="21"/>
        </w:rPr>
        <w:t>基本原则</w:t>
      </w:r>
    </w:p>
    <w:p w14:paraId="5AC12F1A" w14:textId="77777777" w:rsidR="003439F6" w:rsidRPr="00E7326A" w:rsidRDefault="00617D75">
      <w:pPr>
        <w:pStyle w:val="2"/>
        <w:rPr>
          <w:rFonts w:ascii="黑体" w:hAnsi="黑体"/>
          <w:b w:val="0"/>
        </w:rPr>
      </w:pPr>
      <w:r w:rsidRPr="00E7326A">
        <w:rPr>
          <w:rFonts w:ascii="黑体" w:hAnsi="黑体"/>
          <w:b w:val="0"/>
        </w:rPr>
        <w:t xml:space="preserve">4.1  </w:t>
      </w:r>
      <w:r w:rsidRPr="00E7326A">
        <w:rPr>
          <w:rFonts w:ascii="黑体" w:hAnsi="黑体" w:hint="eastAsia"/>
          <w:b w:val="0"/>
        </w:rPr>
        <w:t>绿色炉窑确定</w:t>
      </w:r>
    </w:p>
    <w:p w14:paraId="4038CFBD"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根据炉窑的绿色环保高效节能指标特点，选取行业应用普遍、关注度高的炉窑作为绿色炉窑评价对象，并将具有符合绿色特性指标的炉窑归为一类。</w:t>
      </w:r>
    </w:p>
    <w:p w14:paraId="5E865096" w14:textId="77777777" w:rsidR="003439F6" w:rsidRPr="00E7326A" w:rsidRDefault="00617D75">
      <w:pPr>
        <w:pStyle w:val="2"/>
        <w:rPr>
          <w:rFonts w:ascii="黑体" w:hAnsi="黑体"/>
          <w:b w:val="0"/>
        </w:rPr>
      </w:pPr>
      <w:r w:rsidRPr="00E7326A">
        <w:rPr>
          <w:rFonts w:ascii="黑体" w:hAnsi="黑体"/>
          <w:b w:val="0"/>
        </w:rPr>
        <w:lastRenderedPageBreak/>
        <w:t xml:space="preserve">4.2  </w:t>
      </w:r>
      <w:r w:rsidRPr="00E7326A">
        <w:rPr>
          <w:rFonts w:ascii="黑体" w:hAnsi="黑体" w:hint="eastAsia"/>
          <w:b w:val="0"/>
        </w:rPr>
        <w:t>指标选取</w:t>
      </w:r>
    </w:p>
    <w:p w14:paraId="61CE7CE8" w14:textId="77777777" w:rsidR="003439F6" w:rsidRPr="00E7326A" w:rsidRDefault="00617D75">
      <w:pPr>
        <w:pStyle w:val="4"/>
        <w:spacing w:before="50" w:after="50" w:line="360" w:lineRule="auto"/>
        <w:rPr>
          <w:rFonts w:ascii="黑体" w:hAnsi="黑体"/>
          <w:b w:val="0"/>
          <w:sz w:val="21"/>
          <w:szCs w:val="21"/>
        </w:rPr>
      </w:pPr>
      <w:r w:rsidRPr="00E7326A">
        <w:rPr>
          <w:rFonts w:ascii="黑体" w:hAnsi="黑体"/>
          <w:b w:val="0"/>
          <w:sz w:val="21"/>
          <w:szCs w:val="21"/>
        </w:rPr>
        <w:t xml:space="preserve">4.2.1 </w:t>
      </w:r>
      <w:r w:rsidRPr="00E7326A">
        <w:rPr>
          <w:rFonts w:ascii="黑体" w:hAnsi="黑体" w:hint="eastAsia"/>
          <w:b w:val="0"/>
          <w:sz w:val="21"/>
          <w:szCs w:val="21"/>
        </w:rPr>
        <w:t>代表性</w:t>
      </w:r>
    </w:p>
    <w:p w14:paraId="499AB822" w14:textId="77777777" w:rsidR="003439F6" w:rsidRPr="00E7326A" w:rsidRDefault="00617D75">
      <w:pPr>
        <w:spacing w:line="360"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应在国内外与绿色相关的标准比对分析基础上，开展行业及其发展前景的调查分析，选取行业应用普遍、关注度高的绿色特性指标，确保所选取指标具有代表性。</w:t>
      </w:r>
    </w:p>
    <w:p w14:paraId="4F96C0C0" w14:textId="77777777" w:rsidR="003439F6" w:rsidRPr="00E7326A" w:rsidRDefault="00617D75">
      <w:pPr>
        <w:pStyle w:val="4"/>
        <w:spacing w:before="50" w:after="50" w:line="360" w:lineRule="auto"/>
        <w:rPr>
          <w:rFonts w:ascii="黑体" w:hAnsi="黑体"/>
          <w:b w:val="0"/>
          <w:sz w:val="21"/>
          <w:szCs w:val="21"/>
        </w:rPr>
      </w:pPr>
      <w:r w:rsidRPr="00E7326A">
        <w:rPr>
          <w:rFonts w:ascii="黑体" w:hAnsi="黑体"/>
          <w:b w:val="0"/>
          <w:sz w:val="21"/>
          <w:szCs w:val="21"/>
        </w:rPr>
        <w:t xml:space="preserve">4.2.2 </w:t>
      </w:r>
      <w:r w:rsidRPr="00E7326A">
        <w:rPr>
          <w:rFonts w:ascii="黑体" w:hAnsi="黑体" w:hint="eastAsia"/>
          <w:b w:val="0"/>
          <w:sz w:val="21"/>
          <w:szCs w:val="21"/>
        </w:rPr>
        <w:t>适用性</w:t>
      </w:r>
    </w:p>
    <w:p w14:paraId="656D5BC4" w14:textId="77777777" w:rsidR="003439F6" w:rsidRPr="00E7326A" w:rsidRDefault="00617D75">
      <w:pPr>
        <w:spacing w:line="360"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应在确保具备指标检测方法和中国实验室试验能力的基础上，鼓励选用</w:t>
      </w:r>
      <w:r w:rsidRPr="00E7326A">
        <w:rPr>
          <w:rFonts w:ascii="Times New Roman" w:hAnsi="Times New Roman" w:cs="Times New Roman" w:hint="eastAsia"/>
          <w:szCs w:val="21"/>
        </w:rPr>
        <w:t>国际或</w:t>
      </w:r>
      <w:r w:rsidRPr="00E7326A">
        <w:rPr>
          <w:rFonts w:ascii="Times New Roman" w:hAnsi="Times New Roman" w:cs="Times New Roman"/>
          <w:szCs w:val="21"/>
        </w:rPr>
        <w:t>国内相关标准中的指标及先进指标要求。</w:t>
      </w:r>
    </w:p>
    <w:p w14:paraId="2F665C20" w14:textId="77777777" w:rsidR="003439F6" w:rsidRPr="00E7326A" w:rsidRDefault="00617D75">
      <w:pPr>
        <w:pStyle w:val="4"/>
        <w:spacing w:before="50" w:after="50" w:line="360" w:lineRule="auto"/>
        <w:rPr>
          <w:rFonts w:ascii="黑体" w:hAnsi="黑体"/>
          <w:b w:val="0"/>
          <w:sz w:val="21"/>
          <w:szCs w:val="21"/>
        </w:rPr>
      </w:pPr>
      <w:r w:rsidRPr="00E7326A">
        <w:rPr>
          <w:rFonts w:ascii="黑体" w:hAnsi="黑体"/>
          <w:b w:val="0"/>
          <w:sz w:val="21"/>
          <w:szCs w:val="21"/>
        </w:rPr>
        <w:t xml:space="preserve">4.2.3 </w:t>
      </w:r>
      <w:r w:rsidRPr="00E7326A">
        <w:rPr>
          <w:rFonts w:ascii="黑体" w:hAnsi="黑体" w:hint="eastAsia"/>
          <w:b w:val="0"/>
          <w:sz w:val="21"/>
          <w:szCs w:val="21"/>
        </w:rPr>
        <w:t>兼容性</w:t>
      </w:r>
    </w:p>
    <w:p w14:paraId="04E8FD03" w14:textId="77777777" w:rsidR="003439F6" w:rsidRPr="00E7326A" w:rsidRDefault="00617D75">
      <w:pPr>
        <w:spacing w:line="360" w:lineRule="auto"/>
        <w:ind w:firstLineChars="200" w:firstLine="420"/>
        <w:jc w:val="left"/>
        <w:rPr>
          <w:rFonts w:ascii="Times New Roman" w:hAnsi="Times New Roman" w:cs="Times New Roman"/>
          <w:b/>
          <w:bCs/>
          <w:szCs w:val="21"/>
        </w:rPr>
      </w:pPr>
      <w:r w:rsidRPr="00E7326A">
        <w:rPr>
          <w:rFonts w:ascii="Times New Roman" w:hAnsi="Times New Roman" w:cs="Times New Roman"/>
          <w:szCs w:val="21"/>
        </w:rPr>
        <w:t>应在指标相关性分析的基础上，兼顾炉窑能效与绿色性能，合理确定指标基准值。</w:t>
      </w:r>
    </w:p>
    <w:p w14:paraId="793F1735" w14:textId="77777777" w:rsidR="003439F6" w:rsidRPr="00E7326A" w:rsidRDefault="00617D75">
      <w:pPr>
        <w:pStyle w:val="4"/>
        <w:spacing w:before="50" w:after="50" w:line="360" w:lineRule="auto"/>
        <w:rPr>
          <w:rFonts w:ascii="黑体" w:hAnsi="黑体"/>
          <w:b w:val="0"/>
          <w:sz w:val="21"/>
          <w:szCs w:val="21"/>
        </w:rPr>
      </w:pPr>
      <w:r w:rsidRPr="00E7326A">
        <w:rPr>
          <w:rFonts w:ascii="黑体" w:hAnsi="黑体"/>
          <w:b w:val="0"/>
          <w:sz w:val="21"/>
          <w:szCs w:val="21"/>
        </w:rPr>
        <w:t xml:space="preserve">4.2.4 </w:t>
      </w:r>
      <w:r w:rsidRPr="00E7326A">
        <w:rPr>
          <w:rFonts w:ascii="黑体" w:hAnsi="黑体" w:hint="eastAsia"/>
          <w:b w:val="0"/>
          <w:sz w:val="21"/>
          <w:szCs w:val="21"/>
        </w:rPr>
        <w:t>引领性</w:t>
      </w:r>
    </w:p>
    <w:p w14:paraId="046A3229" w14:textId="77777777" w:rsidR="003439F6" w:rsidRPr="00E7326A" w:rsidRDefault="00617D75">
      <w:pPr>
        <w:spacing w:line="360" w:lineRule="auto"/>
        <w:ind w:firstLine="420"/>
        <w:jc w:val="left"/>
        <w:rPr>
          <w:rFonts w:asciiTheme="minorEastAsia" w:hAnsiTheme="minorEastAsia" w:cs="Times New Roman"/>
          <w:szCs w:val="21"/>
        </w:rPr>
      </w:pPr>
      <w:r w:rsidRPr="00E7326A">
        <w:rPr>
          <w:rFonts w:asciiTheme="minorEastAsia" w:hAnsiTheme="minorEastAsia" w:cs="Times New Roman" w:hint="eastAsia"/>
          <w:szCs w:val="21"/>
        </w:rPr>
        <w:t>符合绿色炉窑评价要求的先进炉窑比例不超过同类可比炉窑的20</w:t>
      </w:r>
      <w:r w:rsidRPr="00E7326A">
        <w:rPr>
          <w:rFonts w:asciiTheme="minorEastAsia" w:hAnsiTheme="minorEastAsia" w:cs="Times New Roman"/>
          <w:szCs w:val="21"/>
        </w:rPr>
        <w:t>%</w:t>
      </w:r>
      <w:r w:rsidRPr="00E7326A">
        <w:rPr>
          <w:rFonts w:asciiTheme="minorEastAsia" w:hAnsiTheme="minorEastAsia" w:cs="Times New Roman" w:hint="eastAsia"/>
          <w:szCs w:val="21"/>
        </w:rPr>
        <w:t>。</w:t>
      </w:r>
    </w:p>
    <w:p w14:paraId="79130391" w14:textId="77777777" w:rsidR="003439F6" w:rsidRPr="00E7326A" w:rsidRDefault="00617D75">
      <w:pPr>
        <w:spacing w:line="360" w:lineRule="auto"/>
        <w:outlineLvl w:val="0"/>
        <w:rPr>
          <w:rFonts w:ascii="黑体" w:eastAsia="黑体" w:hAnsi="黑体" w:cs="Times New Roman"/>
        </w:rPr>
      </w:pPr>
      <w:bookmarkStart w:id="4" w:name="_Toc491581451"/>
      <w:bookmarkStart w:id="5" w:name="_Toc497209981"/>
      <w:bookmarkStart w:id="6" w:name="_Toc482371798"/>
      <w:r w:rsidRPr="00E7326A">
        <w:rPr>
          <w:rFonts w:ascii="黑体" w:eastAsia="黑体" w:hAnsi="黑体" w:cs="Times New Roman"/>
        </w:rPr>
        <w:t>4.</w:t>
      </w:r>
      <w:bookmarkStart w:id="7" w:name="_Hlk520100102"/>
      <w:r w:rsidRPr="00E7326A">
        <w:rPr>
          <w:rFonts w:ascii="黑体" w:eastAsia="黑体" w:hAnsi="黑体" w:cs="Times New Roman"/>
        </w:rPr>
        <w:t>2.5</w:t>
      </w:r>
      <w:r w:rsidRPr="00E7326A">
        <w:rPr>
          <w:rFonts w:ascii="黑体" w:eastAsia="黑体" w:hAnsi="黑体" w:cs="Times New Roman" w:hint="eastAsia"/>
        </w:rPr>
        <w:t xml:space="preserve"> </w:t>
      </w:r>
      <w:bookmarkEnd w:id="4"/>
      <w:bookmarkEnd w:id="5"/>
      <w:bookmarkEnd w:id="6"/>
      <w:r w:rsidRPr="00E7326A">
        <w:rPr>
          <w:rFonts w:ascii="黑体" w:eastAsia="黑体" w:hAnsi="黑体" w:cs="Times New Roman" w:hint="eastAsia"/>
        </w:rPr>
        <w:t>科学性</w:t>
      </w:r>
    </w:p>
    <w:p w14:paraId="697CC61D" w14:textId="77777777" w:rsidR="003439F6" w:rsidRPr="00E7326A" w:rsidRDefault="00617D75">
      <w:pPr>
        <w:pStyle w:val="30"/>
        <w:ind w:firstLine="420"/>
        <w:rPr>
          <w:rFonts w:ascii="Times New Roman"/>
          <w:sz w:val="21"/>
          <w:szCs w:val="21"/>
        </w:rPr>
      </w:pPr>
      <w:r w:rsidRPr="00E7326A">
        <w:rPr>
          <w:rFonts w:ascii="Times New Roman"/>
          <w:sz w:val="21"/>
          <w:szCs w:val="21"/>
        </w:rPr>
        <w:t>定量评价指标选取有代表性的、能反映</w:t>
      </w:r>
      <w:r w:rsidRPr="00E7326A">
        <w:rPr>
          <w:rFonts w:ascii="Times New Roman"/>
          <w:sz w:val="21"/>
          <w:szCs w:val="21"/>
        </w:rPr>
        <w:t>“</w:t>
      </w:r>
      <w:r w:rsidRPr="00E7326A">
        <w:rPr>
          <w:rFonts w:ascii="Times New Roman"/>
          <w:sz w:val="21"/>
          <w:szCs w:val="21"/>
        </w:rPr>
        <w:t>节能</w:t>
      </w:r>
      <w:r w:rsidRPr="00E7326A">
        <w:rPr>
          <w:rFonts w:ascii="Times New Roman"/>
          <w:sz w:val="21"/>
          <w:szCs w:val="21"/>
        </w:rPr>
        <w:t>”</w:t>
      </w:r>
      <w:r w:rsidRPr="00E7326A">
        <w:rPr>
          <w:rFonts w:ascii="Times New Roman"/>
          <w:sz w:val="21"/>
          <w:szCs w:val="21"/>
        </w:rPr>
        <w:t>、</w:t>
      </w:r>
      <w:r w:rsidRPr="00E7326A">
        <w:rPr>
          <w:rFonts w:ascii="Times New Roman"/>
          <w:sz w:val="21"/>
          <w:szCs w:val="21"/>
        </w:rPr>
        <w:t>“</w:t>
      </w:r>
      <w:r w:rsidRPr="00E7326A">
        <w:rPr>
          <w:rFonts w:ascii="Times New Roman"/>
          <w:sz w:val="21"/>
          <w:szCs w:val="21"/>
        </w:rPr>
        <w:t>降耗</w:t>
      </w:r>
      <w:r w:rsidRPr="00E7326A">
        <w:rPr>
          <w:rFonts w:ascii="Times New Roman"/>
          <w:sz w:val="21"/>
          <w:szCs w:val="21"/>
        </w:rPr>
        <w:t>”</w:t>
      </w:r>
      <w:r w:rsidRPr="00E7326A">
        <w:rPr>
          <w:rFonts w:ascii="Times New Roman"/>
          <w:sz w:val="21"/>
          <w:szCs w:val="21"/>
        </w:rPr>
        <w:t>、</w:t>
      </w:r>
      <w:r w:rsidRPr="00E7326A">
        <w:rPr>
          <w:rFonts w:ascii="Times New Roman"/>
          <w:sz w:val="21"/>
          <w:szCs w:val="21"/>
        </w:rPr>
        <w:t>“</w:t>
      </w:r>
      <w:r w:rsidRPr="00E7326A">
        <w:rPr>
          <w:rFonts w:ascii="Times New Roman"/>
          <w:sz w:val="21"/>
          <w:szCs w:val="21"/>
        </w:rPr>
        <w:t>减污</w:t>
      </w:r>
      <w:r w:rsidRPr="00E7326A">
        <w:rPr>
          <w:rFonts w:ascii="Times New Roman"/>
          <w:sz w:val="21"/>
          <w:szCs w:val="21"/>
        </w:rPr>
        <w:t>”</w:t>
      </w:r>
      <w:r w:rsidRPr="00E7326A">
        <w:rPr>
          <w:rFonts w:ascii="Times New Roman"/>
          <w:sz w:val="21"/>
          <w:szCs w:val="21"/>
        </w:rPr>
        <w:t>和</w:t>
      </w:r>
      <w:r w:rsidRPr="00E7326A">
        <w:rPr>
          <w:rFonts w:ascii="Times New Roman"/>
          <w:sz w:val="21"/>
          <w:szCs w:val="21"/>
        </w:rPr>
        <w:t>“</w:t>
      </w:r>
      <w:r w:rsidRPr="00E7326A">
        <w:rPr>
          <w:rFonts w:ascii="Times New Roman"/>
          <w:sz w:val="21"/>
          <w:szCs w:val="21"/>
        </w:rPr>
        <w:t>增效</w:t>
      </w:r>
      <w:r w:rsidRPr="00E7326A">
        <w:rPr>
          <w:rFonts w:ascii="Times New Roman"/>
          <w:sz w:val="21"/>
          <w:szCs w:val="21"/>
        </w:rPr>
        <w:t>”</w:t>
      </w:r>
      <w:r w:rsidRPr="00E7326A">
        <w:rPr>
          <w:rFonts w:ascii="Times New Roman"/>
          <w:sz w:val="21"/>
          <w:szCs w:val="21"/>
        </w:rPr>
        <w:t>等有关的绿色指标。定性评价指标主要根据国家有关推行绿色炉窑的产业发展和技术进步政策、资源环境保护政策规定以及行业发展规划选取</w:t>
      </w:r>
      <w:bookmarkEnd w:id="7"/>
      <w:r w:rsidRPr="00E7326A">
        <w:rPr>
          <w:rFonts w:ascii="Times New Roman"/>
          <w:sz w:val="21"/>
          <w:szCs w:val="21"/>
        </w:rPr>
        <w:t>。</w:t>
      </w:r>
    </w:p>
    <w:p w14:paraId="72C92ADD" w14:textId="77777777" w:rsidR="003439F6" w:rsidRPr="00E7326A" w:rsidRDefault="00617D75">
      <w:pPr>
        <w:pStyle w:val="2"/>
        <w:spacing w:beforeLines="100" w:before="312" w:afterLines="100" w:after="312" w:line="360" w:lineRule="auto"/>
        <w:rPr>
          <w:rFonts w:ascii="黑体" w:hAnsi="黑体"/>
          <w:b w:val="0"/>
          <w:szCs w:val="21"/>
        </w:rPr>
      </w:pPr>
      <w:r w:rsidRPr="00E7326A">
        <w:rPr>
          <w:rFonts w:ascii="黑体" w:hAnsi="黑体"/>
          <w:b w:val="0"/>
          <w:szCs w:val="21"/>
        </w:rPr>
        <w:t xml:space="preserve">5 </w:t>
      </w:r>
      <w:r w:rsidRPr="00E7326A">
        <w:rPr>
          <w:rFonts w:ascii="黑体" w:hAnsi="黑体" w:hint="eastAsia"/>
          <w:b w:val="0"/>
          <w:szCs w:val="21"/>
        </w:rPr>
        <w:t xml:space="preserve"> 评价指标</w:t>
      </w:r>
    </w:p>
    <w:p w14:paraId="2A7E4271" w14:textId="77777777" w:rsidR="003439F6" w:rsidRPr="00E7326A" w:rsidRDefault="00617D75">
      <w:pPr>
        <w:pStyle w:val="3"/>
        <w:spacing w:beforeLines="50" w:before="156" w:afterLines="50" w:after="156" w:line="360" w:lineRule="auto"/>
        <w:rPr>
          <w:rFonts w:ascii="黑体" w:hAnsi="黑体"/>
          <w:b/>
          <w:szCs w:val="21"/>
        </w:rPr>
      </w:pPr>
      <w:r w:rsidRPr="00E7326A">
        <w:rPr>
          <w:rFonts w:ascii="黑体" w:hAnsi="黑体"/>
          <w:szCs w:val="21"/>
        </w:rPr>
        <w:t xml:space="preserve">5.1 </w:t>
      </w:r>
      <w:r w:rsidRPr="00E7326A">
        <w:rPr>
          <w:rFonts w:ascii="黑体" w:hAnsi="黑体" w:hint="eastAsia"/>
          <w:szCs w:val="21"/>
        </w:rPr>
        <w:t xml:space="preserve"> 指标体系框架</w:t>
      </w:r>
    </w:p>
    <w:p w14:paraId="48C7C117" w14:textId="77777777" w:rsidR="003439F6" w:rsidRPr="00E7326A" w:rsidRDefault="00617D75">
      <w:pPr>
        <w:spacing w:line="360"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评价指标体系包括</w:t>
      </w:r>
      <w:r w:rsidRPr="00E7326A">
        <w:rPr>
          <w:rFonts w:ascii="Times New Roman" w:hAnsi="Times New Roman" w:cs="Times New Roman"/>
          <w:b/>
          <w:szCs w:val="21"/>
        </w:rPr>
        <w:t>基本要求</w:t>
      </w:r>
      <w:r w:rsidRPr="00E7326A">
        <w:rPr>
          <w:rFonts w:ascii="Times New Roman" w:hAnsi="Times New Roman" w:cs="Times New Roman"/>
          <w:szCs w:val="21"/>
        </w:rPr>
        <w:t>和</w:t>
      </w:r>
      <w:r w:rsidRPr="00E7326A">
        <w:rPr>
          <w:rFonts w:ascii="Times New Roman" w:hAnsi="Times New Roman" w:cs="Times New Roman"/>
          <w:b/>
          <w:szCs w:val="21"/>
        </w:rPr>
        <w:t>评价指标</w:t>
      </w:r>
      <w:r w:rsidRPr="00E7326A">
        <w:rPr>
          <w:rFonts w:ascii="Times New Roman" w:hAnsi="Times New Roman" w:cs="Times New Roman"/>
          <w:szCs w:val="21"/>
        </w:rPr>
        <w:t>要求两部分。</w:t>
      </w:r>
    </w:p>
    <w:p w14:paraId="3247799B" w14:textId="77777777" w:rsidR="003439F6" w:rsidRPr="00E7326A" w:rsidRDefault="00617D75">
      <w:pPr>
        <w:spacing w:line="360" w:lineRule="auto"/>
        <w:jc w:val="left"/>
        <w:rPr>
          <w:rFonts w:ascii="Times New Roman" w:hAnsi="Times New Roman" w:cs="Times New Roman"/>
          <w:szCs w:val="21"/>
        </w:rPr>
      </w:pPr>
      <w:r w:rsidRPr="00E7326A">
        <w:rPr>
          <w:rFonts w:ascii="Times New Roman" w:hAnsi="Times New Roman" w:cs="Times New Roman" w:hint="eastAsia"/>
          <w:szCs w:val="21"/>
        </w:rPr>
        <w:t xml:space="preserve">5.1.1 </w:t>
      </w:r>
      <w:r w:rsidRPr="00E7326A">
        <w:rPr>
          <w:rFonts w:ascii="Times New Roman" w:hAnsi="Times New Roman" w:cs="Times New Roman"/>
          <w:szCs w:val="21"/>
        </w:rPr>
        <w:t>基本要求宜包括应满足的节能环保法律法规、工艺技术、管理体系及相关标准等方面的要求。</w:t>
      </w:r>
      <w:r w:rsidRPr="00E7326A">
        <w:rPr>
          <w:rFonts w:ascii="Times New Roman" w:hAnsi="Times New Roman" w:cs="Times New Roman" w:hint="eastAsia"/>
          <w:szCs w:val="21"/>
        </w:rPr>
        <w:t>评价总体结构可参考</w:t>
      </w:r>
      <w:r w:rsidRPr="00E7326A">
        <w:rPr>
          <w:rFonts w:ascii="Times New Roman" w:hAnsi="Times New Roman" w:cs="Times New Roman"/>
          <w:szCs w:val="21"/>
        </w:rPr>
        <w:t>GB/T 33761-2017</w:t>
      </w:r>
      <w:r w:rsidRPr="00E7326A">
        <w:rPr>
          <w:rFonts w:ascii="Times New Roman" w:hAnsi="Times New Roman" w:cs="Times New Roman" w:hint="eastAsia"/>
          <w:szCs w:val="21"/>
        </w:rPr>
        <w:t>、</w:t>
      </w:r>
      <w:r w:rsidRPr="00E7326A">
        <w:rPr>
          <w:rFonts w:ascii="Times New Roman" w:hAnsi="Times New Roman" w:cs="Times New Roman"/>
          <w:szCs w:val="21"/>
        </w:rPr>
        <w:t>GB/T 36132-2018</w:t>
      </w:r>
      <w:r w:rsidRPr="00E7326A">
        <w:rPr>
          <w:rFonts w:ascii="Times New Roman" w:hAnsi="Times New Roman" w:cs="Times New Roman" w:hint="eastAsia"/>
          <w:szCs w:val="21"/>
        </w:rPr>
        <w:t>提出的相关评价指标体系和通则要求。</w:t>
      </w:r>
    </w:p>
    <w:p w14:paraId="7B10F883" w14:textId="77777777" w:rsidR="003439F6" w:rsidRPr="00E7326A" w:rsidRDefault="00617D75">
      <w:pPr>
        <w:spacing w:line="360" w:lineRule="auto"/>
        <w:jc w:val="left"/>
        <w:rPr>
          <w:rFonts w:asciiTheme="minorEastAsia" w:hAnsiTheme="minorEastAsia" w:cs="Times New Roman"/>
          <w:szCs w:val="21"/>
        </w:rPr>
      </w:pPr>
      <w:r w:rsidRPr="00E7326A">
        <w:rPr>
          <w:rFonts w:ascii="Times New Roman" w:hAnsi="Times New Roman" w:cs="Times New Roman" w:hint="eastAsia"/>
          <w:szCs w:val="21"/>
        </w:rPr>
        <w:t xml:space="preserve">5.1.2 </w:t>
      </w:r>
      <w:r w:rsidRPr="00E7326A">
        <w:rPr>
          <w:rFonts w:asciiTheme="minorEastAsia" w:hAnsiTheme="minorEastAsia" w:cs="Times New Roman" w:hint="eastAsia"/>
          <w:szCs w:val="21"/>
        </w:rPr>
        <w:t>评价指标宜包括资源属性指标、能源属性指标、环境属性指标和品质属性指标等四类一级指标，在一级指标下设置可量化、可试验、可验证的二级指标。不同类别产品的一级指标可依据炉窑特点、对环境影响程度、现有标准实施情况等因素选取，具体绿色炉窑评价标准的内容框架见附录A。</w:t>
      </w:r>
    </w:p>
    <w:p w14:paraId="551AA530" w14:textId="77777777" w:rsidR="003439F6" w:rsidRPr="00E7326A" w:rsidRDefault="00617D75">
      <w:pPr>
        <w:spacing w:line="360" w:lineRule="auto"/>
        <w:jc w:val="left"/>
        <w:rPr>
          <w:rFonts w:ascii="Times New Roman" w:hAnsi="Times New Roman" w:cs="Times New Roman"/>
          <w:szCs w:val="21"/>
        </w:rPr>
      </w:pPr>
      <w:r w:rsidRPr="00E7326A">
        <w:rPr>
          <w:rFonts w:ascii="Times New Roman" w:hAnsi="Times New Roman" w:cs="Times New Roman"/>
          <w:szCs w:val="21"/>
        </w:rPr>
        <w:t xml:space="preserve">5.1.3 </w:t>
      </w:r>
      <w:r w:rsidRPr="00E7326A">
        <w:rPr>
          <w:rFonts w:ascii="Times New Roman" w:eastAsia="宋体" w:hAnsi="Times New Roman" w:cs="Times New Roman"/>
          <w:szCs w:val="21"/>
        </w:rPr>
        <w:t>评价总体结构包括：基本要求、资源属性指标、能源属性指标、环境属性指标与品质属性指标等</w:t>
      </w:r>
      <w:r w:rsidRPr="00E7326A">
        <w:rPr>
          <w:rFonts w:ascii="Times New Roman" w:eastAsia="宋体" w:hAnsi="Times New Roman" w:cs="Times New Roman"/>
          <w:szCs w:val="21"/>
        </w:rPr>
        <w:t>5</w:t>
      </w:r>
      <w:r w:rsidRPr="00E7326A">
        <w:rPr>
          <w:rFonts w:ascii="Times New Roman" w:eastAsia="宋体" w:hAnsi="Times New Roman" w:cs="Times New Roman"/>
          <w:szCs w:val="21"/>
        </w:rPr>
        <w:t>个一级指标。</w:t>
      </w:r>
    </w:p>
    <w:p w14:paraId="7A3FF5FB" w14:textId="77777777" w:rsidR="003439F6" w:rsidRPr="00E7326A" w:rsidRDefault="00617D75">
      <w:pPr>
        <w:pStyle w:val="2"/>
        <w:rPr>
          <w:rFonts w:ascii="黑体" w:hAnsi="黑体"/>
          <w:b w:val="0"/>
        </w:rPr>
      </w:pPr>
      <w:r w:rsidRPr="00E7326A">
        <w:rPr>
          <w:rFonts w:ascii="黑体" w:hAnsi="黑体"/>
          <w:b w:val="0"/>
        </w:rPr>
        <w:lastRenderedPageBreak/>
        <w:t xml:space="preserve">5.2 </w:t>
      </w:r>
      <w:r w:rsidRPr="00E7326A">
        <w:rPr>
          <w:rFonts w:ascii="黑体" w:hAnsi="黑体" w:hint="eastAsia"/>
          <w:b w:val="0"/>
        </w:rPr>
        <w:t xml:space="preserve"> 基本要求</w:t>
      </w:r>
    </w:p>
    <w:p w14:paraId="02CC8C55" w14:textId="77777777" w:rsidR="003439F6" w:rsidRPr="00E7326A" w:rsidRDefault="00617D75">
      <w:pPr>
        <w:spacing w:line="360"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炉窑应满足下列要求，包括但不限于：</w:t>
      </w:r>
    </w:p>
    <w:p w14:paraId="7C304CF3" w14:textId="77777777" w:rsidR="003439F6" w:rsidRPr="00E7326A" w:rsidRDefault="00617D75">
      <w:pPr>
        <w:pStyle w:val="ae"/>
        <w:numPr>
          <w:ilvl w:val="0"/>
          <w:numId w:val="3"/>
        </w:numPr>
        <w:spacing w:line="360" w:lineRule="auto"/>
        <w:ind w:firstLineChars="0"/>
        <w:jc w:val="left"/>
        <w:rPr>
          <w:rFonts w:ascii="Times New Roman" w:hAnsi="Times New Roman" w:cs="Times New Roman"/>
          <w:szCs w:val="21"/>
        </w:rPr>
      </w:pPr>
      <w:r w:rsidRPr="00E7326A">
        <w:rPr>
          <w:rFonts w:ascii="Times New Roman" w:hAnsi="Times New Roman" w:cs="Times New Roman"/>
          <w:szCs w:val="21"/>
        </w:rPr>
        <w:t>炉窑的</w:t>
      </w:r>
      <w:r w:rsidRPr="00E7326A">
        <w:rPr>
          <w:rFonts w:ascii="Times New Roman" w:hAnsi="Times New Roman" w:cs="Times New Roman" w:hint="eastAsia"/>
          <w:szCs w:val="21"/>
        </w:rPr>
        <w:t>质量、产量、能耗、自控</w:t>
      </w:r>
      <w:r w:rsidRPr="00E7326A">
        <w:rPr>
          <w:rFonts w:ascii="Times New Roman" w:hAnsi="Times New Roman" w:cs="Times New Roman"/>
          <w:szCs w:val="21"/>
        </w:rPr>
        <w:t>水平应满足相关生产标准</w:t>
      </w:r>
      <w:r w:rsidRPr="00E7326A">
        <w:rPr>
          <w:rFonts w:ascii="Times New Roman" w:hAnsi="Times New Roman" w:cs="Times New Roman" w:hint="eastAsia"/>
          <w:szCs w:val="21"/>
        </w:rPr>
        <w:t>的基本</w:t>
      </w:r>
      <w:r w:rsidRPr="00E7326A">
        <w:rPr>
          <w:rFonts w:ascii="Times New Roman" w:hAnsi="Times New Roman" w:cs="Times New Roman"/>
          <w:szCs w:val="21"/>
        </w:rPr>
        <w:t>要求</w:t>
      </w:r>
      <w:r w:rsidRPr="00E7326A">
        <w:rPr>
          <w:rFonts w:ascii="Times New Roman" w:hAnsi="Times New Roman" w:cs="Times New Roman" w:hint="eastAsia"/>
          <w:szCs w:val="21"/>
        </w:rPr>
        <w:t>；</w:t>
      </w:r>
    </w:p>
    <w:p w14:paraId="64050FB2" w14:textId="77777777" w:rsidR="003439F6" w:rsidRPr="00E7326A" w:rsidRDefault="00617D75">
      <w:pPr>
        <w:pStyle w:val="ae"/>
        <w:numPr>
          <w:ilvl w:val="0"/>
          <w:numId w:val="3"/>
        </w:numPr>
        <w:spacing w:line="360" w:lineRule="auto"/>
        <w:ind w:firstLineChars="0"/>
        <w:jc w:val="left"/>
        <w:rPr>
          <w:rFonts w:ascii="Times New Roman" w:hAnsi="Times New Roman" w:cs="Times New Roman"/>
          <w:szCs w:val="21"/>
        </w:rPr>
      </w:pPr>
      <w:r w:rsidRPr="00E7326A">
        <w:rPr>
          <w:rFonts w:ascii="Times New Roman" w:hAnsi="Times New Roman" w:cs="Times New Roman"/>
          <w:szCs w:val="21"/>
        </w:rPr>
        <w:t>炉窑的污染物排放状况</w:t>
      </w:r>
      <w:r w:rsidRPr="00E7326A">
        <w:rPr>
          <w:rFonts w:ascii="Times New Roman" w:hAnsi="Times New Roman" w:cs="Times New Roman" w:hint="eastAsia"/>
          <w:szCs w:val="21"/>
        </w:rPr>
        <w:t>及排放总量</w:t>
      </w:r>
      <w:r w:rsidRPr="00E7326A">
        <w:rPr>
          <w:rFonts w:ascii="Times New Roman" w:hAnsi="Times New Roman" w:cs="Times New Roman"/>
          <w:szCs w:val="21"/>
        </w:rPr>
        <w:t>，应要求符合相关环境保护法律法规</w:t>
      </w:r>
      <w:r w:rsidRPr="00E7326A">
        <w:rPr>
          <w:rFonts w:ascii="Times New Roman" w:hAnsi="Times New Roman" w:cs="Times New Roman" w:hint="eastAsia"/>
          <w:szCs w:val="21"/>
        </w:rPr>
        <w:t>；</w:t>
      </w:r>
    </w:p>
    <w:p w14:paraId="31381587" w14:textId="77777777" w:rsidR="003439F6" w:rsidRPr="00E7326A" w:rsidRDefault="00617D75">
      <w:pPr>
        <w:pStyle w:val="ae"/>
        <w:numPr>
          <w:ilvl w:val="0"/>
          <w:numId w:val="3"/>
        </w:numPr>
        <w:spacing w:line="360" w:lineRule="auto"/>
        <w:ind w:firstLineChars="0"/>
        <w:jc w:val="left"/>
        <w:rPr>
          <w:rFonts w:ascii="Times New Roman" w:hAnsi="Times New Roman" w:cs="Times New Roman"/>
          <w:szCs w:val="21"/>
        </w:rPr>
      </w:pPr>
      <w:r w:rsidRPr="00E7326A">
        <w:rPr>
          <w:rFonts w:ascii="Times New Roman" w:hAnsi="Times New Roman" w:cs="Times New Roman"/>
          <w:szCs w:val="21"/>
        </w:rPr>
        <w:t>近三年（含成立不足三年）无较大安全、环保、质量等事故</w:t>
      </w:r>
      <w:r w:rsidRPr="00E7326A">
        <w:rPr>
          <w:rFonts w:ascii="Times New Roman" w:hAnsi="Times New Roman" w:cs="Times New Roman" w:hint="eastAsia"/>
          <w:szCs w:val="21"/>
        </w:rPr>
        <w:t>；</w:t>
      </w:r>
    </w:p>
    <w:p w14:paraId="4F9EAB2B" w14:textId="77777777" w:rsidR="003439F6" w:rsidRPr="00E7326A" w:rsidRDefault="00617D75">
      <w:pPr>
        <w:pStyle w:val="ae"/>
        <w:numPr>
          <w:ilvl w:val="0"/>
          <w:numId w:val="3"/>
        </w:numPr>
        <w:spacing w:line="360" w:lineRule="auto"/>
        <w:ind w:firstLineChars="0"/>
        <w:jc w:val="left"/>
        <w:rPr>
          <w:rFonts w:ascii="Times New Roman" w:eastAsia="宋体" w:hAnsi="Times New Roman" w:cs="Times New Roman"/>
          <w:szCs w:val="21"/>
        </w:rPr>
      </w:pPr>
      <w:r w:rsidRPr="00E7326A">
        <w:rPr>
          <w:rFonts w:ascii="Times New Roman" w:hAnsi="Times New Roman" w:cs="Times New Roman" w:hint="eastAsia"/>
          <w:szCs w:val="21"/>
        </w:rPr>
        <w:t>炉窑的管理，应要求按照</w:t>
      </w:r>
      <w:r w:rsidRPr="00E7326A">
        <w:rPr>
          <w:rFonts w:ascii="Times New Roman" w:eastAsia="宋体" w:hAnsi="Times New Roman" w:cs="Times New Roman"/>
          <w:szCs w:val="21"/>
        </w:rPr>
        <w:t>GB/T 19001</w:t>
      </w:r>
      <w:r w:rsidRPr="00E7326A">
        <w:rPr>
          <w:rFonts w:ascii="Times New Roman" w:eastAsia="宋体" w:hAnsi="Times New Roman" w:cs="Times New Roman" w:hint="eastAsia"/>
          <w:szCs w:val="21"/>
        </w:rPr>
        <w:t>、</w:t>
      </w:r>
      <w:r w:rsidRPr="00E7326A">
        <w:rPr>
          <w:rFonts w:ascii="Times New Roman" w:eastAsia="宋体" w:hAnsi="Times New Roman" w:cs="Times New Roman"/>
          <w:szCs w:val="21"/>
        </w:rPr>
        <w:t>GB/T</w:t>
      </w:r>
      <w:r w:rsidRPr="00E7326A">
        <w:rPr>
          <w:rFonts w:ascii="Times New Roman" w:eastAsia="宋体" w:hAnsi="Times New Roman" w:cs="Times New Roman" w:hint="eastAsia"/>
          <w:szCs w:val="21"/>
        </w:rPr>
        <w:t xml:space="preserve"> </w:t>
      </w:r>
      <w:r w:rsidRPr="00E7326A">
        <w:rPr>
          <w:rFonts w:ascii="Times New Roman" w:eastAsia="宋体" w:hAnsi="Times New Roman" w:cs="Times New Roman"/>
          <w:szCs w:val="21"/>
        </w:rPr>
        <w:t>23331</w:t>
      </w:r>
      <w:r w:rsidRPr="00E7326A">
        <w:rPr>
          <w:rFonts w:ascii="Times New Roman" w:eastAsia="宋体" w:hAnsi="Times New Roman" w:cs="Times New Roman" w:hint="eastAsia"/>
          <w:szCs w:val="21"/>
        </w:rPr>
        <w:t>和</w:t>
      </w:r>
      <w:r w:rsidRPr="00E7326A">
        <w:rPr>
          <w:rFonts w:ascii="Times New Roman" w:eastAsia="宋体" w:hAnsi="Times New Roman" w:cs="Times New Roman"/>
          <w:szCs w:val="21"/>
        </w:rPr>
        <w:t>GB/T</w:t>
      </w:r>
      <w:r w:rsidRPr="00E7326A">
        <w:rPr>
          <w:rFonts w:ascii="Times New Roman" w:eastAsia="宋体" w:hAnsi="Times New Roman" w:cs="Times New Roman" w:hint="eastAsia"/>
          <w:szCs w:val="21"/>
        </w:rPr>
        <w:t xml:space="preserve"> </w:t>
      </w:r>
      <w:r w:rsidRPr="00E7326A">
        <w:rPr>
          <w:rFonts w:ascii="Times New Roman" w:eastAsia="宋体" w:hAnsi="Times New Roman" w:cs="Times New Roman"/>
          <w:szCs w:val="21"/>
        </w:rPr>
        <w:t>24001</w:t>
      </w:r>
      <w:r w:rsidRPr="00E7326A">
        <w:rPr>
          <w:rFonts w:ascii="Times New Roman" w:eastAsia="宋体" w:hAnsi="Times New Roman" w:cs="Times New Roman" w:hint="eastAsia"/>
          <w:szCs w:val="21"/>
        </w:rPr>
        <w:t>分别建立并运行质量管理体系、能源管理体系和环境管理体系。</w:t>
      </w:r>
    </w:p>
    <w:p w14:paraId="15196345" w14:textId="77777777" w:rsidR="003439F6" w:rsidRPr="00E7326A" w:rsidRDefault="00617D75">
      <w:pPr>
        <w:pStyle w:val="2"/>
        <w:rPr>
          <w:rFonts w:ascii="黑体" w:hAnsi="黑体"/>
          <w:b w:val="0"/>
        </w:rPr>
      </w:pPr>
      <w:r w:rsidRPr="00E7326A">
        <w:rPr>
          <w:rFonts w:ascii="黑体" w:hAnsi="黑体"/>
          <w:b w:val="0"/>
        </w:rPr>
        <w:t xml:space="preserve">5.3 </w:t>
      </w:r>
      <w:r w:rsidRPr="00E7326A">
        <w:rPr>
          <w:rFonts w:ascii="黑体" w:hAnsi="黑体" w:hint="eastAsia"/>
          <w:b w:val="0"/>
        </w:rPr>
        <w:t xml:space="preserve"> 评价指标要求</w:t>
      </w:r>
    </w:p>
    <w:p w14:paraId="0A020EF5" w14:textId="77777777" w:rsidR="003439F6" w:rsidRPr="00E7326A" w:rsidRDefault="00617D75">
      <w:pPr>
        <w:pStyle w:val="3"/>
        <w:rPr>
          <w:rFonts w:ascii="黑体" w:hAnsi="黑体"/>
        </w:rPr>
      </w:pPr>
      <w:r w:rsidRPr="00E7326A">
        <w:rPr>
          <w:rFonts w:ascii="黑体" w:hAnsi="黑体"/>
        </w:rPr>
        <w:t xml:space="preserve">5.3.1 </w:t>
      </w:r>
      <w:r w:rsidRPr="00E7326A">
        <w:rPr>
          <w:rFonts w:ascii="黑体" w:hAnsi="黑体" w:hint="eastAsia"/>
        </w:rPr>
        <w:t xml:space="preserve"> 资源属性指标</w:t>
      </w:r>
    </w:p>
    <w:p w14:paraId="0C048C06" w14:textId="77777777" w:rsidR="003439F6" w:rsidRPr="00E7326A" w:rsidRDefault="00617D75">
      <w:pPr>
        <w:spacing w:line="360" w:lineRule="auto"/>
        <w:ind w:firstLine="420"/>
        <w:jc w:val="left"/>
        <w:rPr>
          <w:rFonts w:ascii="宋体" w:eastAsia="宋体" w:hAnsi="宋体" w:cs="Times New Roman"/>
          <w:szCs w:val="21"/>
        </w:rPr>
      </w:pPr>
      <w:r w:rsidRPr="00E7326A">
        <w:rPr>
          <w:rFonts w:ascii="宋体" w:eastAsia="宋体" w:hAnsi="宋体" w:cs="Times New Roman" w:hint="eastAsia"/>
          <w:szCs w:val="21"/>
        </w:rPr>
        <w:t>资源属性重点是生产过程中炉窑资源消耗等方面的指标，提倡节约资源：</w:t>
      </w:r>
    </w:p>
    <w:p w14:paraId="257C6C71" w14:textId="77777777" w:rsidR="003439F6" w:rsidRPr="00E7326A" w:rsidRDefault="00617D75">
      <w:pPr>
        <w:pStyle w:val="30"/>
        <w:ind w:firstLine="420"/>
        <w:rPr>
          <w:rFonts w:hAnsi="宋体"/>
          <w:sz w:val="21"/>
          <w:szCs w:val="21"/>
        </w:rPr>
      </w:pPr>
      <w:r w:rsidRPr="00E7326A">
        <w:rPr>
          <w:rFonts w:hAnsi="宋体" w:hint="eastAsia"/>
          <w:sz w:val="21"/>
          <w:szCs w:val="21"/>
        </w:rPr>
        <w:t>a）炉窑宜综合考虑生产成本、原燃料条件下，减少原材料的使用，提倡循环利用；</w:t>
      </w:r>
    </w:p>
    <w:p w14:paraId="3158EF9D" w14:textId="77777777" w:rsidR="003439F6" w:rsidRPr="00E7326A" w:rsidRDefault="00617D75">
      <w:pPr>
        <w:pStyle w:val="30"/>
        <w:ind w:firstLine="420"/>
        <w:rPr>
          <w:rFonts w:hAnsi="宋体"/>
          <w:sz w:val="21"/>
          <w:szCs w:val="21"/>
        </w:rPr>
      </w:pPr>
      <w:r w:rsidRPr="00E7326A">
        <w:rPr>
          <w:rFonts w:hAnsi="宋体" w:hint="eastAsia"/>
          <w:sz w:val="21"/>
          <w:szCs w:val="21"/>
        </w:rPr>
        <w:t>b）炉窑宜回收利用钢渣、尘泥、废水、废气等固废资源，替代原燃料使用；</w:t>
      </w:r>
    </w:p>
    <w:p w14:paraId="3BED153B" w14:textId="77777777" w:rsidR="003439F6" w:rsidRPr="00E7326A" w:rsidRDefault="00617D75">
      <w:pPr>
        <w:pStyle w:val="30"/>
        <w:ind w:firstLine="420"/>
        <w:rPr>
          <w:rFonts w:hAnsi="宋体"/>
          <w:sz w:val="21"/>
          <w:szCs w:val="21"/>
        </w:rPr>
      </w:pPr>
      <w:r w:rsidRPr="00E7326A">
        <w:rPr>
          <w:rFonts w:hAnsi="宋体" w:hint="eastAsia"/>
          <w:sz w:val="21"/>
          <w:szCs w:val="21"/>
        </w:rPr>
        <w:t>c）炉窑应采用先进、适用的节水利用技术和辅助设备，减少水等资源消耗，淘汰落后的用水工艺设备。</w:t>
      </w:r>
    </w:p>
    <w:p w14:paraId="11543EF2" w14:textId="77777777" w:rsidR="003439F6" w:rsidRPr="00E7326A" w:rsidRDefault="00617D75">
      <w:pPr>
        <w:pStyle w:val="3"/>
        <w:rPr>
          <w:rFonts w:ascii="黑体" w:hAnsi="黑体"/>
        </w:rPr>
      </w:pPr>
      <w:r w:rsidRPr="00E7326A">
        <w:rPr>
          <w:rFonts w:ascii="黑体" w:hAnsi="黑体"/>
        </w:rPr>
        <w:t xml:space="preserve">5.3.2 </w:t>
      </w:r>
      <w:r w:rsidRPr="00E7326A">
        <w:rPr>
          <w:rFonts w:ascii="黑体" w:hAnsi="黑体" w:hint="eastAsia"/>
        </w:rPr>
        <w:t xml:space="preserve"> 能源属性指标</w:t>
      </w:r>
    </w:p>
    <w:p w14:paraId="67FF7A77"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能源属性重点是炉窑在生产过程中能源节约和能源效率等方面的指标</w:t>
      </w:r>
      <w:r w:rsidRPr="00E7326A">
        <w:rPr>
          <w:rFonts w:ascii="Times New Roman" w:hAnsi="Times New Roman" w:cs="Times New Roman" w:hint="eastAsia"/>
          <w:szCs w:val="21"/>
        </w:rPr>
        <w:t>：</w:t>
      </w:r>
    </w:p>
    <w:p w14:paraId="4F0A1C0B" w14:textId="77777777" w:rsidR="003439F6" w:rsidRPr="00E7326A" w:rsidRDefault="00617D75">
      <w:pPr>
        <w:pStyle w:val="30"/>
        <w:ind w:firstLine="420"/>
        <w:rPr>
          <w:rFonts w:ascii="Times New Roman"/>
          <w:sz w:val="21"/>
          <w:szCs w:val="21"/>
        </w:rPr>
      </w:pPr>
      <w:r w:rsidRPr="00E7326A">
        <w:rPr>
          <w:rFonts w:ascii="Times New Roman"/>
          <w:sz w:val="21"/>
          <w:szCs w:val="21"/>
        </w:rPr>
        <w:t>a</w:t>
      </w:r>
      <w:r w:rsidRPr="00E7326A">
        <w:rPr>
          <w:rFonts w:ascii="Times New Roman"/>
          <w:sz w:val="21"/>
          <w:szCs w:val="21"/>
        </w:rPr>
        <w:t>）炉窑应优化生产结构和用能结构，在保证安全、质量的前提下减少能源投入，宜使用可再生资源代替不可再生资源</w:t>
      </w:r>
      <w:r w:rsidRPr="00E7326A">
        <w:rPr>
          <w:rFonts w:ascii="Times New Roman" w:hint="eastAsia"/>
          <w:sz w:val="21"/>
          <w:szCs w:val="21"/>
        </w:rPr>
        <w:t>；</w:t>
      </w:r>
    </w:p>
    <w:p w14:paraId="51E2B2A7" w14:textId="77777777" w:rsidR="003439F6" w:rsidRPr="00E7326A" w:rsidRDefault="00617D75">
      <w:pPr>
        <w:pStyle w:val="30"/>
        <w:ind w:firstLine="420"/>
        <w:rPr>
          <w:rFonts w:ascii="Times New Roman"/>
          <w:sz w:val="21"/>
          <w:szCs w:val="21"/>
        </w:rPr>
      </w:pPr>
      <w:r w:rsidRPr="00E7326A">
        <w:rPr>
          <w:rFonts w:ascii="Times New Roman"/>
          <w:sz w:val="21"/>
          <w:szCs w:val="21"/>
        </w:rPr>
        <w:t>b</w:t>
      </w:r>
      <w:r w:rsidRPr="00E7326A">
        <w:rPr>
          <w:rFonts w:ascii="Times New Roman"/>
          <w:sz w:val="21"/>
          <w:szCs w:val="21"/>
        </w:rPr>
        <w:t>）炉窑应采用先进、适用的节能技术和辅助设备，减少能源消耗</w:t>
      </w:r>
      <w:r w:rsidRPr="00E7326A">
        <w:rPr>
          <w:rFonts w:ascii="Times New Roman" w:hint="eastAsia"/>
          <w:sz w:val="21"/>
          <w:szCs w:val="21"/>
        </w:rPr>
        <w:t>；</w:t>
      </w:r>
    </w:p>
    <w:p w14:paraId="00EC96A6" w14:textId="77777777" w:rsidR="003439F6" w:rsidRPr="00E7326A" w:rsidRDefault="00617D75">
      <w:pPr>
        <w:pStyle w:val="30"/>
        <w:ind w:firstLine="420"/>
        <w:rPr>
          <w:rFonts w:ascii="Times New Roman"/>
          <w:sz w:val="21"/>
          <w:szCs w:val="21"/>
        </w:rPr>
      </w:pPr>
      <w:r w:rsidRPr="00E7326A">
        <w:rPr>
          <w:rFonts w:ascii="Times New Roman"/>
          <w:sz w:val="21"/>
          <w:szCs w:val="21"/>
        </w:rPr>
        <w:t>c</w:t>
      </w:r>
      <w:r w:rsidRPr="00E7326A">
        <w:rPr>
          <w:rFonts w:ascii="Times New Roman"/>
          <w:sz w:val="21"/>
          <w:szCs w:val="21"/>
        </w:rPr>
        <w:t>）炉窑应加强余热余能等二次能源回收利用，提高能源效率。</w:t>
      </w:r>
    </w:p>
    <w:p w14:paraId="0F5C19F3" w14:textId="77777777" w:rsidR="003439F6" w:rsidRPr="00E7326A" w:rsidRDefault="00617D75">
      <w:pPr>
        <w:pStyle w:val="3"/>
        <w:rPr>
          <w:rFonts w:ascii="黑体" w:hAnsi="黑体"/>
        </w:rPr>
      </w:pPr>
      <w:r w:rsidRPr="00E7326A">
        <w:rPr>
          <w:rFonts w:ascii="黑体" w:hAnsi="黑体"/>
        </w:rPr>
        <w:t xml:space="preserve">5.3.3 </w:t>
      </w:r>
      <w:r w:rsidRPr="00E7326A">
        <w:rPr>
          <w:rFonts w:ascii="黑体" w:hAnsi="黑体" w:hint="eastAsia"/>
        </w:rPr>
        <w:t xml:space="preserve"> 环境属性指标</w:t>
      </w:r>
    </w:p>
    <w:p w14:paraId="5B5C493B"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环境属性重点是炉窑在生产过程的污染物排放等方面的指标，提倡环境友好</w:t>
      </w:r>
      <w:r w:rsidRPr="00E7326A">
        <w:rPr>
          <w:rFonts w:ascii="Times New Roman" w:hAnsi="Times New Roman" w:cs="Times New Roman" w:hint="eastAsia"/>
          <w:szCs w:val="21"/>
        </w:rPr>
        <w:t>：</w:t>
      </w:r>
    </w:p>
    <w:p w14:paraId="7E724C7C"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a</w:t>
      </w:r>
      <w:r w:rsidRPr="00E7326A">
        <w:rPr>
          <w:rFonts w:ascii="Times New Roman" w:hAnsi="Times New Roman" w:cs="Times New Roman"/>
          <w:szCs w:val="21"/>
        </w:rPr>
        <w:t>）炉窑应配套适宜的污染物处理设备，以确保其污染物排放达到相关法律法规及标准要求。相关设备的处理能力应与炉窑所在工厂的生产排放相适应，并应正常运行</w:t>
      </w:r>
      <w:r w:rsidRPr="00E7326A">
        <w:rPr>
          <w:rFonts w:ascii="Times New Roman" w:hAnsi="Times New Roman" w:cs="Times New Roman" w:hint="eastAsia"/>
          <w:szCs w:val="21"/>
        </w:rPr>
        <w:t>；</w:t>
      </w:r>
    </w:p>
    <w:p w14:paraId="01ED36B9"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b</w:t>
      </w:r>
      <w:r w:rsidRPr="00E7326A">
        <w:rPr>
          <w:rFonts w:ascii="Times New Roman" w:hAnsi="Times New Roman" w:cs="Times New Roman"/>
          <w:szCs w:val="21"/>
        </w:rPr>
        <w:t>）炉窑的颗粒物、硫氧化物、氮氧化物等大气污染物排放应符合国家</w:t>
      </w:r>
      <w:r w:rsidRPr="00E7326A">
        <w:rPr>
          <w:rFonts w:ascii="Times New Roman" w:hAnsi="Times New Roman" w:cs="Times New Roman" w:hint="eastAsia"/>
          <w:szCs w:val="21"/>
        </w:rPr>
        <w:t>标准、行业标准及</w:t>
      </w:r>
      <w:r w:rsidRPr="00E7326A">
        <w:rPr>
          <w:rFonts w:ascii="Times New Roman" w:hAnsi="Times New Roman" w:cs="Times New Roman"/>
          <w:szCs w:val="21"/>
        </w:rPr>
        <w:t>地方标准要求，并满足区域内排放总量控制要求</w:t>
      </w:r>
      <w:r w:rsidRPr="00E7326A">
        <w:rPr>
          <w:rFonts w:ascii="Times New Roman" w:hAnsi="Times New Roman" w:cs="Times New Roman" w:hint="eastAsia"/>
          <w:szCs w:val="21"/>
        </w:rPr>
        <w:t>；</w:t>
      </w:r>
    </w:p>
    <w:p w14:paraId="04590C7C" w14:textId="77777777" w:rsidR="003439F6" w:rsidRPr="00E7326A" w:rsidRDefault="00617D75">
      <w:pPr>
        <w:pStyle w:val="30"/>
        <w:ind w:firstLine="420"/>
        <w:rPr>
          <w:rFonts w:ascii="Times New Roman"/>
          <w:sz w:val="21"/>
          <w:szCs w:val="21"/>
        </w:rPr>
      </w:pPr>
      <w:r w:rsidRPr="00E7326A">
        <w:rPr>
          <w:rFonts w:ascii="Times New Roman"/>
          <w:sz w:val="21"/>
          <w:szCs w:val="21"/>
        </w:rPr>
        <w:t>c</w:t>
      </w:r>
      <w:r w:rsidRPr="00E7326A">
        <w:rPr>
          <w:rFonts w:ascii="Times New Roman"/>
          <w:sz w:val="21"/>
          <w:szCs w:val="21"/>
        </w:rPr>
        <w:t>）炉窑的噪声污染物应符合</w:t>
      </w:r>
      <w:r w:rsidRPr="00E7326A">
        <w:rPr>
          <w:rFonts w:ascii="Times New Roman" w:hint="eastAsia"/>
          <w:sz w:val="21"/>
          <w:szCs w:val="21"/>
        </w:rPr>
        <w:t>国家标准、行业标准及</w:t>
      </w:r>
      <w:r w:rsidRPr="00E7326A">
        <w:rPr>
          <w:rFonts w:ascii="Times New Roman"/>
          <w:sz w:val="21"/>
          <w:szCs w:val="21"/>
        </w:rPr>
        <w:t>地方标准要求</w:t>
      </w:r>
      <w:r w:rsidRPr="00E7326A">
        <w:rPr>
          <w:rFonts w:ascii="Times New Roman" w:hint="eastAsia"/>
          <w:sz w:val="21"/>
          <w:szCs w:val="21"/>
        </w:rPr>
        <w:t>；</w:t>
      </w:r>
    </w:p>
    <w:p w14:paraId="6740AA24"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d</w:t>
      </w:r>
      <w:r w:rsidRPr="00E7326A">
        <w:rPr>
          <w:rFonts w:ascii="Times New Roman" w:hAnsi="Times New Roman" w:cs="Times New Roman"/>
          <w:szCs w:val="21"/>
        </w:rPr>
        <w:t>）炉窑</w:t>
      </w:r>
      <w:r w:rsidRPr="00E7326A">
        <w:rPr>
          <w:rFonts w:ascii="Times New Roman" w:hAnsi="Times New Roman" w:cs="Times New Roman" w:hint="eastAsia"/>
          <w:szCs w:val="21"/>
        </w:rPr>
        <w:t>产生</w:t>
      </w:r>
      <w:r w:rsidRPr="00E7326A">
        <w:rPr>
          <w:rFonts w:ascii="Times New Roman" w:hAnsi="Times New Roman" w:cs="Times New Roman"/>
          <w:szCs w:val="21"/>
        </w:rPr>
        <w:t>的固体废弃物</w:t>
      </w:r>
      <w:r w:rsidRPr="00E7326A">
        <w:rPr>
          <w:rFonts w:ascii="Times New Roman" w:hAnsi="Times New Roman" w:cs="Times New Roman" w:hint="eastAsia"/>
          <w:szCs w:val="21"/>
        </w:rPr>
        <w:t>的</w:t>
      </w:r>
      <w:r w:rsidRPr="00E7326A">
        <w:rPr>
          <w:rFonts w:ascii="Times New Roman" w:hAnsi="Times New Roman" w:cs="Times New Roman"/>
          <w:szCs w:val="21"/>
        </w:rPr>
        <w:t>处理应符合</w:t>
      </w:r>
      <w:r w:rsidRPr="00E7326A">
        <w:rPr>
          <w:rFonts w:ascii="Times New Roman" w:hAnsi="Times New Roman" w:cs="Times New Roman" w:hint="eastAsia"/>
          <w:szCs w:val="21"/>
        </w:rPr>
        <w:t>GB</w:t>
      </w:r>
      <w:r w:rsidRPr="00E7326A">
        <w:rPr>
          <w:rFonts w:ascii="Times New Roman" w:hAnsi="Times New Roman" w:cs="Times New Roman"/>
          <w:szCs w:val="21"/>
        </w:rPr>
        <w:t xml:space="preserve"> 18599</w:t>
      </w:r>
      <w:r w:rsidRPr="00E7326A">
        <w:rPr>
          <w:rFonts w:ascii="Times New Roman" w:hAnsi="Times New Roman" w:cs="Times New Roman" w:hint="eastAsia"/>
          <w:szCs w:val="21"/>
        </w:rPr>
        <w:t>及相关标准的</w:t>
      </w:r>
      <w:r w:rsidRPr="00E7326A">
        <w:rPr>
          <w:rFonts w:ascii="Times New Roman" w:hAnsi="Times New Roman" w:cs="Times New Roman"/>
          <w:szCs w:val="21"/>
        </w:rPr>
        <w:t>要求。炉窑所在工厂无法自行处理的，应将所产生的固体废弃物转交给具备相应能力和资质的处理厂进行处理</w:t>
      </w:r>
      <w:r w:rsidRPr="00E7326A">
        <w:rPr>
          <w:rFonts w:ascii="Times New Roman" w:hAnsi="Times New Roman" w:cs="Times New Roman" w:hint="eastAsia"/>
          <w:szCs w:val="21"/>
        </w:rPr>
        <w:t>；</w:t>
      </w:r>
    </w:p>
    <w:p w14:paraId="36CC27A6"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lastRenderedPageBreak/>
        <w:t>e</w:t>
      </w:r>
      <w:r w:rsidRPr="00E7326A">
        <w:rPr>
          <w:rFonts w:ascii="Times New Roman" w:hAnsi="Times New Roman" w:cs="Times New Roman"/>
          <w:szCs w:val="21"/>
        </w:rPr>
        <w:t>）炉窑的水体污染物排放应符合国家</w:t>
      </w:r>
      <w:r w:rsidRPr="00E7326A">
        <w:rPr>
          <w:rFonts w:ascii="Times New Roman" w:hAnsi="Times New Roman" w:cs="Times New Roman" w:hint="eastAsia"/>
          <w:szCs w:val="21"/>
        </w:rPr>
        <w:t>标准、行业标准及</w:t>
      </w:r>
      <w:r w:rsidRPr="00E7326A">
        <w:rPr>
          <w:rFonts w:ascii="Times New Roman" w:hAnsi="Times New Roman" w:cs="Times New Roman"/>
          <w:szCs w:val="21"/>
        </w:rPr>
        <w:t>地方标准要求，并满足区域内排放总量控制要求</w:t>
      </w:r>
      <w:r w:rsidRPr="00E7326A">
        <w:rPr>
          <w:rFonts w:ascii="Times New Roman" w:hAnsi="Times New Roman" w:cs="Times New Roman" w:hint="eastAsia"/>
          <w:szCs w:val="21"/>
        </w:rPr>
        <w:t>；</w:t>
      </w:r>
    </w:p>
    <w:p w14:paraId="5119CA2B"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f</w:t>
      </w:r>
      <w:r w:rsidRPr="00E7326A">
        <w:rPr>
          <w:rFonts w:ascii="Times New Roman" w:hAnsi="Times New Roman" w:cs="Times New Roman"/>
          <w:szCs w:val="21"/>
        </w:rPr>
        <w:t>）炉窑的温室气体排放应符合国家</w:t>
      </w:r>
      <w:r w:rsidRPr="00E7326A">
        <w:rPr>
          <w:rFonts w:ascii="Times New Roman" w:hAnsi="Times New Roman" w:cs="Times New Roman" w:hint="eastAsia"/>
          <w:szCs w:val="21"/>
        </w:rPr>
        <w:t>标准、行业标准及</w:t>
      </w:r>
      <w:r w:rsidRPr="00E7326A">
        <w:rPr>
          <w:rFonts w:ascii="Times New Roman" w:hAnsi="Times New Roman" w:cs="Times New Roman"/>
          <w:szCs w:val="21"/>
        </w:rPr>
        <w:t>地方标准要求。</w:t>
      </w:r>
    </w:p>
    <w:p w14:paraId="656DBCAB" w14:textId="77777777" w:rsidR="003439F6" w:rsidRPr="00E7326A" w:rsidRDefault="00617D75">
      <w:pPr>
        <w:pStyle w:val="3"/>
        <w:rPr>
          <w:rFonts w:ascii="黑体" w:hAnsi="黑体"/>
        </w:rPr>
      </w:pPr>
      <w:r w:rsidRPr="00E7326A">
        <w:rPr>
          <w:rFonts w:ascii="黑体" w:hAnsi="黑体"/>
        </w:rPr>
        <w:t xml:space="preserve">5.3.4 </w:t>
      </w:r>
      <w:r w:rsidRPr="00E7326A">
        <w:rPr>
          <w:rFonts w:ascii="黑体" w:hAnsi="黑体" w:hint="eastAsia"/>
        </w:rPr>
        <w:t xml:space="preserve"> 品质属性指标</w:t>
      </w:r>
    </w:p>
    <w:p w14:paraId="3DEBDF49"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品质属性重点是炉窑所生产的产品品质等方面的指标。炉窑所生产的产品品质应符合下游产业对产品的指标要求。</w:t>
      </w:r>
    </w:p>
    <w:p w14:paraId="1CE1D454" w14:textId="77777777" w:rsidR="003439F6" w:rsidRPr="00E7326A" w:rsidRDefault="00617D75">
      <w:pPr>
        <w:pStyle w:val="2"/>
        <w:rPr>
          <w:rFonts w:ascii="黑体" w:hAnsi="黑体"/>
          <w:b w:val="0"/>
        </w:rPr>
      </w:pPr>
      <w:r w:rsidRPr="00E7326A">
        <w:rPr>
          <w:rFonts w:ascii="黑体" w:hAnsi="黑体"/>
          <w:b w:val="0"/>
        </w:rPr>
        <w:t xml:space="preserve">5.4 </w:t>
      </w:r>
      <w:r w:rsidRPr="00E7326A">
        <w:rPr>
          <w:rFonts w:ascii="黑体" w:hAnsi="黑体" w:hint="eastAsia"/>
          <w:b w:val="0"/>
        </w:rPr>
        <w:t xml:space="preserve"> 指标基准值确定</w:t>
      </w:r>
    </w:p>
    <w:p w14:paraId="1E9B6812" w14:textId="77777777" w:rsidR="003439F6" w:rsidRPr="00E7326A" w:rsidRDefault="00617D75">
      <w:pPr>
        <w:spacing w:line="360" w:lineRule="auto"/>
        <w:ind w:firstLineChars="200" w:firstLine="420"/>
        <w:jc w:val="left"/>
        <w:rPr>
          <w:rFonts w:asciiTheme="minorEastAsia" w:hAnsiTheme="minorEastAsia" w:cs="Times New Roman"/>
          <w:b/>
          <w:bCs/>
          <w:szCs w:val="21"/>
        </w:rPr>
      </w:pPr>
      <w:r w:rsidRPr="00E7326A">
        <w:rPr>
          <w:rFonts w:asciiTheme="minorEastAsia" w:hAnsiTheme="minorEastAsia" w:cs="Times New Roman" w:hint="eastAsia"/>
          <w:szCs w:val="21"/>
        </w:rPr>
        <w:t>应根据生产环节和行业特点，以评价筛选绿色炉窑为目的，采用资料收集、现场调查、试验检测、专家咨询等方法，科学、合理确定指标基准值。在确定评价指标基准值时，以当前国内符合所有指标要求的该类炉窑比例不</w:t>
      </w:r>
      <w:r w:rsidRPr="00E7326A">
        <w:rPr>
          <w:rFonts w:ascii="Times New Roman" w:hAnsi="Times New Roman" w:cs="Times New Roman"/>
          <w:szCs w:val="21"/>
        </w:rPr>
        <w:t>超过</w:t>
      </w:r>
      <w:r w:rsidRPr="00E7326A">
        <w:rPr>
          <w:rFonts w:ascii="Times New Roman" w:hAnsi="Times New Roman" w:cs="Times New Roman"/>
          <w:b/>
          <w:szCs w:val="21"/>
        </w:rPr>
        <w:t>20%</w:t>
      </w:r>
      <w:r w:rsidRPr="00E7326A">
        <w:rPr>
          <w:rFonts w:ascii="Times New Roman" w:hAnsi="Times New Roman" w:cs="Times New Roman"/>
          <w:szCs w:val="21"/>
        </w:rPr>
        <w:t>、符合每个单项指标要求的该类炉窑比例原则上不超过</w:t>
      </w:r>
      <w:r w:rsidRPr="00E7326A">
        <w:rPr>
          <w:rFonts w:ascii="Times New Roman" w:hAnsi="Times New Roman" w:cs="Times New Roman"/>
          <w:b/>
          <w:szCs w:val="21"/>
        </w:rPr>
        <w:t>25%</w:t>
      </w:r>
      <w:r w:rsidRPr="00E7326A">
        <w:rPr>
          <w:rFonts w:ascii="Times New Roman" w:hAnsi="Times New Roman" w:cs="Times New Roman"/>
          <w:szCs w:val="21"/>
        </w:rPr>
        <w:t>为取值原则，以体现绿色炉窑</w:t>
      </w:r>
      <w:r w:rsidRPr="00E7326A">
        <w:rPr>
          <w:rFonts w:asciiTheme="minorEastAsia" w:hAnsiTheme="minorEastAsia" w:cs="Times New Roman" w:hint="eastAsia"/>
          <w:szCs w:val="21"/>
        </w:rPr>
        <w:t>的优势。</w:t>
      </w:r>
    </w:p>
    <w:p w14:paraId="4AF42DF1" w14:textId="77777777" w:rsidR="003439F6" w:rsidRPr="00E7326A" w:rsidRDefault="00617D75">
      <w:pPr>
        <w:pStyle w:val="1"/>
        <w:rPr>
          <w:rFonts w:ascii="黑体" w:hAnsi="黑体"/>
          <w:b w:val="0"/>
          <w:sz w:val="21"/>
          <w:szCs w:val="21"/>
        </w:rPr>
      </w:pPr>
      <w:r w:rsidRPr="00E7326A">
        <w:rPr>
          <w:rFonts w:ascii="黑体" w:hAnsi="黑体"/>
          <w:b w:val="0"/>
          <w:sz w:val="21"/>
          <w:szCs w:val="21"/>
        </w:rPr>
        <w:t xml:space="preserve">5.5 </w:t>
      </w:r>
      <w:r w:rsidRPr="00E7326A">
        <w:rPr>
          <w:rFonts w:ascii="黑体" w:hAnsi="黑体" w:hint="eastAsia"/>
          <w:b w:val="0"/>
          <w:sz w:val="21"/>
          <w:szCs w:val="21"/>
        </w:rPr>
        <w:t xml:space="preserve"> 测试方法和指标计算方法</w:t>
      </w:r>
    </w:p>
    <w:p w14:paraId="14934142"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制定不同类型绿色炉窑评价标准中应给出每项指标的测试方法和指标计算方法，应优先采用现有国家标准或国际标准。</w:t>
      </w:r>
    </w:p>
    <w:p w14:paraId="703B381F" w14:textId="77777777" w:rsidR="003439F6" w:rsidRPr="00E7326A" w:rsidRDefault="00617D75">
      <w:pPr>
        <w:pStyle w:val="1"/>
        <w:rPr>
          <w:rFonts w:ascii="黑体" w:hAnsi="黑体"/>
          <w:b w:val="0"/>
          <w:sz w:val="21"/>
          <w:szCs w:val="21"/>
        </w:rPr>
      </w:pPr>
      <w:r w:rsidRPr="00E7326A">
        <w:rPr>
          <w:rFonts w:ascii="黑体" w:hAnsi="黑体"/>
          <w:b w:val="0"/>
          <w:sz w:val="21"/>
          <w:szCs w:val="21"/>
        </w:rPr>
        <w:t xml:space="preserve">6 </w:t>
      </w:r>
      <w:r w:rsidRPr="00E7326A">
        <w:rPr>
          <w:rFonts w:ascii="黑体" w:hAnsi="黑体" w:hint="eastAsia"/>
          <w:b w:val="0"/>
          <w:sz w:val="21"/>
          <w:szCs w:val="21"/>
        </w:rPr>
        <w:t xml:space="preserve"> 评价方法</w:t>
      </w:r>
    </w:p>
    <w:p w14:paraId="2AE4F17A"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本标准采用指标符合性评价的方法。</w:t>
      </w:r>
      <w:r w:rsidRPr="00E7326A">
        <w:rPr>
          <w:rFonts w:ascii="Times New Roman" w:hAnsi="Times New Roman" w:cs="Times New Roman" w:hint="eastAsia"/>
          <w:szCs w:val="21"/>
        </w:rPr>
        <w:t>绿色炉窑应同时满足基本要求和评价指标要求。</w:t>
      </w:r>
    </w:p>
    <w:p w14:paraId="2C10A4AC" w14:textId="77777777" w:rsidR="003439F6" w:rsidRPr="00E7326A" w:rsidRDefault="00617D75">
      <w:pPr>
        <w:pStyle w:val="2"/>
        <w:rPr>
          <w:rFonts w:ascii="黑体" w:hAnsi="黑体"/>
          <w:b w:val="0"/>
        </w:rPr>
      </w:pPr>
      <w:r w:rsidRPr="00E7326A">
        <w:rPr>
          <w:rFonts w:ascii="黑体" w:hAnsi="黑体"/>
          <w:b w:val="0"/>
        </w:rPr>
        <w:t xml:space="preserve">6.1 </w:t>
      </w:r>
      <w:r w:rsidRPr="00E7326A">
        <w:rPr>
          <w:rFonts w:ascii="黑体" w:hAnsi="黑体" w:hint="eastAsia"/>
          <w:b w:val="0"/>
        </w:rPr>
        <w:t xml:space="preserve"> 评价程序</w:t>
      </w:r>
    </w:p>
    <w:p w14:paraId="158A1BAD"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炉窑评价应建立规范的评价工作流程，包括评价准备、组建评价工作组、制定评价方案、预评价、现场评价、编制评价报告、技术评审等。</w:t>
      </w:r>
    </w:p>
    <w:p w14:paraId="6E54705F" w14:textId="77777777" w:rsidR="003439F6" w:rsidRPr="00E7326A" w:rsidRDefault="00617D75">
      <w:pPr>
        <w:pStyle w:val="2"/>
        <w:rPr>
          <w:rFonts w:ascii="黑体" w:hAnsi="黑体"/>
          <w:b w:val="0"/>
        </w:rPr>
      </w:pPr>
      <w:r w:rsidRPr="00E7326A">
        <w:rPr>
          <w:rFonts w:ascii="黑体" w:hAnsi="黑体"/>
          <w:b w:val="0"/>
        </w:rPr>
        <w:t>6.</w:t>
      </w:r>
      <w:r w:rsidRPr="00E7326A">
        <w:rPr>
          <w:rFonts w:ascii="黑体" w:hAnsi="黑体" w:hint="eastAsia"/>
          <w:b w:val="0"/>
        </w:rPr>
        <w:t>2</w:t>
      </w:r>
      <w:r w:rsidRPr="00E7326A">
        <w:rPr>
          <w:rFonts w:ascii="黑体" w:hAnsi="黑体"/>
          <w:b w:val="0"/>
        </w:rPr>
        <w:t xml:space="preserve"> </w:t>
      </w:r>
      <w:r w:rsidRPr="00E7326A">
        <w:rPr>
          <w:rFonts w:ascii="黑体" w:hAnsi="黑体" w:hint="eastAsia"/>
          <w:b w:val="0"/>
        </w:rPr>
        <w:t xml:space="preserve"> 评价报告</w:t>
      </w:r>
    </w:p>
    <w:p w14:paraId="3867D304" w14:textId="77777777" w:rsidR="003439F6" w:rsidRPr="00E7326A" w:rsidRDefault="00617D75">
      <w:pPr>
        <w:pStyle w:val="30"/>
        <w:ind w:firstLine="420"/>
        <w:rPr>
          <w:rFonts w:hAnsi="宋体"/>
          <w:sz w:val="21"/>
          <w:szCs w:val="21"/>
        </w:rPr>
      </w:pPr>
      <w:r w:rsidRPr="00E7326A">
        <w:rPr>
          <w:rFonts w:hAnsi="宋体" w:hint="eastAsia"/>
          <w:sz w:val="21"/>
          <w:szCs w:val="21"/>
        </w:rPr>
        <w:t>评价报告内容包括但不限于：</w:t>
      </w:r>
    </w:p>
    <w:p w14:paraId="02170684"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a）实施评价的组织方式；</w:t>
      </w:r>
    </w:p>
    <w:p w14:paraId="4861A30F"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b）评价目的、范围及准则；</w:t>
      </w:r>
    </w:p>
    <w:p w14:paraId="64B95DA0"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c）评价过程，主要包括评价组织安排、文件评审情况、现场评价情况、评价报告编制及内部技术评审情况；</w:t>
      </w:r>
    </w:p>
    <w:p w14:paraId="3649B88A"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d）评价内容，包括一般要求、资源指标、能源指标、环境指标、品质指标等；</w:t>
      </w:r>
    </w:p>
    <w:p w14:paraId="453951CF"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e）评价证明材料的核实情况，包括证明文件和数据真实性、计算范围及计算方法、相关计量设备和有关标准的执行情况等；</w:t>
      </w:r>
    </w:p>
    <w:p w14:paraId="43045D92"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lastRenderedPageBreak/>
        <w:t>f）评价识别的绿色炉窑主要创建做法、工作亮点等；</w:t>
      </w:r>
    </w:p>
    <w:p w14:paraId="19868F0C"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g）对持续创建绿色炉窑提出的下一步工作计划或建议；</w:t>
      </w:r>
    </w:p>
    <w:p w14:paraId="5A2A6D24"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h）相关支持材料。</w:t>
      </w:r>
    </w:p>
    <w:p w14:paraId="28A9D73F" w14:textId="77777777" w:rsidR="003439F6" w:rsidRPr="00E7326A" w:rsidRDefault="00617D75">
      <w:pPr>
        <w:pStyle w:val="2"/>
        <w:rPr>
          <w:rFonts w:ascii="黑体" w:hAnsi="黑体"/>
          <w:b w:val="0"/>
        </w:rPr>
      </w:pPr>
      <w:r w:rsidRPr="00E7326A">
        <w:rPr>
          <w:rFonts w:ascii="黑体" w:hAnsi="黑体"/>
          <w:b w:val="0"/>
        </w:rPr>
        <w:t>6.</w:t>
      </w:r>
      <w:r w:rsidRPr="00E7326A">
        <w:rPr>
          <w:rFonts w:ascii="黑体" w:hAnsi="黑体" w:hint="eastAsia"/>
          <w:b w:val="0"/>
        </w:rPr>
        <w:t>3</w:t>
      </w:r>
      <w:r w:rsidRPr="00E7326A">
        <w:rPr>
          <w:rFonts w:ascii="黑体" w:hAnsi="黑体"/>
          <w:b w:val="0"/>
        </w:rPr>
        <w:t xml:space="preserve"> </w:t>
      </w:r>
      <w:r w:rsidRPr="00E7326A">
        <w:rPr>
          <w:rFonts w:ascii="黑体" w:hAnsi="黑体" w:hint="eastAsia"/>
          <w:b w:val="0"/>
        </w:rPr>
        <w:t xml:space="preserve"> 评价方式</w:t>
      </w:r>
    </w:p>
    <w:p w14:paraId="16B34536"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炉窑评价可由与被评价方没有直接关系的第三方组织实施。</w:t>
      </w:r>
    </w:p>
    <w:p w14:paraId="7672DA5E"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实施评价的组织应查看报告文件、统计报表、原始记录，并根据实际情况，开展相关人员的座谈；采用实地调查、抽样调查等方式收集评价证据，并保证证据的完整性和准确性。</w:t>
      </w:r>
    </w:p>
    <w:p w14:paraId="2F30395E" w14:textId="77777777" w:rsidR="003439F6" w:rsidRPr="00E7326A" w:rsidRDefault="00617D75">
      <w:pPr>
        <w:spacing w:line="360" w:lineRule="auto"/>
        <w:ind w:firstLine="420"/>
        <w:jc w:val="left"/>
        <w:rPr>
          <w:rFonts w:ascii="Times New Roman" w:hAnsi="Times New Roman" w:cs="Times New Roman"/>
          <w:szCs w:val="21"/>
        </w:rPr>
      </w:pPr>
      <w:r w:rsidRPr="00E7326A">
        <w:rPr>
          <w:rFonts w:ascii="Times New Roman" w:hAnsi="Times New Roman" w:cs="Times New Roman"/>
          <w:szCs w:val="21"/>
        </w:rPr>
        <w:t>实施评价的组织应对评价证据进行分析，当炉窑满足评价方案给出的各项评价标准和要求时，即可判定为绿色炉窑。</w:t>
      </w:r>
    </w:p>
    <w:p w14:paraId="6815904E" w14:textId="77777777" w:rsidR="003439F6" w:rsidRPr="00E7326A" w:rsidRDefault="00617D75">
      <w:pPr>
        <w:keepNext/>
        <w:keepLines/>
        <w:spacing w:before="120" w:after="120"/>
        <w:outlineLvl w:val="1"/>
        <w:rPr>
          <w:rFonts w:ascii="黑体" w:eastAsia="黑体" w:hAnsi="黑体" w:cs="Times New Roman"/>
          <w:bCs/>
          <w:szCs w:val="32"/>
        </w:rPr>
      </w:pPr>
      <w:r w:rsidRPr="00E7326A">
        <w:rPr>
          <w:rFonts w:ascii="黑体" w:eastAsia="黑体" w:hAnsi="黑体" w:cs="Times New Roman" w:hint="eastAsia"/>
          <w:bCs/>
          <w:szCs w:val="32"/>
        </w:rPr>
        <w:t>6.4  评价结果与管理</w:t>
      </w:r>
    </w:p>
    <w:p w14:paraId="1E4DF347" w14:textId="77777777" w:rsidR="003439F6" w:rsidRPr="00E7326A" w:rsidRDefault="00617D75">
      <w:pPr>
        <w:spacing w:line="360" w:lineRule="auto"/>
        <w:rPr>
          <w:rFonts w:ascii="黑体" w:eastAsia="黑体" w:hAnsi="黑体" w:cs="Times New Roman"/>
          <w:bCs/>
          <w:szCs w:val="21"/>
        </w:rPr>
      </w:pPr>
      <w:r w:rsidRPr="00E7326A">
        <w:rPr>
          <w:rFonts w:ascii="黑体" w:eastAsia="黑体" w:hAnsi="黑体" w:cs="Times New Roman" w:hint="eastAsia"/>
          <w:bCs/>
          <w:szCs w:val="21"/>
        </w:rPr>
        <w:t>6.4.1  评价认定</w:t>
      </w:r>
    </w:p>
    <w:p w14:paraId="2F7AB6B2" w14:textId="77777777" w:rsidR="003439F6" w:rsidRPr="00E7326A" w:rsidRDefault="00617D75">
      <w:pPr>
        <w:spacing w:line="360" w:lineRule="auto"/>
        <w:ind w:firstLineChars="200" w:firstLine="420"/>
        <w:rPr>
          <w:rFonts w:ascii="宋体" w:eastAsia="宋体" w:hAnsi="宋体" w:cs="Times New Roman"/>
          <w:szCs w:val="21"/>
        </w:rPr>
      </w:pPr>
      <w:r w:rsidRPr="00E7326A">
        <w:rPr>
          <w:rFonts w:ascii="宋体" w:eastAsia="宋体" w:hAnsi="宋体" w:cs="Times New Roman" w:hint="eastAsia"/>
          <w:szCs w:val="21"/>
        </w:rPr>
        <w:t>评价组织可根据申请，按照评价结论对通过评价的，组织核发认定证书。</w:t>
      </w:r>
    </w:p>
    <w:p w14:paraId="11BFA495" w14:textId="77777777" w:rsidR="003439F6" w:rsidRPr="00E7326A" w:rsidRDefault="00617D75">
      <w:pPr>
        <w:spacing w:line="360" w:lineRule="auto"/>
        <w:rPr>
          <w:rFonts w:ascii="黑体" w:eastAsia="黑体" w:hAnsi="黑体" w:cs="Times New Roman"/>
          <w:bCs/>
          <w:szCs w:val="21"/>
        </w:rPr>
      </w:pPr>
      <w:r w:rsidRPr="00E7326A">
        <w:rPr>
          <w:rFonts w:ascii="黑体" w:eastAsia="黑体" w:hAnsi="黑体" w:cs="Times New Roman" w:hint="eastAsia"/>
          <w:bCs/>
          <w:szCs w:val="21"/>
        </w:rPr>
        <w:t>6.4.2  评价复核</w:t>
      </w:r>
    </w:p>
    <w:p w14:paraId="00199A69" w14:textId="77777777" w:rsidR="003439F6" w:rsidRPr="00E7326A" w:rsidRDefault="00617D75">
      <w:pPr>
        <w:spacing w:line="360" w:lineRule="auto"/>
        <w:ind w:firstLine="420"/>
        <w:rPr>
          <w:rFonts w:ascii="宋体" w:eastAsia="宋体" w:hAnsi="宋体" w:cs="Times New Roman"/>
          <w:szCs w:val="21"/>
        </w:rPr>
      </w:pPr>
      <w:r w:rsidRPr="00E7326A">
        <w:rPr>
          <w:rFonts w:ascii="宋体" w:eastAsia="宋体" w:hAnsi="宋体" w:cs="Times New Roman" w:hint="eastAsia"/>
          <w:szCs w:val="21"/>
        </w:rPr>
        <w:t>对已经申请通过绿色炉窑认证的</w:t>
      </w:r>
      <w:r w:rsidRPr="00E7326A">
        <w:rPr>
          <w:rFonts w:ascii="宋体" w:eastAsia="宋体" w:hAnsi="Times New Roman" w:cs="Times New Roman" w:hint="eastAsia"/>
          <w:szCs w:val="21"/>
        </w:rPr>
        <w:t>绿色炉窑</w:t>
      </w:r>
      <w:r w:rsidRPr="00E7326A">
        <w:rPr>
          <w:rFonts w:ascii="宋体" w:eastAsia="宋体" w:hAnsi="宋体" w:cs="Times New Roman" w:hint="eastAsia"/>
          <w:szCs w:val="21"/>
        </w:rPr>
        <w:t>，应在认证通过的第四年提交评价复核报告，对于不满足相关指标的</w:t>
      </w:r>
      <w:r w:rsidRPr="00E7326A">
        <w:rPr>
          <w:rFonts w:ascii="宋体" w:eastAsia="宋体" w:hAnsi="Times New Roman" w:cs="Times New Roman" w:hint="eastAsia"/>
          <w:szCs w:val="21"/>
        </w:rPr>
        <w:t>绿色炉窑</w:t>
      </w:r>
      <w:r w:rsidRPr="00E7326A">
        <w:rPr>
          <w:rFonts w:ascii="宋体" w:eastAsia="宋体" w:hAnsi="宋体" w:cs="Times New Roman" w:hint="eastAsia"/>
          <w:szCs w:val="21"/>
        </w:rPr>
        <w:t>，应进行摘牌处理。</w:t>
      </w:r>
    </w:p>
    <w:p w14:paraId="71455D0C" w14:textId="77777777" w:rsidR="003439F6" w:rsidRPr="00E7326A" w:rsidRDefault="003439F6">
      <w:pPr>
        <w:spacing w:line="360" w:lineRule="auto"/>
        <w:ind w:firstLine="420"/>
        <w:rPr>
          <w:rFonts w:ascii="宋体" w:eastAsia="宋体" w:hAnsi="宋体" w:cs="Times New Roman"/>
          <w:szCs w:val="21"/>
        </w:rPr>
      </w:pPr>
    </w:p>
    <w:p w14:paraId="0D0F8A54" w14:textId="77777777" w:rsidR="003439F6" w:rsidRPr="00E7326A" w:rsidRDefault="003439F6">
      <w:pPr>
        <w:spacing w:line="360" w:lineRule="auto"/>
        <w:jc w:val="left"/>
        <w:rPr>
          <w:rFonts w:ascii="Times New Roman" w:hAnsi="Times New Roman" w:cs="Times New Roman"/>
          <w:szCs w:val="21"/>
        </w:rPr>
      </w:pPr>
    </w:p>
    <w:p w14:paraId="283A6819" w14:textId="77777777" w:rsidR="003439F6" w:rsidRPr="00E7326A" w:rsidRDefault="00617D75">
      <w:pPr>
        <w:spacing w:line="360" w:lineRule="auto"/>
        <w:ind w:firstLine="420"/>
        <w:jc w:val="left"/>
        <w:rPr>
          <w:rFonts w:ascii="Times New Roman" w:hAnsi="Times New Roman" w:cs="Times New Roman"/>
          <w:b/>
          <w:bCs/>
          <w:szCs w:val="21"/>
        </w:rPr>
      </w:pPr>
      <w:r w:rsidRPr="00E7326A">
        <w:rPr>
          <w:rFonts w:ascii="Times New Roman" w:hAnsi="Times New Roman" w:cs="Times New Roman"/>
          <w:b/>
          <w:bCs/>
          <w:szCs w:val="21"/>
        </w:rPr>
        <w:br w:type="page"/>
      </w:r>
    </w:p>
    <w:p w14:paraId="63B847AB" w14:textId="77777777" w:rsidR="003439F6" w:rsidRPr="00E7326A" w:rsidRDefault="00617D75">
      <w:pPr>
        <w:pStyle w:val="1"/>
        <w:spacing w:before="0" w:after="0" w:line="360" w:lineRule="auto"/>
        <w:jc w:val="center"/>
        <w:rPr>
          <w:rFonts w:ascii="黑体" w:hAnsi="黑体"/>
          <w:b w:val="0"/>
          <w:bCs w:val="0"/>
          <w:kern w:val="0"/>
          <w:sz w:val="21"/>
          <w:szCs w:val="20"/>
        </w:rPr>
      </w:pPr>
      <w:r w:rsidRPr="00E7326A">
        <w:rPr>
          <w:rFonts w:ascii="黑体" w:hAnsi="黑体" w:hint="eastAsia"/>
          <w:b w:val="0"/>
          <w:bCs w:val="0"/>
          <w:kern w:val="0"/>
          <w:sz w:val="21"/>
          <w:szCs w:val="20"/>
        </w:rPr>
        <w:lastRenderedPageBreak/>
        <w:t>附录A</w:t>
      </w:r>
    </w:p>
    <w:p w14:paraId="2FA25AFE" w14:textId="77777777" w:rsidR="003439F6" w:rsidRPr="00E7326A" w:rsidRDefault="00617D75">
      <w:pPr>
        <w:pStyle w:val="1"/>
        <w:spacing w:before="0" w:after="0" w:line="360" w:lineRule="auto"/>
        <w:ind w:firstLineChars="1600" w:firstLine="3360"/>
        <w:rPr>
          <w:rFonts w:ascii="黑体" w:hAnsi="黑体"/>
          <w:b w:val="0"/>
          <w:bCs w:val="0"/>
          <w:kern w:val="0"/>
          <w:sz w:val="21"/>
          <w:szCs w:val="20"/>
        </w:rPr>
      </w:pPr>
      <w:r w:rsidRPr="00E7326A">
        <w:rPr>
          <w:rFonts w:ascii="黑体" w:hAnsi="黑体" w:hint="eastAsia"/>
          <w:b w:val="0"/>
          <w:bCs w:val="0"/>
          <w:kern w:val="0"/>
          <w:sz w:val="21"/>
          <w:szCs w:val="20"/>
        </w:rPr>
        <w:t>（规范性附录）</w:t>
      </w:r>
    </w:p>
    <w:p w14:paraId="02897D05" w14:textId="77777777" w:rsidR="003439F6" w:rsidRPr="00E7326A" w:rsidRDefault="00617D75">
      <w:pPr>
        <w:pStyle w:val="ad"/>
        <w:tabs>
          <w:tab w:val="center" w:pos="4201"/>
          <w:tab w:val="right" w:leader="dot" w:pos="9298"/>
        </w:tabs>
        <w:spacing w:line="360" w:lineRule="auto"/>
        <w:ind w:firstLineChars="0" w:firstLine="0"/>
        <w:jc w:val="center"/>
        <w:rPr>
          <w:rFonts w:ascii="黑体" w:eastAsia="黑体" w:hAnsi="黑体"/>
          <w:b/>
          <w:bCs/>
          <w:szCs w:val="21"/>
        </w:rPr>
      </w:pPr>
      <w:r w:rsidRPr="00E7326A">
        <w:rPr>
          <w:rFonts w:ascii="黑体" w:eastAsia="黑体" w:hAnsi="黑体" w:hint="eastAsia"/>
          <w:szCs w:val="21"/>
        </w:rPr>
        <w:t>绿色炉窑评价标准内容框架</w:t>
      </w:r>
    </w:p>
    <w:p w14:paraId="6F8DEBE0" w14:textId="77777777" w:rsidR="003439F6" w:rsidRPr="00E7326A" w:rsidRDefault="00617D75">
      <w:pPr>
        <w:spacing w:line="288" w:lineRule="auto"/>
        <w:jc w:val="left"/>
        <w:rPr>
          <w:rFonts w:asciiTheme="minorEastAsia" w:hAnsiTheme="minorEastAsia" w:cs="Times New Roman"/>
          <w:szCs w:val="21"/>
        </w:rPr>
      </w:pPr>
      <w:r w:rsidRPr="00E7326A">
        <w:rPr>
          <w:rFonts w:ascii="Times New Roman" w:hAnsi="Times New Roman" w:cs="Times New Roman" w:hint="eastAsia"/>
          <w:szCs w:val="21"/>
        </w:rPr>
        <w:t xml:space="preserve">A.1  </w:t>
      </w:r>
      <w:r w:rsidRPr="00E7326A">
        <w:rPr>
          <w:rFonts w:asciiTheme="minorEastAsia" w:hAnsiTheme="minorEastAsia" w:cs="Times New Roman" w:hint="eastAsia"/>
          <w:szCs w:val="21"/>
        </w:rPr>
        <w:t>《绿色炉窑评价技术规范  ××》内容框架包括：</w:t>
      </w:r>
    </w:p>
    <w:p w14:paraId="329EE006" w14:textId="77777777" w:rsidR="003439F6" w:rsidRPr="00E7326A" w:rsidRDefault="00617D75">
      <w:pPr>
        <w:pStyle w:val="a0"/>
        <w:spacing w:line="288" w:lineRule="auto"/>
        <w:ind w:left="833" w:hanging="833"/>
        <w:rPr>
          <w:rFonts w:ascii="Times New Roman"/>
        </w:rPr>
      </w:pPr>
      <w:r w:rsidRPr="00E7326A">
        <w:rPr>
          <w:rFonts w:ascii="Times New Roman"/>
        </w:rPr>
        <w:t>前言</w:t>
      </w:r>
    </w:p>
    <w:p w14:paraId="14050319" w14:textId="77777777" w:rsidR="003439F6" w:rsidRPr="00E7326A" w:rsidRDefault="00617D75">
      <w:pPr>
        <w:pStyle w:val="a0"/>
        <w:spacing w:line="288" w:lineRule="auto"/>
        <w:ind w:left="833" w:hanging="833"/>
        <w:rPr>
          <w:rFonts w:ascii="Times New Roman"/>
        </w:rPr>
      </w:pPr>
      <w:r w:rsidRPr="00E7326A">
        <w:rPr>
          <w:rFonts w:ascii="Times New Roman"/>
        </w:rPr>
        <w:t>范围</w:t>
      </w:r>
    </w:p>
    <w:p w14:paraId="1F54A369" w14:textId="77777777" w:rsidR="003439F6" w:rsidRPr="00E7326A" w:rsidRDefault="00617D75">
      <w:pPr>
        <w:pStyle w:val="a0"/>
        <w:spacing w:line="288" w:lineRule="auto"/>
        <w:ind w:left="833" w:hanging="833"/>
        <w:rPr>
          <w:rFonts w:ascii="Times New Roman"/>
        </w:rPr>
      </w:pPr>
      <w:r w:rsidRPr="00E7326A">
        <w:rPr>
          <w:rFonts w:ascii="Times New Roman"/>
        </w:rPr>
        <w:t>规范性引用文件</w:t>
      </w:r>
    </w:p>
    <w:p w14:paraId="0D0DB802" w14:textId="77777777" w:rsidR="003439F6" w:rsidRPr="00E7326A" w:rsidRDefault="00617D75">
      <w:pPr>
        <w:pStyle w:val="a0"/>
        <w:spacing w:line="288" w:lineRule="auto"/>
        <w:ind w:left="833" w:hanging="833"/>
        <w:rPr>
          <w:rFonts w:ascii="Times New Roman"/>
        </w:rPr>
      </w:pPr>
      <w:r w:rsidRPr="00E7326A">
        <w:rPr>
          <w:rFonts w:ascii="Times New Roman"/>
        </w:rPr>
        <w:t>术语和定义</w:t>
      </w:r>
    </w:p>
    <w:p w14:paraId="6258D56E" w14:textId="77777777" w:rsidR="003439F6" w:rsidRPr="00E7326A" w:rsidRDefault="00617D75">
      <w:pPr>
        <w:pStyle w:val="a0"/>
        <w:spacing w:line="288" w:lineRule="auto"/>
        <w:ind w:left="833" w:hanging="833"/>
        <w:rPr>
          <w:rFonts w:ascii="Times New Roman"/>
        </w:rPr>
      </w:pPr>
      <w:r w:rsidRPr="00E7326A">
        <w:rPr>
          <w:rFonts w:ascii="Times New Roman"/>
        </w:rPr>
        <w:t>评价要求</w:t>
      </w:r>
    </w:p>
    <w:p w14:paraId="0500B95A" w14:textId="77777777" w:rsidR="003439F6" w:rsidRPr="00E7326A" w:rsidRDefault="00617D75">
      <w:pPr>
        <w:numPr>
          <w:ilvl w:val="0"/>
          <w:numId w:val="4"/>
        </w:numPr>
        <w:spacing w:line="288" w:lineRule="auto"/>
        <w:jc w:val="left"/>
        <w:rPr>
          <w:rFonts w:ascii="Times New Roman" w:hAnsi="Times New Roman" w:cs="Times New Roman"/>
          <w:szCs w:val="21"/>
        </w:rPr>
      </w:pPr>
      <w:r w:rsidRPr="00E7326A">
        <w:rPr>
          <w:rFonts w:ascii="Times New Roman" w:hAnsi="Times New Roman" w:cs="Times New Roman"/>
          <w:szCs w:val="21"/>
        </w:rPr>
        <w:t>炉窑装备分类</w:t>
      </w:r>
      <w:r w:rsidRPr="00E7326A">
        <w:rPr>
          <w:rFonts w:ascii="Times New Roman" w:hAnsi="Times New Roman" w:cs="Times New Roman" w:hint="eastAsia"/>
          <w:szCs w:val="21"/>
        </w:rPr>
        <w:t>（可选）</w:t>
      </w:r>
    </w:p>
    <w:p w14:paraId="07D363C0" w14:textId="77777777" w:rsidR="003439F6" w:rsidRPr="00E7326A" w:rsidRDefault="00617D75">
      <w:pPr>
        <w:spacing w:line="288" w:lineRule="auto"/>
        <w:ind w:firstLineChars="200" w:firstLine="420"/>
        <w:jc w:val="left"/>
        <w:rPr>
          <w:rFonts w:ascii="Times New Roman" w:hAnsi="Times New Roman" w:cs="Times New Roman"/>
          <w:szCs w:val="21"/>
        </w:rPr>
      </w:pPr>
      <w:r w:rsidRPr="00E7326A">
        <w:rPr>
          <w:rFonts w:ascii="Times New Roman" w:hAnsi="Times New Roman" w:cs="Times New Roman"/>
          <w:szCs w:val="21"/>
        </w:rPr>
        <w:t>对于炉窑装备的不同类别分别制定评价指标时，宜对炉窑装备进行分类。</w:t>
      </w:r>
    </w:p>
    <w:p w14:paraId="53A67D1D" w14:textId="77777777" w:rsidR="003439F6" w:rsidRPr="00E7326A" w:rsidRDefault="00617D75">
      <w:pPr>
        <w:numPr>
          <w:ilvl w:val="0"/>
          <w:numId w:val="4"/>
        </w:numPr>
        <w:spacing w:line="288" w:lineRule="auto"/>
        <w:jc w:val="left"/>
        <w:rPr>
          <w:rFonts w:ascii="Times New Roman" w:hAnsi="Times New Roman" w:cs="Times New Roman"/>
          <w:szCs w:val="21"/>
        </w:rPr>
      </w:pPr>
      <w:r w:rsidRPr="00E7326A">
        <w:rPr>
          <w:rFonts w:ascii="Times New Roman" w:hAnsi="Times New Roman" w:cs="Times New Roman"/>
          <w:szCs w:val="21"/>
        </w:rPr>
        <w:t>评价指标要求，具体格式见</w:t>
      </w:r>
      <w:r w:rsidRPr="00E7326A">
        <w:rPr>
          <w:rFonts w:ascii="Times New Roman" w:hAnsi="Times New Roman" w:cs="Times New Roman" w:hint="eastAsia"/>
          <w:szCs w:val="21"/>
        </w:rPr>
        <w:t>附</w:t>
      </w:r>
      <w:r w:rsidRPr="00E7326A">
        <w:rPr>
          <w:rFonts w:ascii="Times New Roman" w:hAnsi="Times New Roman" w:cs="Times New Roman"/>
          <w:szCs w:val="21"/>
        </w:rPr>
        <w:t>表</w:t>
      </w:r>
      <w:r w:rsidRPr="00E7326A">
        <w:rPr>
          <w:rFonts w:ascii="Times New Roman" w:hAnsi="Times New Roman" w:cs="Times New Roman"/>
          <w:szCs w:val="21"/>
        </w:rPr>
        <w:t>A.1</w:t>
      </w:r>
      <w:r w:rsidRPr="00E7326A">
        <w:rPr>
          <w:rFonts w:ascii="Times New Roman" w:hAnsi="Times New Roman" w:cs="Times New Roman"/>
          <w:szCs w:val="21"/>
        </w:rPr>
        <w:t>。</w:t>
      </w:r>
    </w:p>
    <w:p w14:paraId="351A9C80" w14:textId="77777777" w:rsidR="003439F6" w:rsidRPr="00E7326A" w:rsidRDefault="00617D75">
      <w:pPr>
        <w:spacing w:line="288" w:lineRule="auto"/>
        <w:ind w:left="525" w:firstLineChars="1200" w:firstLine="2520"/>
        <w:rPr>
          <w:rFonts w:ascii="黑体" w:eastAsia="黑体" w:hAnsi="黑体" w:cs="Times New Roman"/>
          <w:szCs w:val="21"/>
        </w:rPr>
      </w:pPr>
      <w:r w:rsidRPr="00E7326A">
        <w:rPr>
          <w:rFonts w:ascii="黑体" w:eastAsia="黑体" w:hAnsi="黑体" w:cs="Times New Roman" w:hint="eastAsia"/>
          <w:szCs w:val="21"/>
        </w:rPr>
        <w:t>附表A.1  绿色炉窑装备评价指标</w:t>
      </w:r>
    </w:p>
    <w:tbl>
      <w:tblPr>
        <w:tblStyle w:val="ac"/>
        <w:tblW w:w="7313" w:type="dxa"/>
        <w:jc w:val="center"/>
        <w:tblLayout w:type="fixed"/>
        <w:tblLook w:val="04A0" w:firstRow="1" w:lastRow="0" w:firstColumn="1" w:lastColumn="0" w:noHBand="0" w:noVBand="1"/>
      </w:tblPr>
      <w:tblGrid>
        <w:gridCol w:w="1384"/>
        <w:gridCol w:w="2385"/>
        <w:gridCol w:w="992"/>
        <w:gridCol w:w="1276"/>
        <w:gridCol w:w="1276"/>
      </w:tblGrid>
      <w:tr w:rsidR="00E7326A" w:rsidRPr="00E7326A" w14:paraId="5707E0D4" w14:textId="77777777">
        <w:trPr>
          <w:jc w:val="center"/>
        </w:trPr>
        <w:tc>
          <w:tcPr>
            <w:tcW w:w="1384" w:type="dxa"/>
          </w:tcPr>
          <w:p w14:paraId="58F2A19B"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一级指标</w:t>
            </w:r>
          </w:p>
        </w:tc>
        <w:tc>
          <w:tcPr>
            <w:tcW w:w="2385" w:type="dxa"/>
          </w:tcPr>
          <w:p w14:paraId="6F2E9F9B"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二级指标</w:t>
            </w:r>
          </w:p>
        </w:tc>
        <w:tc>
          <w:tcPr>
            <w:tcW w:w="992" w:type="dxa"/>
          </w:tcPr>
          <w:p w14:paraId="6AADF784"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单位</w:t>
            </w:r>
          </w:p>
        </w:tc>
        <w:tc>
          <w:tcPr>
            <w:tcW w:w="1276" w:type="dxa"/>
          </w:tcPr>
          <w:p w14:paraId="2EFD66AF"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基准值</w:t>
            </w:r>
            <w:r w:rsidRPr="00E7326A">
              <w:rPr>
                <w:rFonts w:asciiTheme="minorEastAsia" w:hAnsiTheme="minorEastAsia" w:cs="Times New Roman"/>
                <w:sz w:val="18"/>
                <w:szCs w:val="18"/>
              </w:rPr>
              <w:t>*</w:t>
            </w:r>
          </w:p>
        </w:tc>
        <w:tc>
          <w:tcPr>
            <w:tcW w:w="1276" w:type="dxa"/>
          </w:tcPr>
          <w:p w14:paraId="4A591859"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判定依据</w:t>
            </w:r>
          </w:p>
        </w:tc>
      </w:tr>
      <w:tr w:rsidR="00E7326A" w:rsidRPr="00E7326A" w14:paraId="2926E568" w14:textId="77777777">
        <w:trPr>
          <w:jc w:val="center"/>
        </w:trPr>
        <w:tc>
          <w:tcPr>
            <w:tcW w:w="1384" w:type="dxa"/>
            <w:vMerge w:val="restart"/>
            <w:vAlign w:val="center"/>
          </w:tcPr>
          <w:p w14:paraId="6448FE54" w14:textId="77777777" w:rsidR="003439F6" w:rsidRPr="00E7326A" w:rsidRDefault="00617D75">
            <w:pPr>
              <w:spacing w:line="288" w:lineRule="auto"/>
              <w:jc w:val="center"/>
              <w:rPr>
                <w:rFonts w:asciiTheme="minorEastAsia" w:hAnsiTheme="minorEastAsia" w:cs="Times New Roman"/>
                <w:bCs/>
                <w:sz w:val="18"/>
                <w:szCs w:val="18"/>
              </w:rPr>
            </w:pPr>
            <w:r w:rsidRPr="00E7326A">
              <w:rPr>
                <w:rFonts w:asciiTheme="minorEastAsia" w:hAnsiTheme="minorEastAsia" w:cs="Times New Roman" w:hint="eastAsia"/>
                <w:sz w:val="18"/>
                <w:szCs w:val="18"/>
              </w:rPr>
              <w:t>资源属性</w:t>
            </w:r>
          </w:p>
        </w:tc>
        <w:tc>
          <w:tcPr>
            <w:tcW w:w="2385" w:type="dxa"/>
          </w:tcPr>
          <w:p w14:paraId="5F51CA22" w14:textId="77777777" w:rsidR="003439F6" w:rsidRPr="00E7326A" w:rsidRDefault="00617D75">
            <w:pPr>
              <w:spacing w:line="288" w:lineRule="auto"/>
              <w:jc w:val="center"/>
              <w:rPr>
                <w:rFonts w:asciiTheme="minorEastAsia" w:hAnsiTheme="minorEastAsia" w:cs="Times New Roman"/>
                <w:bCs/>
                <w:sz w:val="18"/>
                <w:szCs w:val="18"/>
              </w:rPr>
            </w:pPr>
            <w:r w:rsidRPr="00E7326A">
              <w:rPr>
                <w:rFonts w:asciiTheme="minorEastAsia" w:hAnsiTheme="minorEastAsia" w:cs="Times New Roman" w:hint="eastAsia"/>
                <w:bCs/>
                <w:sz w:val="18"/>
                <w:szCs w:val="18"/>
              </w:rPr>
              <w:t>非能源原料消耗类指标</w:t>
            </w:r>
          </w:p>
        </w:tc>
        <w:tc>
          <w:tcPr>
            <w:tcW w:w="992" w:type="dxa"/>
          </w:tcPr>
          <w:p w14:paraId="5FC47096"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0E201C76"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00F098E9"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00528C2E" w14:textId="77777777">
        <w:trPr>
          <w:jc w:val="center"/>
        </w:trPr>
        <w:tc>
          <w:tcPr>
            <w:tcW w:w="1384" w:type="dxa"/>
            <w:vMerge/>
            <w:vAlign w:val="center"/>
          </w:tcPr>
          <w:p w14:paraId="543B9A8D" w14:textId="77777777" w:rsidR="003439F6" w:rsidRPr="00E7326A" w:rsidRDefault="003439F6">
            <w:pPr>
              <w:spacing w:line="288" w:lineRule="auto"/>
              <w:jc w:val="center"/>
              <w:rPr>
                <w:rFonts w:asciiTheme="minorEastAsia" w:hAnsiTheme="minorEastAsia" w:cs="Times New Roman"/>
                <w:bCs/>
                <w:sz w:val="18"/>
                <w:szCs w:val="18"/>
              </w:rPr>
            </w:pPr>
          </w:p>
        </w:tc>
        <w:tc>
          <w:tcPr>
            <w:tcW w:w="2385" w:type="dxa"/>
          </w:tcPr>
          <w:p w14:paraId="0DA4FB6A" w14:textId="77777777" w:rsidR="003439F6" w:rsidRPr="00E7326A" w:rsidRDefault="00617D75">
            <w:pPr>
              <w:spacing w:line="288" w:lineRule="auto"/>
              <w:jc w:val="center"/>
              <w:rPr>
                <w:rFonts w:asciiTheme="minorEastAsia" w:hAnsiTheme="minorEastAsia" w:cs="Times New Roman"/>
                <w:bCs/>
                <w:sz w:val="18"/>
                <w:szCs w:val="18"/>
              </w:rPr>
            </w:pPr>
            <w:r w:rsidRPr="00E7326A">
              <w:rPr>
                <w:rFonts w:asciiTheme="minorEastAsia" w:hAnsiTheme="minorEastAsia" w:cs="Times New Roman" w:hint="eastAsia"/>
                <w:bCs/>
                <w:sz w:val="18"/>
                <w:szCs w:val="18"/>
              </w:rPr>
              <w:t>排放物回收类指标</w:t>
            </w:r>
          </w:p>
        </w:tc>
        <w:tc>
          <w:tcPr>
            <w:tcW w:w="992" w:type="dxa"/>
          </w:tcPr>
          <w:p w14:paraId="0D4DC7C2"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7BF5246E"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068390B1"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399E12A6" w14:textId="77777777">
        <w:trPr>
          <w:jc w:val="center"/>
        </w:trPr>
        <w:tc>
          <w:tcPr>
            <w:tcW w:w="1384" w:type="dxa"/>
            <w:vMerge w:val="restart"/>
            <w:vAlign w:val="center"/>
          </w:tcPr>
          <w:p w14:paraId="79D864D3"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能源属性</w:t>
            </w:r>
          </w:p>
        </w:tc>
        <w:tc>
          <w:tcPr>
            <w:tcW w:w="2385" w:type="dxa"/>
          </w:tcPr>
          <w:p w14:paraId="7DA0E19F" w14:textId="77777777" w:rsidR="003439F6" w:rsidRPr="00E7326A" w:rsidRDefault="00617D75">
            <w:pPr>
              <w:spacing w:line="288" w:lineRule="auto"/>
              <w:jc w:val="center"/>
              <w:rPr>
                <w:rFonts w:asciiTheme="minorEastAsia" w:hAnsiTheme="minorEastAsia" w:cs="Times New Roman"/>
                <w:bCs/>
                <w:sz w:val="18"/>
                <w:szCs w:val="18"/>
              </w:rPr>
            </w:pPr>
            <w:r w:rsidRPr="00E7326A">
              <w:rPr>
                <w:rFonts w:asciiTheme="minorEastAsia" w:hAnsiTheme="minorEastAsia" w:cs="Times New Roman" w:hint="eastAsia"/>
                <w:bCs/>
                <w:sz w:val="18"/>
                <w:szCs w:val="18"/>
              </w:rPr>
              <w:t>能源消耗类指标</w:t>
            </w:r>
          </w:p>
        </w:tc>
        <w:tc>
          <w:tcPr>
            <w:tcW w:w="992" w:type="dxa"/>
          </w:tcPr>
          <w:p w14:paraId="1FFC7970"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33CB8E16"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2316B803"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06F728AF" w14:textId="77777777">
        <w:trPr>
          <w:jc w:val="center"/>
        </w:trPr>
        <w:tc>
          <w:tcPr>
            <w:tcW w:w="1384" w:type="dxa"/>
            <w:vMerge/>
            <w:vAlign w:val="center"/>
          </w:tcPr>
          <w:p w14:paraId="003E2FB1" w14:textId="77777777" w:rsidR="003439F6" w:rsidRPr="00E7326A" w:rsidRDefault="003439F6">
            <w:pPr>
              <w:spacing w:line="288" w:lineRule="auto"/>
              <w:jc w:val="center"/>
              <w:rPr>
                <w:rFonts w:asciiTheme="minorEastAsia" w:hAnsiTheme="minorEastAsia" w:cs="Times New Roman"/>
                <w:sz w:val="18"/>
                <w:szCs w:val="18"/>
              </w:rPr>
            </w:pPr>
          </w:p>
        </w:tc>
        <w:tc>
          <w:tcPr>
            <w:tcW w:w="2385" w:type="dxa"/>
          </w:tcPr>
          <w:p w14:paraId="6CB8546B" w14:textId="77777777" w:rsidR="003439F6" w:rsidRPr="00E7326A" w:rsidRDefault="00617D75">
            <w:pPr>
              <w:spacing w:line="288" w:lineRule="auto"/>
              <w:jc w:val="center"/>
              <w:rPr>
                <w:rFonts w:asciiTheme="minorEastAsia" w:hAnsiTheme="minorEastAsia" w:cs="Times New Roman"/>
                <w:bCs/>
                <w:sz w:val="18"/>
                <w:szCs w:val="18"/>
              </w:rPr>
            </w:pPr>
            <w:r w:rsidRPr="00E7326A">
              <w:rPr>
                <w:rFonts w:asciiTheme="minorEastAsia" w:hAnsiTheme="minorEastAsia" w:cs="Times New Roman" w:hint="eastAsia"/>
                <w:bCs/>
                <w:sz w:val="18"/>
                <w:szCs w:val="18"/>
              </w:rPr>
              <w:t>能源效率类指标</w:t>
            </w:r>
          </w:p>
        </w:tc>
        <w:tc>
          <w:tcPr>
            <w:tcW w:w="992" w:type="dxa"/>
          </w:tcPr>
          <w:p w14:paraId="768B72C6"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5EBEFF5A"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60570F69"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6B752A30" w14:textId="77777777">
        <w:trPr>
          <w:jc w:val="center"/>
        </w:trPr>
        <w:tc>
          <w:tcPr>
            <w:tcW w:w="1384" w:type="dxa"/>
            <w:vMerge w:val="restart"/>
            <w:vAlign w:val="center"/>
          </w:tcPr>
          <w:p w14:paraId="52E06683"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环境属性</w:t>
            </w:r>
          </w:p>
        </w:tc>
        <w:tc>
          <w:tcPr>
            <w:tcW w:w="2385" w:type="dxa"/>
          </w:tcPr>
          <w:p w14:paraId="05C99E7D"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颗粒物排放浓度</w:t>
            </w:r>
          </w:p>
        </w:tc>
        <w:tc>
          <w:tcPr>
            <w:tcW w:w="992" w:type="dxa"/>
          </w:tcPr>
          <w:p w14:paraId="22D1CE4B"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65E3E584"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72E8E3B9"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530D9D0C" w14:textId="77777777">
        <w:trPr>
          <w:jc w:val="center"/>
        </w:trPr>
        <w:tc>
          <w:tcPr>
            <w:tcW w:w="1384" w:type="dxa"/>
            <w:vMerge/>
            <w:vAlign w:val="center"/>
          </w:tcPr>
          <w:p w14:paraId="08E0688E" w14:textId="77777777" w:rsidR="003439F6" w:rsidRPr="00E7326A" w:rsidRDefault="003439F6">
            <w:pPr>
              <w:spacing w:line="288" w:lineRule="auto"/>
              <w:jc w:val="center"/>
              <w:rPr>
                <w:rFonts w:asciiTheme="minorEastAsia" w:hAnsiTheme="minorEastAsia" w:cs="Times New Roman"/>
                <w:sz w:val="18"/>
                <w:szCs w:val="18"/>
              </w:rPr>
            </w:pPr>
          </w:p>
        </w:tc>
        <w:tc>
          <w:tcPr>
            <w:tcW w:w="2385" w:type="dxa"/>
          </w:tcPr>
          <w:p w14:paraId="2417BF78"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二氧化硫排放浓度</w:t>
            </w:r>
          </w:p>
        </w:tc>
        <w:tc>
          <w:tcPr>
            <w:tcW w:w="992" w:type="dxa"/>
          </w:tcPr>
          <w:p w14:paraId="3E1914B1"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633BA9AF"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02E9812F"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134C1264" w14:textId="77777777">
        <w:trPr>
          <w:jc w:val="center"/>
        </w:trPr>
        <w:tc>
          <w:tcPr>
            <w:tcW w:w="1384" w:type="dxa"/>
            <w:vMerge/>
            <w:vAlign w:val="center"/>
          </w:tcPr>
          <w:p w14:paraId="4C4EBF4F" w14:textId="77777777" w:rsidR="003439F6" w:rsidRPr="00E7326A" w:rsidRDefault="003439F6">
            <w:pPr>
              <w:spacing w:line="288" w:lineRule="auto"/>
              <w:jc w:val="center"/>
              <w:rPr>
                <w:rFonts w:asciiTheme="minorEastAsia" w:hAnsiTheme="minorEastAsia" w:cs="Times New Roman"/>
                <w:sz w:val="18"/>
                <w:szCs w:val="18"/>
              </w:rPr>
            </w:pPr>
          </w:p>
        </w:tc>
        <w:tc>
          <w:tcPr>
            <w:tcW w:w="2385" w:type="dxa"/>
          </w:tcPr>
          <w:p w14:paraId="040E2467"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氮氧化物排放浓度</w:t>
            </w:r>
          </w:p>
        </w:tc>
        <w:tc>
          <w:tcPr>
            <w:tcW w:w="992" w:type="dxa"/>
          </w:tcPr>
          <w:p w14:paraId="2D9729B5"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1B27D7A1"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6287EAEB"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170686D3" w14:textId="77777777">
        <w:trPr>
          <w:jc w:val="center"/>
        </w:trPr>
        <w:tc>
          <w:tcPr>
            <w:tcW w:w="1384" w:type="dxa"/>
            <w:vMerge/>
            <w:vAlign w:val="center"/>
          </w:tcPr>
          <w:p w14:paraId="686A31B6" w14:textId="77777777" w:rsidR="003439F6" w:rsidRPr="00E7326A" w:rsidRDefault="003439F6">
            <w:pPr>
              <w:spacing w:line="288" w:lineRule="auto"/>
              <w:jc w:val="center"/>
              <w:rPr>
                <w:rFonts w:asciiTheme="minorEastAsia" w:hAnsiTheme="minorEastAsia" w:cs="Times New Roman"/>
                <w:sz w:val="18"/>
                <w:szCs w:val="18"/>
              </w:rPr>
            </w:pPr>
          </w:p>
        </w:tc>
        <w:tc>
          <w:tcPr>
            <w:tcW w:w="2385" w:type="dxa"/>
          </w:tcPr>
          <w:p w14:paraId="4D01F379"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噪声等其他指标</w:t>
            </w:r>
          </w:p>
        </w:tc>
        <w:tc>
          <w:tcPr>
            <w:tcW w:w="992" w:type="dxa"/>
          </w:tcPr>
          <w:p w14:paraId="5EE6596C"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460176BA"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41348607" w14:textId="77777777" w:rsidR="003439F6" w:rsidRPr="00E7326A" w:rsidRDefault="003439F6">
            <w:pPr>
              <w:spacing w:line="288" w:lineRule="auto"/>
              <w:jc w:val="center"/>
              <w:rPr>
                <w:rFonts w:asciiTheme="minorEastAsia" w:hAnsiTheme="minorEastAsia" w:cs="Times New Roman"/>
                <w:bCs/>
                <w:sz w:val="18"/>
                <w:szCs w:val="18"/>
              </w:rPr>
            </w:pPr>
          </w:p>
        </w:tc>
      </w:tr>
      <w:tr w:rsidR="00E7326A" w:rsidRPr="00E7326A" w14:paraId="5B8E939E" w14:textId="77777777">
        <w:trPr>
          <w:jc w:val="center"/>
        </w:trPr>
        <w:tc>
          <w:tcPr>
            <w:tcW w:w="1384" w:type="dxa"/>
            <w:vAlign w:val="center"/>
          </w:tcPr>
          <w:p w14:paraId="706EFCAE" w14:textId="77777777" w:rsidR="003439F6" w:rsidRPr="00E7326A" w:rsidRDefault="00617D75">
            <w:pPr>
              <w:spacing w:line="288" w:lineRule="auto"/>
              <w:jc w:val="center"/>
              <w:rPr>
                <w:rFonts w:asciiTheme="minorEastAsia" w:hAnsiTheme="minorEastAsia" w:cs="Times New Roman"/>
                <w:sz w:val="18"/>
                <w:szCs w:val="18"/>
              </w:rPr>
            </w:pPr>
            <w:r w:rsidRPr="00E7326A">
              <w:rPr>
                <w:rFonts w:asciiTheme="minorEastAsia" w:hAnsiTheme="minorEastAsia" w:cs="Times New Roman" w:hint="eastAsia"/>
                <w:sz w:val="18"/>
                <w:szCs w:val="18"/>
              </w:rPr>
              <w:t>品质属性</w:t>
            </w:r>
          </w:p>
        </w:tc>
        <w:tc>
          <w:tcPr>
            <w:tcW w:w="2385" w:type="dxa"/>
          </w:tcPr>
          <w:p w14:paraId="6CE0899B" w14:textId="77777777" w:rsidR="003439F6" w:rsidRPr="00E7326A" w:rsidRDefault="00617D75">
            <w:pPr>
              <w:spacing w:line="288" w:lineRule="auto"/>
              <w:jc w:val="center"/>
              <w:rPr>
                <w:rFonts w:asciiTheme="minorEastAsia" w:hAnsiTheme="minorEastAsia" w:cs="Times New Roman"/>
                <w:bCs/>
                <w:sz w:val="18"/>
                <w:szCs w:val="18"/>
              </w:rPr>
            </w:pPr>
            <w:r w:rsidRPr="00E7326A">
              <w:rPr>
                <w:rFonts w:asciiTheme="minorEastAsia" w:hAnsiTheme="minorEastAsia" w:cs="Times New Roman" w:hint="eastAsia"/>
                <w:bCs/>
                <w:sz w:val="18"/>
                <w:szCs w:val="18"/>
              </w:rPr>
              <w:t>产品品质类指标</w:t>
            </w:r>
          </w:p>
        </w:tc>
        <w:tc>
          <w:tcPr>
            <w:tcW w:w="992" w:type="dxa"/>
          </w:tcPr>
          <w:p w14:paraId="7D0BFCCF"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4FEE9AFE" w14:textId="77777777" w:rsidR="003439F6" w:rsidRPr="00E7326A" w:rsidRDefault="003439F6">
            <w:pPr>
              <w:spacing w:line="288" w:lineRule="auto"/>
              <w:jc w:val="center"/>
              <w:rPr>
                <w:rFonts w:asciiTheme="minorEastAsia" w:hAnsiTheme="minorEastAsia" w:cs="Times New Roman"/>
                <w:bCs/>
                <w:sz w:val="18"/>
                <w:szCs w:val="18"/>
              </w:rPr>
            </w:pPr>
          </w:p>
        </w:tc>
        <w:tc>
          <w:tcPr>
            <w:tcW w:w="1276" w:type="dxa"/>
          </w:tcPr>
          <w:p w14:paraId="0FBCDD9D" w14:textId="77777777" w:rsidR="003439F6" w:rsidRPr="00E7326A" w:rsidRDefault="003439F6">
            <w:pPr>
              <w:spacing w:line="288" w:lineRule="auto"/>
              <w:jc w:val="center"/>
              <w:rPr>
                <w:rFonts w:asciiTheme="minorEastAsia" w:hAnsiTheme="minorEastAsia" w:cs="Times New Roman"/>
                <w:bCs/>
                <w:sz w:val="18"/>
                <w:szCs w:val="18"/>
              </w:rPr>
            </w:pPr>
          </w:p>
        </w:tc>
      </w:tr>
    </w:tbl>
    <w:p w14:paraId="07C20E76" w14:textId="77777777" w:rsidR="003439F6" w:rsidRPr="00E7326A" w:rsidRDefault="00617D75">
      <w:pPr>
        <w:spacing w:line="288" w:lineRule="auto"/>
        <w:rPr>
          <w:rFonts w:ascii="Times New Roman" w:hAnsi="Times New Roman" w:cs="Times New Roman"/>
          <w:bCs/>
          <w:sz w:val="18"/>
          <w:szCs w:val="18"/>
        </w:rPr>
      </w:pPr>
      <w:r w:rsidRPr="00E7326A">
        <w:rPr>
          <w:rFonts w:ascii="Times New Roman" w:hAnsi="Times New Roman" w:cs="Times New Roman" w:hint="eastAsia"/>
          <w:bCs/>
          <w:sz w:val="18"/>
          <w:szCs w:val="18"/>
        </w:rPr>
        <w:t>*</w:t>
      </w:r>
      <w:r w:rsidRPr="00E7326A">
        <w:rPr>
          <w:rFonts w:ascii="Times New Roman" w:hAnsi="Times New Roman" w:cs="Times New Roman" w:hint="eastAsia"/>
          <w:bCs/>
          <w:sz w:val="18"/>
          <w:szCs w:val="18"/>
        </w:rPr>
        <w:t>基准值可通过下列顺序确定：</w:t>
      </w:r>
      <w:r w:rsidRPr="00E7326A">
        <w:rPr>
          <w:rFonts w:ascii="Times New Roman" w:hAnsi="Times New Roman" w:cs="Times New Roman" w:hint="eastAsia"/>
          <w:bCs/>
          <w:sz w:val="18"/>
          <w:szCs w:val="18"/>
        </w:rPr>
        <w:t>1</w:t>
      </w:r>
      <w:r w:rsidRPr="00E7326A">
        <w:rPr>
          <w:rFonts w:ascii="Times New Roman" w:hAnsi="Times New Roman" w:cs="Times New Roman" w:hint="eastAsia"/>
          <w:bCs/>
          <w:sz w:val="18"/>
          <w:szCs w:val="18"/>
        </w:rPr>
        <w:t>）国家标准先进值；</w:t>
      </w:r>
      <w:r w:rsidRPr="00E7326A">
        <w:rPr>
          <w:rFonts w:ascii="Times New Roman" w:hAnsi="Times New Roman" w:cs="Times New Roman" w:hint="eastAsia"/>
          <w:bCs/>
          <w:sz w:val="18"/>
          <w:szCs w:val="18"/>
        </w:rPr>
        <w:t>2</w:t>
      </w:r>
      <w:r w:rsidRPr="00E7326A">
        <w:rPr>
          <w:rFonts w:ascii="Times New Roman" w:hAnsi="Times New Roman" w:cs="Times New Roman" w:hint="eastAsia"/>
          <w:bCs/>
          <w:sz w:val="18"/>
          <w:szCs w:val="18"/>
        </w:rPr>
        <w:t>）行业企业前</w:t>
      </w:r>
      <w:r w:rsidRPr="00E7326A">
        <w:rPr>
          <w:rFonts w:ascii="Times New Roman" w:hAnsi="Times New Roman" w:cs="Times New Roman" w:hint="eastAsia"/>
          <w:bCs/>
          <w:sz w:val="18"/>
          <w:szCs w:val="18"/>
        </w:rPr>
        <w:t>25%</w:t>
      </w:r>
      <w:r w:rsidRPr="00E7326A">
        <w:rPr>
          <w:rFonts w:ascii="Times New Roman" w:hAnsi="Times New Roman" w:cs="Times New Roman" w:hint="eastAsia"/>
          <w:bCs/>
          <w:sz w:val="18"/>
          <w:szCs w:val="18"/>
        </w:rPr>
        <w:t>的值；</w:t>
      </w:r>
      <w:r w:rsidRPr="00E7326A">
        <w:rPr>
          <w:rFonts w:ascii="Times New Roman" w:hAnsi="Times New Roman" w:cs="Times New Roman" w:hint="eastAsia"/>
          <w:bCs/>
          <w:sz w:val="18"/>
          <w:szCs w:val="18"/>
        </w:rPr>
        <w:t>3</w:t>
      </w:r>
      <w:r w:rsidRPr="00E7326A">
        <w:rPr>
          <w:rFonts w:ascii="Times New Roman" w:hAnsi="Times New Roman" w:cs="Times New Roman" w:hint="eastAsia"/>
          <w:bCs/>
          <w:sz w:val="18"/>
          <w:szCs w:val="18"/>
        </w:rPr>
        <w:t>）标杆企业相关指标。</w:t>
      </w:r>
    </w:p>
    <w:p w14:paraId="3AB17439" w14:textId="77777777" w:rsidR="003439F6" w:rsidRPr="00E7326A" w:rsidRDefault="00617D75">
      <w:pPr>
        <w:pStyle w:val="a0"/>
        <w:spacing w:line="288" w:lineRule="auto"/>
        <w:ind w:left="833" w:hanging="833"/>
        <w:rPr>
          <w:rFonts w:ascii="Times New Roman"/>
        </w:rPr>
      </w:pPr>
      <w:r w:rsidRPr="00E7326A">
        <w:rPr>
          <w:rFonts w:ascii="Times New Roman" w:hint="eastAsia"/>
          <w:szCs w:val="21"/>
        </w:rPr>
        <w:t>测试</w:t>
      </w:r>
      <w:r w:rsidRPr="00E7326A">
        <w:rPr>
          <w:rFonts w:ascii="Times New Roman"/>
          <w:szCs w:val="21"/>
        </w:rPr>
        <w:t>方法和指标计算方法（宜放在附录中）</w:t>
      </w:r>
    </w:p>
    <w:p w14:paraId="44C480C1" w14:textId="77777777" w:rsidR="003439F6" w:rsidRPr="00E7326A" w:rsidRDefault="00617D75">
      <w:pPr>
        <w:pStyle w:val="a0"/>
        <w:spacing w:line="288" w:lineRule="auto"/>
        <w:ind w:left="833" w:hanging="833"/>
        <w:rPr>
          <w:rFonts w:ascii="Times New Roman"/>
        </w:rPr>
      </w:pPr>
      <w:r w:rsidRPr="00E7326A">
        <w:rPr>
          <w:rFonts w:ascii="Times New Roman"/>
        </w:rPr>
        <w:t>评价</w:t>
      </w:r>
    </w:p>
    <w:p w14:paraId="418C41FB" w14:textId="77777777" w:rsidR="003439F6" w:rsidRPr="00E7326A" w:rsidRDefault="003439F6">
      <w:pPr>
        <w:pStyle w:val="a0"/>
        <w:numPr>
          <w:ilvl w:val="0"/>
          <w:numId w:val="0"/>
        </w:numPr>
        <w:spacing w:line="288" w:lineRule="auto"/>
        <w:ind w:left="3244" w:hanging="408"/>
        <w:rPr>
          <w:rFonts w:ascii="Times New Roman"/>
        </w:rPr>
      </w:pPr>
    </w:p>
    <w:p w14:paraId="3CCC1A2B" w14:textId="77777777" w:rsidR="003439F6" w:rsidRPr="00E7326A" w:rsidRDefault="003439F6">
      <w:pPr>
        <w:pStyle w:val="a0"/>
        <w:numPr>
          <w:ilvl w:val="0"/>
          <w:numId w:val="0"/>
        </w:numPr>
        <w:spacing w:line="288" w:lineRule="auto"/>
        <w:ind w:left="3244" w:hanging="408"/>
        <w:rPr>
          <w:rFonts w:ascii="Times New Roman"/>
        </w:rPr>
      </w:pPr>
    </w:p>
    <w:p w14:paraId="7D14B13E" w14:textId="77777777" w:rsidR="003439F6" w:rsidRPr="00E7326A" w:rsidRDefault="00617D75">
      <w:pPr>
        <w:widowControl/>
        <w:tabs>
          <w:tab w:val="center" w:pos="4201"/>
          <w:tab w:val="right" w:leader="dot" w:pos="9298"/>
        </w:tabs>
        <w:autoSpaceDE w:val="0"/>
        <w:autoSpaceDN w:val="0"/>
        <w:spacing w:line="360" w:lineRule="auto"/>
        <w:ind w:firstLineChars="200" w:firstLine="420"/>
        <w:rPr>
          <w:b/>
          <w:kern w:val="0"/>
          <w:sz w:val="24"/>
        </w:rPr>
      </w:pPr>
      <w:r w:rsidRPr="00E7326A">
        <w:rPr>
          <w:noProof/>
        </w:rPr>
        <mc:AlternateContent>
          <mc:Choice Requires="wps">
            <w:drawing>
              <wp:anchor distT="0" distB="0" distL="114300" distR="114300" simplePos="0" relativeHeight="251661312" behindDoc="0" locked="0" layoutInCell="1" allowOverlap="1" wp14:anchorId="37E5EABF" wp14:editId="0A6B62BA">
                <wp:simplePos x="0" y="0"/>
                <wp:positionH relativeFrom="column">
                  <wp:posOffset>956310</wp:posOffset>
                </wp:positionH>
                <wp:positionV relativeFrom="paragraph">
                  <wp:posOffset>180340</wp:posOffset>
                </wp:positionV>
                <wp:extent cx="3105150" cy="635"/>
                <wp:effectExtent l="13335" t="8890" r="571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635"/>
                        </a:xfrm>
                        <a:prstGeom prst="line">
                          <a:avLst/>
                        </a:prstGeom>
                        <a:noFill/>
                        <a:ln w="9525">
                          <a:solidFill>
                            <a:srgbClr val="000000"/>
                          </a:solidFill>
                          <a:round/>
                        </a:ln>
                      </wps:spPr>
                      <wps:bodyPr/>
                    </wps:wsp>
                  </a:graphicData>
                </a:graphic>
              </wp:anchor>
            </w:drawing>
          </mc:Choice>
          <mc:Fallback>
            <w:pict>
              <v:line w14:anchorId="6A7D55EB"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3pt,14.2pt" to="319.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"/>
            </w:pict>
          </mc:Fallback>
        </mc:AlternateContent>
      </w:r>
    </w:p>
    <w:p w14:paraId="1DE09E9F" w14:textId="77777777" w:rsidR="003439F6" w:rsidRPr="00E7326A" w:rsidRDefault="003439F6">
      <w:pPr>
        <w:pStyle w:val="a0"/>
        <w:numPr>
          <w:ilvl w:val="0"/>
          <w:numId w:val="0"/>
        </w:numPr>
        <w:spacing w:line="288" w:lineRule="auto"/>
        <w:ind w:left="3244" w:hanging="408"/>
        <w:rPr>
          <w:rFonts w:ascii="Times New Roman"/>
        </w:rPr>
      </w:pPr>
    </w:p>
    <w:sectPr w:rsidR="003439F6" w:rsidRPr="00E7326A">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B63C4" w14:textId="77777777" w:rsidR="00D8001C" w:rsidRDefault="00D8001C">
      <w:r>
        <w:separator/>
      </w:r>
    </w:p>
  </w:endnote>
  <w:endnote w:type="continuationSeparator" w:id="0">
    <w:p w14:paraId="3EF77297" w14:textId="77777777" w:rsidR="00D8001C" w:rsidRDefault="00D8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黑体"/>
    <w:charset w:val="86"/>
    <w:family w:val="script"/>
    <w:pitch w:val="fixed"/>
    <w:sig w:usb0="00000000"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679A6" w14:textId="77777777" w:rsidR="00680AAD" w:rsidRDefault="00680AAD">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60B9" w14:textId="77777777" w:rsidR="003439F6" w:rsidRDefault="003439F6">
    <w:pPr>
      <w:tabs>
        <w:tab w:val="center" w:pos="4153"/>
        <w:tab w:val="right" w:pos="8306"/>
      </w:tabs>
      <w:snapToGrid w:val="0"/>
      <w:jc w:val="center"/>
      <w:rPr>
        <w:rFonts w:ascii="Calibri" w:eastAsia="宋体" w:hAnsi="Calibri" w:cs="Times New Roman"/>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D576B" w14:textId="77777777" w:rsidR="00680AAD" w:rsidRDefault="00680AAD">
    <w:pPr>
      <w:pStyle w:val="a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6222" w14:textId="77777777" w:rsidR="003439F6" w:rsidRDefault="00617D75">
    <w:pPr>
      <w:tabs>
        <w:tab w:val="center" w:pos="4153"/>
        <w:tab w:val="right" w:pos="8306"/>
      </w:tabs>
      <w:snapToGrid w:val="0"/>
      <w:jc w:val="center"/>
      <w:rPr>
        <w:rFonts w:ascii="Calibri" w:eastAsia="宋体" w:hAnsi="Calibri" w:cs="Times New Roman"/>
        <w:sz w:val="18"/>
      </w:rPr>
    </w:pPr>
    <w:r>
      <w:rPr>
        <w:rFonts w:ascii="Calibri" w:eastAsia="宋体" w:hAnsi="Calibri" w:cs="Times New Roman"/>
        <w:noProof/>
        <w:sz w:val="18"/>
        <w:szCs w:val="20"/>
      </w:rPr>
      <mc:AlternateContent>
        <mc:Choice Requires="wps">
          <w:drawing>
            <wp:anchor distT="0" distB="0" distL="114300" distR="114300" simplePos="0" relativeHeight="251656704" behindDoc="0" locked="0" layoutInCell="1" allowOverlap="1" wp14:anchorId="013BC801" wp14:editId="6D74809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401E7" w14:textId="77777777" w:rsidR="003439F6" w:rsidRDefault="00617D75">
                          <w:pPr>
                            <w:tabs>
                              <w:tab w:val="center" w:pos="4153"/>
                              <w:tab w:val="right" w:pos="8306"/>
                            </w:tabs>
                            <w:snapToGrid w:val="0"/>
                            <w:jc w:val="left"/>
                            <w:rPr>
                              <w:rFonts w:ascii="Calibri" w:eastAsia="宋体" w:hAnsi="Calibri" w:cs="Times New Roman"/>
                              <w:sz w:val="18"/>
                              <w:szCs w:val="18"/>
                            </w:rPr>
                          </w:pPr>
                          <w:r>
                            <w:rPr>
                              <w:rFonts w:ascii="Calibri" w:eastAsia="宋体" w:hAnsi="Calibri" w:cs="Times New Roman" w:hint="eastAsia"/>
                              <w:sz w:val="18"/>
                              <w:szCs w:val="18"/>
                            </w:rPr>
                            <w:fldChar w:fldCharType="begin"/>
                          </w:r>
                          <w:r>
                            <w:rPr>
                              <w:rFonts w:ascii="Calibri" w:eastAsia="宋体" w:hAnsi="Calibri" w:cs="Times New Roman" w:hint="eastAsia"/>
                              <w:sz w:val="18"/>
                              <w:szCs w:val="18"/>
                            </w:rPr>
                            <w:instrText xml:space="preserve"> PAGE  \* MERGEFORMAT </w:instrText>
                          </w:r>
                          <w:r>
                            <w:rPr>
                              <w:rFonts w:ascii="Calibri" w:eastAsia="宋体" w:hAnsi="Calibri" w:cs="Times New Roman" w:hint="eastAsia"/>
                              <w:sz w:val="18"/>
                              <w:szCs w:val="18"/>
                            </w:rPr>
                            <w:fldChar w:fldCharType="separate"/>
                          </w:r>
                          <w:r>
                            <w:rPr>
                              <w:rFonts w:ascii="Calibri" w:eastAsia="宋体" w:hAnsi="Calibri" w:cs="Times New Roman" w:hint="eastAsia"/>
                              <w:sz w:val="18"/>
                              <w:szCs w:val="18"/>
                            </w:rPr>
                            <w:t>0</w:t>
                          </w:r>
                          <w:r>
                            <w:rPr>
                              <w:rFonts w:ascii="Calibri" w:eastAsia="宋体" w:hAnsi="Calibri" w:cs="Times New Roman"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3BC801"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jacx1kAgAAGAUAAA4AAAAAAAAAAAAAAAAALgIAAGRycy9lMm9Eb2Mu&#10;eG1sUEsBAi0AFAAGAAgAAAAhAHGq0bnXAAAABQEAAA8AAAAAAAAAAAAAAAAAvgQAAGRycy9kb3du&#10;cmV2LnhtbFBLBQYAAAAABAAEAPMAAADCBQAAAAA=&#10;" filled="f" stroked="f" strokeweight=".5pt">
              <v:textbox style="mso-fit-shape-to-text:t" inset="0,0,0,0">
                <w:txbxContent>
                  <w:p w14:paraId="7A1401E7" w14:textId="77777777" w:rsidR="003439F6" w:rsidRDefault="00617D75">
                    <w:pPr>
                      <w:tabs>
                        <w:tab w:val="center" w:pos="4153"/>
                        <w:tab w:val="right" w:pos="8306"/>
                      </w:tabs>
                      <w:snapToGrid w:val="0"/>
                      <w:jc w:val="left"/>
                      <w:rPr>
                        <w:rFonts w:ascii="Calibri" w:eastAsia="宋体" w:hAnsi="Calibri" w:cs="Times New Roman"/>
                        <w:sz w:val="18"/>
                        <w:szCs w:val="18"/>
                      </w:rPr>
                    </w:pPr>
                    <w:r>
                      <w:rPr>
                        <w:rFonts w:ascii="Calibri" w:eastAsia="宋体" w:hAnsi="Calibri" w:cs="Times New Roman" w:hint="eastAsia"/>
                        <w:sz w:val="18"/>
                        <w:szCs w:val="18"/>
                      </w:rPr>
                      <w:fldChar w:fldCharType="begin"/>
                    </w:r>
                    <w:r>
                      <w:rPr>
                        <w:rFonts w:ascii="Calibri" w:eastAsia="宋体" w:hAnsi="Calibri" w:cs="Times New Roman" w:hint="eastAsia"/>
                        <w:sz w:val="18"/>
                        <w:szCs w:val="18"/>
                      </w:rPr>
                      <w:instrText xml:space="preserve"> PAGE  \* MERGEFORMAT </w:instrText>
                    </w:r>
                    <w:r>
                      <w:rPr>
                        <w:rFonts w:ascii="Calibri" w:eastAsia="宋体" w:hAnsi="Calibri" w:cs="Times New Roman" w:hint="eastAsia"/>
                        <w:sz w:val="18"/>
                        <w:szCs w:val="18"/>
                      </w:rPr>
                      <w:fldChar w:fldCharType="separate"/>
                    </w:r>
                    <w:r>
                      <w:rPr>
                        <w:rFonts w:ascii="Calibri" w:eastAsia="宋体" w:hAnsi="Calibri" w:cs="Times New Roman" w:hint="eastAsia"/>
                        <w:sz w:val="18"/>
                        <w:szCs w:val="18"/>
                      </w:rPr>
                      <w:t>0</w:t>
                    </w:r>
                    <w:r>
                      <w:rPr>
                        <w:rFonts w:ascii="Calibri" w:eastAsia="宋体" w:hAnsi="Calibri" w:cs="Times New Roman" w:hint="eastAsia"/>
                        <w:sz w:val="18"/>
                        <w:szCs w:val="18"/>
                      </w:rPr>
                      <w:fldChar w:fldCharType="end"/>
                    </w:r>
                  </w:p>
                </w:txbxContent>
              </v:textbox>
              <w10:wrap anchorx="margin"/>
            </v:shape>
          </w:pict>
        </mc:Fallback>
      </mc:AlternateContent>
    </w:r>
    <w:r>
      <w:rPr>
        <w:rFonts w:ascii="Calibri" w:eastAsia="宋体" w:hAnsi="Calibri" w:cs="Times New Roman"/>
        <w:noProof/>
        <w:sz w:val="18"/>
        <w:szCs w:val="20"/>
      </w:rPr>
      <mc:AlternateContent>
        <mc:Choice Requires="wps">
          <w:drawing>
            <wp:anchor distT="0" distB="0" distL="114300" distR="114300" simplePos="0" relativeHeight="251655680" behindDoc="0" locked="0" layoutInCell="1" allowOverlap="1" wp14:anchorId="297508FB" wp14:editId="09E63D29">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D12DE" w14:textId="77777777" w:rsidR="003439F6" w:rsidRDefault="00617D75">
                          <w:pPr>
                            <w:rPr>
                              <w:rFonts w:ascii="Calibri" w:eastAsia="宋体" w:hAnsi="Calibri" w:cs="Times New Roman"/>
                              <w:sz w:val="20"/>
                              <w:szCs w:val="20"/>
                            </w:rPr>
                          </w:pPr>
                          <w:r>
                            <w:rPr>
                              <w:rFonts w:ascii="Calibri" w:eastAsia="宋体" w:hAnsi="Calibri" w:cs="Times New Roman" w:hint="eastAsia"/>
                              <w:sz w:val="20"/>
                              <w:szCs w:val="20"/>
                            </w:rPr>
                            <w:t>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97508FB" id="文本框 17" o:spid="_x0000_s1028"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bgJQjaAIAACEFAAAOAAAAAAAAAAAAAAAAAC4CAABkcnMvZTJv&#10;RG9jLnhtbFBLAQItABQABgAIAAAAIQBxqtG51wAAAAUBAAAPAAAAAAAAAAAAAAAAAMIEAABkcnMv&#10;ZG93bnJldi54bWxQSwUGAAAAAAQABADzAAAAxgUAAAAA&#10;" filled="f" stroked="f" strokeweight=".5pt">
              <v:textbox style="mso-fit-shape-to-text:t" inset="0,0,0,0">
                <w:txbxContent>
                  <w:p w14:paraId="6BED12DE" w14:textId="77777777" w:rsidR="003439F6" w:rsidRDefault="00617D75">
                    <w:pPr>
                      <w:rPr>
                        <w:rFonts w:ascii="Calibri" w:eastAsia="宋体" w:hAnsi="Calibri" w:cs="Times New Roman"/>
                        <w:sz w:val="20"/>
                        <w:szCs w:val="20"/>
                      </w:rPr>
                    </w:pPr>
                    <w:r>
                      <w:rPr>
                        <w:rFonts w:ascii="Calibri" w:eastAsia="宋体" w:hAnsi="Calibri" w:cs="Times New Roman" w:hint="eastAsia"/>
                        <w:sz w:val="20"/>
                        <w:szCs w:val="20"/>
                      </w:rPr>
                      <w:t>2</w:t>
                    </w:r>
                  </w:p>
                </w:txbxContent>
              </v:textbox>
              <w10:wrap anchorx="margin"/>
            </v:shape>
          </w:pict>
        </mc:Fallback>
      </mc:AlternateContent>
    </w:r>
    <w:r>
      <w:rPr>
        <w:rFonts w:ascii="Calibri" w:eastAsia="宋体" w:hAnsi="Calibri" w:cs="Times New Roman" w:hint="eastAsia"/>
        <w:sz w:val="18"/>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F42A" w14:textId="77777777" w:rsidR="003439F6" w:rsidRDefault="00617D75">
    <w:pPr>
      <w:tabs>
        <w:tab w:val="center" w:pos="4153"/>
        <w:tab w:val="right" w:pos="8306"/>
      </w:tabs>
      <w:snapToGrid w:val="0"/>
      <w:rPr>
        <w:rFonts w:ascii="Times New Roman" w:eastAsia="宋体" w:hAnsi="Times New Roman" w:cs="Times New Roman"/>
        <w:sz w:val="18"/>
        <w:szCs w:val="18"/>
        <w:lang w:val="zh-CN"/>
      </w:rPr>
    </w:pPr>
    <w:r>
      <w:rPr>
        <w:rFonts w:ascii="Calibri" w:eastAsia="宋体" w:hAnsi="Calibri" w:cs="Times New Roman"/>
        <w:noProof/>
        <w:sz w:val="18"/>
        <w:szCs w:val="20"/>
      </w:rPr>
      <mc:AlternateContent>
        <mc:Choice Requires="wps">
          <w:drawing>
            <wp:anchor distT="0" distB="0" distL="114300" distR="114300" simplePos="0" relativeHeight="251658752" behindDoc="0" locked="0" layoutInCell="1" allowOverlap="1" wp14:anchorId="60C4F54E" wp14:editId="7F03A00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61FBA" w14:textId="6E504516" w:rsidR="003439F6" w:rsidRDefault="00617D75">
                          <w:pPr>
                            <w:tabs>
                              <w:tab w:val="center" w:pos="4153"/>
                              <w:tab w:val="right" w:pos="8306"/>
                            </w:tabs>
                            <w:snapToGrid w:val="0"/>
                            <w:jc w:val="left"/>
                            <w:rPr>
                              <w:rFonts w:ascii="Times New Roman" w:eastAsia="宋体" w:hAnsi="Times New Roman" w:cs="Times New Roman"/>
                              <w:szCs w:val="21"/>
                            </w:rPr>
                          </w:pP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PAGE  \* MERGEFORMAT </w:instrText>
                          </w:r>
                          <w:r>
                            <w:rPr>
                              <w:rFonts w:ascii="Times New Roman" w:eastAsia="宋体" w:hAnsi="Times New Roman" w:cs="Times New Roman"/>
                              <w:szCs w:val="21"/>
                            </w:rPr>
                            <w:fldChar w:fldCharType="separate"/>
                          </w:r>
                          <w:r w:rsidR="00770584">
                            <w:rPr>
                              <w:rFonts w:ascii="Times New Roman" w:eastAsia="宋体" w:hAnsi="Times New Roman" w:cs="Times New Roman"/>
                              <w:noProof/>
                              <w:szCs w:val="21"/>
                            </w:rPr>
                            <w:t>1</w:t>
                          </w:r>
                          <w:r>
                            <w:rPr>
                              <w:rFonts w:ascii="Times New Roman" w:eastAsia="宋体" w:hAnsi="Times New Roman" w:cs="Times New Roman"/>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C4F54E" id="_x0000_t202" coordsize="21600,21600" o:spt="202" path="m,l,21600r21600,l21600,xe">
              <v:stroke joinstyle="miter"/>
              <v:path gradientshapeok="t" o:connecttype="rect"/>
            </v:shapetype>
            <v:shape id="文本框 15" o:spid="_x0000_s1029"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34uaAIAACE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1m34uaAIAACEFAAAOAAAAAAAAAAAAAAAAAC4CAABkcnMvZTJv&#10;RG9jLnhtbFBLAQItABQABgAIAAAAIQBxqtG51wAAAAUBAAAPAAAAAAAAAAAAAAAAAMIEAABkcnMv&#10;ZG93bnJldi54bWxQSwUGAAAAAAQABADzAAAAxgUAAAAA&#10;" filled="f" stroked="f" strokeweight=".5pt">
              <v:textbox style="mso-fit-shape-to-text:t" inset="0,0,0,0">
                <w:txbxContent>
                  <w:p w14:paraId="1A861FBA" w14:textId="6E504516" w:rsidR="003439F6" w:rsidRDefault="00617D75">
                    <w:pPr>
                      <w:tabs>
                        <w:tab w:val="center" w:pos="4153"/>
                        <w:tab w:val="right" w:pos="8306"/>
                      </w:tabs>
                      <w:snapToGrid w:val="0"/>
                      <w:jc w:val="left"/>
                      <w:rPr>
                        <w:rFonts w:ascii="Times New Roman" w:eastAsia="宋体" w:hAnsi="Times New Roman" w:cs="Times New Roman"/>
                        <w:szCs w:val="21"/>
                      </w:rPr>
                    </w:pP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PAGE  \* MERGEFORMAT </w:instrText>
                    </w:r>
                    <w:r>
                      <w:rPr>
                        <w:rFonts w:ascii="Times New Roman" w:eastAsia="宋体" w:hAnsi="Times New Roman" w:cs="Times New Roman"/>
                        <w:szCs w:val="21"/>
                      </w:rPr>
                      <w:fldChar w:fldCharType="separate"/>
                    </w:r>
                    <w:r w:rsidR="00770584">
                      <w:rPr>
                        <w:rFonts w:ascii="Times New Roman" w:eastAsia="宋体" w:hAnsi="Times New Roman" w:cs="Times New Roman"/>
                        <w:noProof/>
                        <w:szCs w:val="21"/>
                      </w:rPr>
                      <w:t>1</w:t>
                    </w:r>
                    <w:r>
                      <w:rPr>
                        <w:rFonts w:ascii="Times New Roman" w:eastAsia="宋体" w:hAnsi="Times New Roman" w:cs="Times New Roman"/>
                        <w:szCs w:val="21"/>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61FB" w14:textId="77777777" w:rsidR="003439F6" w:rsidRDefault="00617D75">
    <w:pPr>
      <w:pStyle w:val="a9"/>
      <w:ind w:firstLineChars="200" w:firstLine="360"/>
      <w:jc w:val="center"/>
      <w:rPr>
        <w:szCs w:val="18"/>
      </w:rPr>
    </w:pPr>
    <w:r>
      <w:rPr>
        <w:noProof/>
      </w:rPr>
      <mc:AlternateContent>
        <mc:Choice Requires="wps">
          <w:drawing>
            <wp:anchor distT="0" distB="0" distL="114300" distR="114300" simplePos="0" relativeHeight="251659776" behindDoc="0" locked="0" layoutInCell="1" allowOverlap="1" wp14:anchorId="491E2B11" wp14:editId="256709D0">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4030E" w14:textId="3A3D8D3F" w:rsidR="003439F6" w:rsidRDefault="00617D75">
                          <w:pPr>
                            <w:pStyle w:val="a9"/>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sidR="00770584">
                            <w:rPr>
                              <w:noProof/>
                              <w:sz w:val="24"/>
                            </w:rPr>
                            <w:t>7</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1E2B11" id="_x0000_t202" coordsize="21600,21600" o:spt="202" path="m,l,21600r21600,l21600,xe">
              <v:stroke joinstyle="miter"/>
              <v:path gradientshapeok="t" o:connecttype="rect"/>
            </v:shapetype>
            <v:shape id="文本框 16" o:spid="_x0000_s1030"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14:paraId="0654030E" w14:textId="3A3D8D3F" w:rsidR="003439F6" w:rsidRDefault="00617D75">
                    <w:pPr>
                      <w:pStyle w:val="a9"/>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sidR="00770584">
                      <w:rPr>
                        <w:noProof/>
                        <w:sz w:val="24"/>
                      </w:rPr>
                      <w:t>7</w:t>
                    </w:r>
                    <w:r>
                      <w:rPr>
                        <w:rFonts w:hint="eastAsia"/>
                        <w:sz w:val="24"/>
                      </w:rPr>
                      <w:fldChar w:fldCharType="end"/>
                    </w:r>
                  </w:p>
                </w:txbxContent>
              </v:textbox>
              <w10:wrap anchorx="margin"/>
            </v:shape>
          </w:pict>
        </mc:Fallback>
      </mc:AlternateContent>
    </w:r>
    <w:r>
      <w:rPr>
        <w:noProof/>
        <w:szCs w:val="18"/>
      </w:rPr>
      <mc:AlternateContent>
        <mc:Choice Requires="wps">
          <w:drawing>
            <wp:anchor distT="0" distB="0" distL="114300" distR="114300" simplePos="0" relativeHeight="251657728" behindDoc="0" locked="0" layoutInCell="1" allowOverlap="1" wp14:anchorId="7CF033D8" wp14:editId="2601EA05">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87FD1" w14:textId="77777777" w:rsidR="003439F6" w:rsidRDefault="003439F6">
                          <w:pPr>
                            <w:pStyle w:val="a9"/>
                            <w:rPr>
                              <w:rFonts w:ascii="Times New Roman" w:hAnsi="Times New Roman" w:cs="Times New Roman"/>
                              <w:sz w:val="21"/>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CF033D8" id="文本框 12" o:spid="_x0000_s1031"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vk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k05c8KiR3ffvt59/3n34wvDHQjqfJwDd+2BTP0r6gEe7yMuc929DjZ/URGDHlRv9/Sq&#10;PjGZjWbT2WwClYRu/IH/6t7ch5heK7IsCzUP6F+hVWwuYhqgIyRHc3TeGlN6aBzran70/OWkGOw1&#10;cG4cYuQihmSLlLZGZQ/GvVMa9Zec80WZPHVqAtsIzIyQUrlUyi2egM4ojbCPMdzhs6kqU/kY471F&#10;iUwu7Y1t6yiUeh+k3XwaU9YDfmRgqDtTkPpVXxr/Yu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TxvkZQIAABMFAAAOAAAAAAAAAAAAAAAAAC4CAABkcnMvZTJvRG9j&#10;LnhtbFBLAQItABQABgAIAAAAIQBxqtG51wAAAAUBAAAPAAAAAAAAAAAAAAAAAL8EAABkcnMvZG93&#10;bnJldi54bWxQSwUGAAAAAAQABADzAAAAwwUAAAAA&#10;" filled="f" stroked="f" strokeweight=".5pt">
              <v:textbox style="mso-fit-shape-to-text:t" inset="0,0,0,0">
                <w:txbxContent>
                  <w:p w14:paraId="5DB87FD1" w14:textId="77777777" w:rsidR="003439F6" w:rsidRDefault="003439F6">
                    <w:pPr>
                      <w:pStyle w:val="a9"/>
                      <w:rPr>
                        <w:rFonts w:ascii="Times New Roman" w:hAnsi="Times New Roman" w:cs="Times New Roman"/>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A0645" w14:textId="77777777" w:rsidR="00D8001C" w:rsidRDefault="00D8001C">
      <w:r>
        <w:separator/>
      </w:r>
    </w:p>
  </w:footnote>
  <w:footnote w:type="continuationSeparator" w:id="0">
    <w:p w14:paraId="0A177AA4" w14:textId="77777777" w:rsidR="00D8001C" w:rsidRDefault="00D800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8B29" w14:textId="77777777" w:rsidR="00680AAD" w:rsidRDefault="00680AAD">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9451" w14:textId="77777777" w:rsidR="003439F6" w:rsidRDefault="00617D75">
    <w:pPr>
      <w:tabs>
        <w:tab w:val="center" w:pos="4154"/>
        <w:tab w:val="right" w:pos="8306"/>
      </w:tabs>
      <w:spacing w:after="120"/>
      <w:jc w:val="right"/>
      <w:rPr>
        <w:rFonts w:ascii="Calibri" w:eastAsia="宋体" w:hAnsi="Calibri" w:cs="Times New Roman"/>
        <w:sz w:val="20"/>
        <w:szCs w:val="20"/>
      </w:rPr>
    </w:pPr>
    <w:r>
      <w:rPr>
        <w:rFonts w:ascii="Candara" w:eastAsia="宋体" w:hAnsi="Candara" w:cs="宋体"/>
        <w:color w:val="000000"/>
        <w:kern w:val="0"/>
        <w:sz w:val="20"/>
        <w:szCs w:val="21"/>
      </w:rPr>
      <w:t>T/</w:t>
    </w:r>
    <w:r>
      <w:rPr>
        <w:rFonts w:ascii="Candara" w:eastAsia="宋体" w:hAnsi="Candara" w:cs="宋体"/>
        <w:color w:val="FF0000"/>
        <w:kern w:val="0"/>
        <w:sz w:val="20"/>
        <w:szCs w:val="21"/>
      </w:rPr>
      <w:t>CSTE</w:t>
    </w:r>
    <w:r>
      <w:rPr>
        <w:rFonts w:ascii="Candara" w:eastAsia="宋体" w:hAnsi="Candara" w:cs="Times New Roman"/>
        <w:color w:val="FF0000"/>
        <w:szCs w:val="21"/>
      </w:rPr>
      <w:t>00XX—201</w:t>
    </w:r>
    <w:r>
      <w:rPr>
        <w:rFonts w:ascii="Candara" w:eastAsia="宋体" w:hAnsi="Candara" w:cs="Times New Roman" w:hint="eastAsia"/>
        <w:color w:val="FF0000"/>
        <w:szCs w:val="21"/>
      </w:rPr>
      <w:t>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D529" w14:textId="77777777" w:rsidR="00680AAD" w:rsidRDefault="00680AAD">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79590" w14:textId="451E72B7" w:rsidR="003439F6" w:rsidRDefault="00617D75">
    <w:pPr>
      <w:tabs>
        <w:tab w:val="center" w:pos="4154"/>
        <w:tab w:val="right" w:pos="8306"/>
      </w:tabs>
      <w:spacing w:after="120"/>
      <w:jc w:val="right"/>
      <w:rPr>
        <w:rFonts w:ascii="Times New Roman" w:eastAsia="宋体" w:hAnsi="Times New Roman" w:cs="Times New Roman"/>
        <w:kern w:val="0"/>
        <w:szCs w:val="20"/>
      </w:rPr>
    </w:pPr>
    <w:r>
      <w:rPr>
        <w:rFonts w:ascii="Times New Roman" w:eastAsia="宋体" w:hAnsi="Times New Roman" w:cs="Times New Roman" w:hint="eastAsia"/>
      </w:rPr>
      <w:t xml:space="preserve">                                                        </w:t>
    </w:r>
    <w:r>
      <w:rPr>
        <w:rFonts w:ascii="Candara" w:eastAsia="宋体" w:hAnsi="Candara" w:cs="宋体"/>
        <w:color w:val="000000"/>
        <w:kern w:val="0"/>
        <w:sz w:val="20"/>
        <w:szCs w:val="21"/>
      </w:rPr>
      <w:t>T/</w:t>
    </w:r>
    <w:r>
      <w:rPr>
        <w:rFonts w:ascii="Candara" w:eastAsia="宋体" w:hAnsi="Candara" w:cs="宋体"/>
        <w:color w:val="FF0000"/>
        <w:kern w:val="0"/>
        <w:sz w:val="20"/>
        <w:szCs w:val="21"/>
      </w:rPr>
      <w:t>CSTE</w:t>
    </w:r>
    <w:r w:rsidR="00680AAD">
      <w:rPr>
        <w:rFonts w:ascii="Candara" w:eastAsia="宋体" w:hAnsi="Candara" w:cs="宋体"/>
        <w:color w:val="FF0000"/>
        <w:kern w:val="0"/>
        <w:sz w:val="20"/>
        <w:szCs w:val="21"/>
      </w:rPr>
      <w:t xml:space="preserve"> </w:t>
    </w:r>
    <w:r>
      <w:rPr>
        <w:rFonts w:ascii="Candara" w:eastAsia="宋体" w:hAnsi="Candara" w:cs="Times New Roman"/>
        <w:color w:val="FF0000"/>
        <w:szCs w:val="21"/>
      </w:rPr>
      <w:t>00XX—20</w:t>
    </w:r>
    <w:r w:rsidR="00680AAD">
      <w:rPr>
        <w:rFonts w:ascii="Candara" w:eastAsia="宋体" w:hAnsi="Candara" w:cs="Times New Roman"/>
        <w:color w:val="FF0000"/>
        <w:szCs w:val="21"/>
      </w:rPr>
      <w:t>19</w:t>
    </w:r>
  </w:p>
  <w:p w14:paraId="7261ACE5" w14:textId="77777777" w:rsidR="003439F6" w:rsidRDefault="003439F6">
    <w:pPr>
      <w:tabs>
        <w:tab w:val="center" w:pos="4153"/>
        <w:tab w:val="right" w:pos="8306"/>
      </w:tabs>
      <w:snapToGrid w:val="0"/>
      <w:jc w:val="center"/>
      <w:rPr>
        <w:rFonts w:ascii="黑体" w:eastAsia="黑体" w:hAnsi="Times New Roman" w:cs="Times New Roman"/>
        <w:szCs w:val="21"/>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745EC" w14:textId="658C9DBA" w:rsidR="003439F6" w:rsidRDefault="00617D75">
    <w:pPr>
      <w:tabs>
        <w:tab w:val="center" w:pos="4154"/>
        <w:tab w:val="right" w:pos="8306"/>
      </w:tabs>
      <w:spacing w:after="120"/>
      <w:jc w:val="right"/>
      <w:rPr>
        <w:rFonts w:ascii="Times New Roman" w:eastAsia="宋体" w:hAnsi="Times New Roman" w:cs="Times New Roman"/>
        <w:kern w:val="0"/>
        <w:szCs w:val="20"/>
      </w:rPr>
    </w:pPr>
    <w:r>
      <w:rPr>
        <w:rFonts w:ascii="Candara" w:eastAsia="宋体" w:hAnsi="Candara" w:cs="宋体"/>
        <w:color w:val="000000"/>
        <w:kern w:val="0"/>
        <w:sz w:val="20"/>
        <w:szCs w:val="21"/>
      </w:rPr>
      <w:t>T/</w:t>
    </w:r>
    <w:r>
      <w:rPr>
        <w:rFonts w:ascii="Candara" w:eastAsia="宋体" w:hAnsi="Candara" w:cs="宋体"/>
        <w:color w:val="FF0000"/>
        <w:kern w:val="0"/>
        <w:sz w:val="20"/>
        <w:szCs w:val="21"/>
      </w:rPr>
      <w:t>CSTE</w:t>
    </w:r>
    <w:r w:rsidR="00680AAD">
      <w:rPr>
        <w:rFonts w:ascii="Candara" w:eastAsia="宋体" w:hAnsi="Candara" w:cs="宋体"/>
        <w:color w:val="FF0000"/>
        <w:kern w:val="0"/>
        <w:sz w:val="20"/>
        <w:szCs w:val="21"/>
      </w:rPr>
      <w:t xml:space="preserve"> </w:t>
    </w:r>
    <w:r>
      <w:rPr>
        <w:rFonts w:ascii="Candara" w:eastAsia="宋体" w:hAnsi="Candara" w:cs="Times New Roman"/>
        <w:color w:val="FF0000"/>
        <w:szCs w:val="21"/>
      </w:rPr>
      <w:t>00XX—20</w:t>
    </w:r>
    <w:r w:rsidR="00680AAD">
      <w:rPr>
        <w:rFonts w:ascii="Candara" w:eastAsia="宋体" w:hAnsi="Candara" w:cs="Times New Roman"/>
        <w:color w:val="FF0000"/>
        <w:szCs w:val="21"/>
      </w:rPr>
      <w:t>19</w:t>
    </w:r>
  </w:p>
  <w:p w14:paraId="6432322B" w14:textId="77777777" w:rsidR="003439F6" w:rsidRDefault="003439F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DE5AE"/>
    <w:multiLevelType w:val="singleLevel"/>
    <w:tmpl w:val="C73DE5AE"/>
    <w:lvl w:ilvl="0">
      <w:start w:val="1"/>
      <w:numFmt w:val="lowerLetter"/>
      <w:suff w:val="nothing"/>
      <w:lvlText w:val="%1）"/>
      <w:lvlJc w:val="left"/>
      <w:pPr>
        <w:ind w:left="525" w:firstLine="0"/>
      </w:pPr>
    </w:lvl>
  </w:abstractNum>
  <w:abstractNum w:abstractNumId="1" w15:restartNumberingAfterBreak="0">
    <w:nsid w:val="1FC91163"/>
    <w:multiLevelType w:val="multilevel"/>
    <w:tmpl w:val="1FC91163"/>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C5917C3"/>
    <w:multiLevelType w:val="multilevel"/>
    <w:tmpl w:val="2C5917C3"/>
    <w:lvl w:ilvl="0">
      <w:start w:val="1"/>
      <w:numFmt w:val="none"/>
      <w:pStyle w:val="a0"/>
      <w:suff w:val="nothing"/>
      <w:lvlText w:val="%1——"/>
      <w:lvlJc w:val="left"/>
      <w:pPr>
        <w:ind w:left="3244" w:hanging="408"/>
      </w:pPr>
      <w:rPr>
        <w:rFonts w:hint="eastAsia"/>
      </w:rPr>
    </w:lvl>
    <w:lvl w:ilvl="1">
      <w:start w:val="1"/>
      <w:numFmt w:val="lowerLetter"/>
      <w:pStyle w:val="a1"/>
      <w:lvlText w:val="%2）"/>
      <w:lvlJc w:val="left"/>
      <w:pPr>
        <w:tabs>
          <w:tab w:val="left" w:pos="760"/>
        </w:tabs>
        <w:ind w:left="1264" w:hanging="413"/>
      </w:pPr>
      <w:rPr>
        <w:rFonts w:ascii="宋体" w:eastAsia="宋体" w:hAnsi="Times New Roman" w:cs="Times New Roman"/>
        <w:color w:val="auto"/>
      </w:rPr>
    </w:lvl>
    <w:lvl w:ilvl="2">
      <w:start w:val="1"/>
      <w:numFmt w:val="bullet"/>
      <w:pStyle w:val="a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 w15:restartNumberingAfterBreak="0">
    <w:nsid w:val="5CCD7B5D"/>
    <w:multiLevelType w:val="multilevel"/>
    <w:tmpl w:val="5CCD7B5D"/>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A2C64"/>
    <w:rsid w:val="00005E87"/>
    <w:rsid w:val="000063F0"/>
    <w:rsid w:val="00007F98"/>
    <w:rsid w:val="00010C16"/>
    <w:rsid w:val="000266A9"/>
    <w:rsid w:val="00030AA0"/>
    <w:rsid w:val="000332B8"/>
    <w:rsid w:val="000416FB"/>
    <w:rsid w:val="0005036A"/>
    <w:rsid w:val="00051B73"/>
    <w:rsid w:val="00055699"/>
    <w:rsid w:val="000569EA"/>
    <w:rsid w:val="00071EEB"/>
    <w:rsid w:val="0009243F"/>
    <w:rsid w:val="00096F73"/>
    <w:rsid w:val="000D6DED"/>
    <w:rsid w:val="000E2DAB"/>
    <w:rsid w:val="000E6B75"/>
    <w:rsid w:val="000F53A0"/>
    <w:rsid w:val="00112B70"/>
    <w:rsid w:val="001167BC"/>
    <w:rsid w:val="00130F44"/>
    <w:rsid w:val="00140C35"/>
    <w:rsid w:val="001513F2"/>
    <w:rsid w:val="0016109E"/>
    <w:rsid w:val="00163FCB"/>
    <w:rsid w:val="00177BB6"/>
    <w:rsid w:val="00191169"/>
    <w:rsid w:val="001D0640"/>
    <w:rsid w:val="001D4A41"/>
    <w:rsid w:val="001E02C7"/>
    <w:rsid w:val="00207D60"/>
    <w:rsid w:val="00226637"/>
    <w:rsid w:val="00260B9F"/>
    <w:rsid w:val="00261450"/>
    <w:rsid w:val="00262DF0"/>
    <w:rsid w:val="0027024D"/>
    <w:rsid w:val="00272542"/>
    <w:rsid w:val="002A0E29"/>
    <w:rsid w:val="002A3074"/>
    <w:rsid w:val="002F1DDC"/>
    <w:rsid w:val="002F4B67"/>
    <w:rsid w:val="0030756F"/>
    <w:rsid w:val="003173AE"/>
    <w:rsid w:val="00320752"/>
    <w:rsid w:val="003439F6"/>
    <w:rsid w:val="003625C6"/>
    <w:rsid w:val="003664F6"/>
    <w:rsid w:val="00370AE9"/>
    <w:rsid w:val="00377109"/>
    <w:rsid w:val="00392230"/>
    <w:rsid w:val="00393A48"/>
    <w:rsid w:val="00396A09"/>
    <w:rsid w:val="003A358C"/>
    <w:rsid w:val="003D5862"/>
    <w:rsid w:val="003D7E84"/>
    <w:rsid w:val="003E57AB"/>
    <w:rsid w:val="003F0009"/>
    <w:rsid w:val="0042396C"/>
    <w:rsid w:val="004306D8"/>
    <w:rsid w:val="00430D51"/>
    <w:rsid w:val="004953C9"/>
    <w:rsid w:val="004B2058"/>
    <w:rsid w:val="004B7093"/>
    <w:rsid w:val="004B7903"/>
    <w:rsid w:val="004C637F"/>
    <w:rsid w:val="004E0A43"/>
    <w:rsid w:val="00503233"/>
    <w:rsid w:val="00517A02"/>
    <w:rsid w:val="0053563A"/>
    <w:rsid w:val="00555EB1"/>
    <w:rsid w:val="005823F5"/>
    <w:rsid w:val="0058725F"/>
    <w:rsid w:val="005931F8"/>
    <w:rsid w:val="005C2EBE"/>
    <w:rsid w:val="005F740C"/>
    <w:rsid w:val="00610778"/>
    <w:rsid w:val="00617D75"/>
    <w:rsid w:val="006227C2"/>
    <w:rsid w:val="00640D4B"/>
    <w:rsid w:val="00653317"/>
    <w:rsid w:val="00674E5D"/>
    <w:rsid w:val="00676AE8"/>
    <w:rsid w:val="00680AAD"/>
    <w:rsid w:val="006B6B07"/>
    <w:rsid w:val="006C4316"/>
    <w:rsid w:val="006D4504"/>
    <w:rsid w:val="006E2653"/>
    <w:rsid w:val="006F78C3"/>
    <w:rsid w:val="00752B6C"/>
    <w:rsid w:val="00770584"/>
    <w:rsid w:val="00781244"/>
    <w:rsid w:val="007843AC"/>
    <w:rsid w:val="00784F2E"/>
    <w:rsid w:val="00786D4C"/>
    <w:rsid w:val="00791812"/>
    <w:rsid w:val="00795925"/>
    <w:rsid w:val="007B20BF"/>
    <w:rsid w:val="007B455A"/>
    <w:rsid w:val="007C43C8"/>
    <w:rsid w:val="007D651E"/>
    <w:rsid w:val="00813AD8"/>
    <w:rsid w:val="00815993"/>
    <w:rsid w:val="00820155"/>
    <w:rsid w:val="00832ACA"/>
    <w:rsid w:val="00836125"/>
    <w:rsid w:val="00866464"/>
    <w:rsid w:val="008B1639"/>
    <w:rsid w:val="008C45A5"/>
    <w:rsid w:val="008F57F1"/>
    <w:rsid w:val="008F7D86"/>
    <w:rsid w:val="009302A3"/>
    <w:rsid w:val="00931160"/>
    <w:rsid w:val="009600DC"/>
    <w:rsid w:val="0096106C"/>
    <w:rsid w:val="00971DBD"/>
    <w:rsid w:val="009800C6"/>
    <w:rsid w:val="00986F82"/>
    <w:rsid w:val="00987260"/>
    <w:rsid w:val="00991D48"/>
    <w:rsid w:val="00996C4D"/>
    <w:rsid w:val="009A1B41"/>
    <w:rsid w:val="009C1DD7"/>
    <w:rsid w:val="009D049B"/>
    <w:rsid w:val="009E1DB1"/>
    <w:rsid w:val="00A01387"/>
    <w:rsid w:val="00A111E9"/>
    <w:rsid w:val="00A20F1A"/>
    <w:rsid w:val="00A268A6"/>
    <w:rsid w:val="00A37D1A"/>
    <w:rsid w:val="00A4439E"/>
    <w:rsid w:val="00A458A4"/>
    <w:rsid w:val="00A76F75"/>
    <w:rsid w:val="00A82D0E"/>
    <w:rsid w:val="00AC3BED"/>
    <w:rsid w:val="00AD01BF"/>
    <w:rsid w:val="00AE5EE6"/>
    <w:rsid w:val="00AE6770"/>
    <w:rsid w:val="00B01CA6"/>
    <w:rsid w:val="00B0223A"/>
    <w:rsid w:val="00B37533"/>
    <w:rsid w:val="00B5131C"/>
    <w:rsid w:val="00B53ED9"/>
    <w:rsid w:val="00B53F61"/>
    <w:rsid w:val="00B769A6"/>
    <w:rsid w:val="00B82DB4"/>
    <w:rsid w:val="00B84EBE"/>
    <w:rsid w:val="00B94B08"/>
    <w:rsid w:val="00B974A4"/>
    <w:rsid w:val="00BA44BF"/>
    <w:rsid w:val="00BA70AF"/>
    <w:rsid w:val="00BB40F8"/>
    <w:rsid w:val="00BD20DC"/>
    <w:rsid w:val="00BD7353"/>
    <w:rsid w:val="00BF027B"/>
    <w:rsid w:val="00C01863"/>
    <w:rsid w:val="00C6382E"/>
    <w:rsid w:val="00C766EA"/>
    <w:rsid w:val="00C80F7A"/>
    <w:rsid w:val="00C87767"/>
    <w:rsid w:val="00CD2341"/>
    <w:rsid w:val="00CF18C5"/>
    <w:rsid w:val="00D00AD6"/>
    <w:rsid w:val="00D03541"/>
    <w:rsid w:val="00D05852"/>
    <w:rsid w:val="00D17A54"/>
    <w:rsid w:val="00D2319F"/>
    <w:rsid w:val="00D355EE"/>
    <w:rsid w:val="00D415F2"/>
    <w:rsid w:val="00D52D0A"/>
    <w:rsid w:val="00D7289D"/>
    <w:rsid w:val="00D77BF0"/>
    <w:rsid w:val="00D8001C"/>
    <w:rsid w:val="00D937F7"/>
    <w:rsid w:val="00DE327D"/>
    <w:rsid w:val="00E11C1E"/>
    <w:rsid w:val="00E177DA"/>
    <w:rsid w:val="00E271D9"/>
    <w:rsid w:val="00E674C9"/>
    <w:rsid w:val="00E7326A"/>
    <w:rsid w:val="00E76133"/>
    <w:rsid w:val="00E836B3"/>
    <w:rsid w:val="00E8445D"/>
    <w:rsid w:val="00EA364E"/>
    <w:rsid w:val="00EA7677"/>
    <w:rsid w:val="00EB0228"/>
    <w:rsid w:val="00EC65D4"/>
    <w:rsid w:val="00EC6750"/>
    <w:rsid w:val="00EE7577"/>
    <w:rsid w:val="00F0683D"/>
    <w:rsid w:val="00F2013F"/>
    <w:rsid w:val="00F3021C"/>
    <w:rsid w:val="00F3639E"/>
    <w:rsid w:val="00F54F62"/>
    <w:rsid w:val="00F61ABE"/>
    <w:rsid w:val="00F74A70"/>
    <w:rsid w:val="00F931F7"/>
    <w:rsid w:val="00F97CF0"/>
    <w:rsid w:val="00FC426A"/>
    <w:rsid w:val="00FD5FC9"/>
    <w:rsid w:val="00FE7488"/>
    <w:rsid w:val="00FE79E5"/>
    <w:rsid w:val="06922318"/>
    <w:rsid w:val="100420F6"/>
    <w:rsid w:val="1B706054"/>
    <w:rsid w:val="1D347E43"/>
    <w:rsid w:val="2F3F127E"/>
    <w:rsid w:val="33CA20C5"/>
    <w:rsid w:val="35C53CFC"/>
    <w:rsid w:val="40772F4C"/>
    <w:rsid w:val="52DB51C4"/>
    <w:rsid w:val="542B1D30"/>
    <w:rsid w:val="60A338EC"/>
    <w:rsid w:val="69760FDA"/>
    <w:rsid w:val="72EA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9FD2CC"/>
  <w15:docId w15:val="{4424015F-0E54-43CB-B739-C5BFAA8C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4"/>
    </w:rPr>
  </w:style>
  <w:style w:type="paragraph" w:styleId="1">
    <w:name w:val="heading 1"/>
    <w:basedOn w:val="a3"/>
    <w:next w:val="a3"/>
    <w:qFormat/>
    <w:pPr>
      <w:keepNext/>
      <w:keepLines/>
      <w:spacing w:before="120" w:after="240"/>
      <w:outlineLvl w:val="0"/>
    </w:pPr>
    <w:rPr>
      <w:rFonts w:ascii="Times New Roman" w:eastAsia="黑体" w:hAnsi="Times New Roman" w:cs="Times New Roman"/>
      <w:b/>
      <w:bCs/>
      <w:kern w:val="44"/>
      <w:sz w:val="24"/>
      <w:szCs w:val="44"/>
    </w:rPr>
  </w:style>
  <w:style w:type="paragraph" w:styleId="2">
    <w:name w:val="heading 2"/>
    <w:basedOn w:val="a3"/>
    <w:next w:val="a3"/>
    <w:qFormat/>
    <w:pPr>
      <w:keepNext/>
      <w:keepLines/>
      <w:spacing w:before="120" w:after="120"/>
      <w:outlineLvl w:val="1"/>
    </w:pPr>
    <w:rPr>
      <w:rFonts w:ascii="Arial" w:eastAsia="黑体" w:hAnsi="Arial" w:cs="Times New Roman"/>
      <w:b/>
      <w:bCs/>
      <w:szCs w:val="32"/>
    </w:rPr>
  </w:style>
  <w:style w:type="paragraph" w:styleId="3">
    <w:name w:val="heading 3"/>
    <w:basedOn w:val="a3"/>
    <w:next w:val="a3"/>
    <w:qFormat/>
    <w:pPr>
      <w:keepNext/>
      <w:keepLines/>
      <w:spacing w:before="120" w:after="120"/>
      <w:outlineLvl w:val="2"/>
    </w:pPr>
    <w:rPr>
      <w:rFonts w:ascii="Times New Roman" w:eastAsia="黑体" w:hAnsi="Times New Roman" w:cs="Times New Roman"/>
      <w:bCs/>
      <w:szCs w:val="32"/>
    </w:rPr>
  </w:style>
  <w:style w:type="paragraph" w:styleId="4">
    <w:name w:val="heading 4"/>
    <w:basedOn w:val="a3"/>
    <w:next w:val="a3"/>
    <w:qFormat/>
    <w:pPr>
      <w:keepNext/>
      <w:keepLines/>
      <w:spacing w:before="280" w:after="290" w:line="376" w:lineRule="auto"/>
      <w:outlineLvl w:val="3"/>
    </w:pPr>
    <w:rPr>
      <w:rFonts w:ascii="Arial" w:eastAsia="黑体" w:hAnsi="Arial" w:cs="Times New Roman"/>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a8"/>
    <w:semiHidden/>
    <w:unhideWhenUsed/>
    <w:qFormat/>
    <w:rPr>
      <w:sz w:val="18"/>
      <w:szCs w:val="18"/>
    </w:rPr>
  </w:style>
  <w:style w:type="paragraph" w:styleId="a9">
    <w:name w:val="footer"/>
    <w:basedOn w:val="a3"/>
    <w:qFormat/>
    <w:pPr>
      <w:tabs>
        <w:tab w:val="center" w:pos="4153"/>
        <w:tab w:val="right" w:pos="8306"/>
      </w:tabs>
      <w:snapToGrid w:val="0"/>
      <w:jc w:val="left"/>
    </w:pPr>
    <w:rPr>
      <w:sz w:val="18"/>
    </w:rPr>
  </w:style>
  <w:style w:type="paragraph" w:styleId="aa">
    <w:name w:val="header"/>
    <w:basedOn w:val="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0">
    <w:name w:val="Body Text Indent 3"/>
    <w:basedOn w:val="a3"/>
    <w:link w:val="31"/>
    <w:qFormat/>
    <w:pPr>
      <w:spacing w:line="360" w:lineRule="auto"/>
      <w:ind w:firstLineChars="200" w:firstLine="480"/>
    </w:pPr>
    <w:rPr>
      <w:rFonts w:ascii="宋体" w:eastAsia="宋体" w:hAnsi="Times New Roman" w:cs="Times New Roman"/>
      <w:sz w:val="24"/>
    </w:rPr>
  </w:style>
  <w:style w:type="paragraph" w:styleId="ab">
    <w:name w:val="Normal (Web)"/>
    <w:basedOn w:val="a3"/>
    <w:uiPriority w:val="99"/>
    <w:semiHidden/>
    <w:unhideWhenUsed/>
    <w:qFormat/>
    <w:pPr>
      <w:widowControl/>
      <w:spacing w:before="100" w:beforeAutospacing="1" w:after="100" w:afterAutospacing="1"/>
      <w:jc w:val="left"/>
    </w:pPr>
    <w:rPr>
      <w:rFonts w:ascii="宋体" w:eastAsia="宋体" w:hAnsi="宋体" w:cs="宋体"/>
      <w:kern w:val="0"/>
      <w:sz w:val="24"/>
    </w:rPr>
  </w:style>
  <w:style w:type="table" w:styleId="ac">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段"/>
    <w:qFormat/>
    <w:pPr>
      <w:autoSpaceDE w:val="0"/>
      <w:autoSpaceDN w:val="0"/>
      <w:ind w:firstLineChars="200" w:firstLine="420"/>
      <w:jc w:val="both"/>
    </w:pPr>
    <w:rPr>
      <w:rFonts w:ascii="宋体" w:eastAsia="宋体" w:hAnsi="Times New Roman" w:cs="Times New Roman"/>
      <w:sz w:val="21"/>
    </w:rPr>
  </w:style>
  <w:style w:type="paragraph" w:customStyle="1" w:styleId="a">
    <w:name w:val="章标题"/>
    <w:next w:val="ad"/>
    <w:qFormat/>
    <w:pPr>
      <w:numPr>
        <w:numId w:val="1"/>
      </w:numPr>
      <w:spacing w:beforeLines="100" w:afterLines="100"/>
      <w:ind w:left="0"/>
      <w:jc w:val="both"/>
      <w:outlineLvl w:val="1"/>
    </w:pPr>
    <w:rPr>
      <w:rFonts w:ascii="黑体" w:eastAsia="黑体" w:hAnsi="Times New Roman" w:cs="Times New Roman"/>
      <w:sz w:val="21"/>
    </w:rPr>
  </w:style>
  <w:style w:type="character" w:customStyle="1" w:styleId="31">
    <w:name w:val="正文文本缩进 3 字符"/>
    <w:basedOn w:val="a4"/>
    <w:link w:val="30"/>
    <w:rPr>
      <w:rFonts w:ascii="宋体" w:eastAsia="宋体" w:hAnsi="Times New Roman" w:cs="Times New Roman"/>
      <w:kern w:val="2"/>
      <w:sz w:val="24"/>
      <w:szCs w:val="24"/>
    </w:rPr>
  </w:style>
  <w:style w:type="paragraph" w:styleId="ae">
    <w:name w:val="List Paragraph"/>
    <w:basedOn w:val="a3"/>
    <w:uiPriority w:val="99"/>
    <w:qFormat/>
    <w:pPr>
      <w:ind w:firstLineChars="200" w:firstLine="420"/>
    </w:pPr>
  </w:style>
  <w:style w:type="paragraph" w:customStyle="1" w:styleId="a0">
    <w:name w:val="列项——（一级）"/>
    <w:qFormat/>
    <w:pPr>
      <w:widowControl w:val="0"/>
      <w:numPr>
        <w:numId w:val="2"/>
      </w:numPr>
      <w:jc w:val="both"/>
    </w:pPr>
    <w:rPr>
      <w:rFonts w:ascii="宋体" w:eastAsia="宋体" w:hAnsi="Times New Roman" w:cs="Times New Roman"/>
      <w:sz w:val="21"/>
    </w:rPr>
  </w:style>
  <w:style w:type="paragraph" w:customStyle="1" w:styleId="a1">
    <w:name w:val="列项●（二级）"/>
    <w:qFormat/>
    <w:pPr>
      <w:numPr>
        <w:ilvl w:val="1"/>
        <w:numId w:val="2"/>
      </w:numPr>
      <w:tabs>
        <w:tab w:val="left" w:pos="840"/>
      </w:tabs>
      <w:jc w:val="both"/>
    </w:pPr>
    <w:rPr>
      <w:rFonts w:ascii="宋体" w:eastAsia="宋体" w:hAnsi="Times New Roman" w:cs="Times New Roman"/>
      <w:sz w:val="21"/>
    </w:rPr>
  </w:style>
  <w:style w:type="paragraph" w:customStyle="1" w:styleId="a2">
    <w:name w:val="列项◆（三级）"/>
    <w:basedOn w:val="a3"/>
    <w:qFormat/>
    <w:pPr>
      <w:numPr>
        <w:ilvl w:val="2"/>
        <w:numId w:val="2"/>
      </w:numPr>
    </w:pPr>
    <w:rPr>
      <w:rFonts w:ascii="宋体" w:eastAsia="宋体" w:hAnsi="Times New Roman" w:cs="Times New Roman"/>
      <w:szCs w:val="21"/>
    </w:rPr>
  </w:style>
  <w:style w:type="character" w:customStyle="1" w:styleId="a8">
    <w:name w:val="批注框文本 字符"/>
    <w:basedOn w:val="a4"/>
    <w:link w:val="a7"/>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7AB9BC-74B6-460F-AE14-85B3B700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577</Words>
  <Characters>3295</Characters>
  <Application>Microsoft Office Word</Application>
  <DocSecurity>0</DocSecurity>
  <Lines>27</Lines>
  <Paragraphs>7</Paragraphs>
  <ScaleCrop>false</ScaleCrop>
  <Company>IT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Administrator</cp:lastModifiedBy>
  <cp:revision>157</cp:revision>
  <cp:lastPrinted>2019-08-13T06:53:00Z</cp:lastPrinted>
  <dcterms:created xsi:type="dcterms:W3CDTF">2019-07-03T07:06:00Z</dcterms:created>
  <dcterms:modified xsi:type="dcterms:W3CDTF">2020-09-24T00:42:00Z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