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278814200"/>
      <w:bookmarkStart w:id="1" w:name="_Toc8661753"/>
      <w:bookmarkStart w:id="2" w:name="_Toc485706448"/>
      <w:bookmarkStart w:id="3" w:name="_Toc8663795"/>
      <w:r>
        <w:pict>
          <v:shape id="_x0000_s2050" o:spid="_x0000_s2050" o:spt="202" type="#_x0000_t202" style="position:absolute;left:0pt;margin-left:-3.35pt;margin-top:8.5pt;height:42.1pt;width:99.5pt;mso-wrap-distance-bottom:3.6pt;mso-wrap-distance-left:9pt;mso-wrap-distance-right:9pt;mso-wrap-distance-top:3.6pt;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hint="eastAsia" w:ascii="黑体" w:hAnsi="黑体" w:eastAsia="黑体" w:cs="黑体"/>
          <w:kern w:val="0"/>
          <w:sz w:val="84"/>
        </w:rPr>
      </w:pPr>
      <w:r>
        <w:rPr>
          <w:rFonts w:hint="eastAsia" w:ascii="黑体" w:hAnsi="黑体" w:eastAsia="黑体" w:cs="黑体"/>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w:t>
      </w:r>
      <w:r>
        <w:rPr>
          <w:rFonts w:hint="eastAsia" w:ascii="黑体" w:hAnsi="黑体" w:eastAsia="黑体" w:cs="Times New Roman"/>
          <w:kern w:val="0"/>
          <w:sz w:val="28"/>
          <w:szCs w:val="28"/>
          <w:lang w:val="en-US" w:eastAsia="zh-CN"/>
        </w:rPr>
        <w:t>BMF</w:t>
      </w:r>
      <w:r>
        <w:rPr>
          <w:rFonts w:ascii="黑体" w:hAnsi="黑体" w:eastAsia="黑体" w:cs="Times New Roman"/>
          <w:kern w:val="0"/>
          <w:sz w:val="28"/>
          <w:szCs w:val="28"/>
        </w:rPr>
        <w:t xml:space="preserve">  00XX—20XX</w:t>
      </w:r>
    </w:p>
    <w:p>
      <w:pPr>
        <w:ind w:right="-50" w:rightChars="-24" w:firstLine="7560" w:firstLineChars="2700"/>
        <w:jc w:val="lef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2051" o:spt="34" type="#_x0000_t34" style="position:absolute;left:0pt;margin-left:2.5pt;margin-top:7pt;height:0.05pt;width:497.3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
            <v:path arrowok="t"/>
            <v:fill on="f" focussize="0,0"/>
            <v:stroke color="#000000" joinstyle="miter"/>
            <v:imagedata o:title=""/>
            <o:lock v:ext="edit" aspectratio="f"/>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
      <w:pPr>
        <w:rPr>
          <w:rFonts w:eastAsia="Times New Roman"/>
          <w:kern w:val="0"/>
        </w:rPr>
      </w:pPr>
      <w:r>
        <w:rPr>
          <w:rFonts w:eastAsia="Times New Roman"/>
          <w:kern w:val="0"/>
        </w:rPr>
        <w:pict>
          <v:shape id="_x0000_s2052" o:spid="_x0000_s2052" o:spt="202" type="#_x0000_t202" style="position:absolute;left:0pt;margin-left:3pt;margin-top:0.45pt;height:65.1pt;width:490.5pt;mso-wrap-distance-bottom:3.6pt;mso-wrap-distance-left:9pt;mso-wrap-distance-right:9pt;mso-wrap-distance-top:3.6pt;z-index:251663360;mso-width-relative:margin;mso-height-relative:margin;mso-height-percent:200;" filled="f" stroked="f" coordsize="21600,21600">
            <v:path/>
            <v:fill on="f" focussize="0,0"/>
            <v:stroke on="f"/>
            <v:imagedata o:title=""/>
            <o:lock v:ext="edit" aspectratio="f"/>
            <v:textbox style="mso-fit-shape-to-text:t;">
              <w:txbxContent>
                <w:p>
                  <w:pPr>
                    <w:pStyle w:val="34"/>
                    <w:rPr>
                      <w:sz w:val="48"/>
                      <w:szCs w:val="48"/>
                    </w:rPr>
                  </w:pPr>
                  <w:bookmarkStart w:id="77" w:name="StdEnglishName"/>
                  <w:r>
                    <w:rPr>
                      <w:rFonts w:hint="eastAsia"/>
                      <w:sz w:val="48"/>
                      <w:szCs w:val="48"/>
                    </w:rPr>
                    <w:t>“领跑者”标准评价要求 纸面石膏板</w:t>
                  </w:r>
                </w:p>
                <w:bookmarkEnd w:id="77"/>
                <w:p>
                  <w:pPr>
                    <w:pStyle w:val="7"/>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Assessment requirements for enterprise forerunner standards</w:t>
                  </w:r>
                  <w:r>
                    <w:rPr>
                      <w:rFonts w:hint="eastAsia" w:ascii="Times New Roman" w:hAnsi="Times New Roman" w:eastAsia="黑体" w:cs="Times New Roman"/>
                      <w:kern w:val="0"/>
                      <w:sz w:val="28"/>
                      <w:szCs w:val="28"/>
                    </w:rPr>
                    <w:t>-</w:t>
                  </w:r>
                  <w:r>
                    <w:rPr>
                      <w:rFonts w:ascii="Times New Roman" w:hAnsi="Times New Roman" w:eastAsia="黑体" w:cs="Times New Roman"/>
                      <w:kern w:val="0"/>
                      <w:sz w:val="28"/>
                      <w:szCs w:val="28"/>
                    </w:rPr>
                    <w:t>Gypsum plasterboard</w:t>
                  </w:r>
                </w:p>
                <w:p>
                  <w:pPr>
                    <w:pStyle w:val="28"/>
                    <w:ind w:firstLine="0" w:firstLineChars="0"/>
                    <w:jc w:val="center"/>
                    <w:rPr>
                      <w:rFonts w:hAnsi="宋体" w:eastAsia="宋体"/>
                      <w:b/>
                      <w:bCs/>
                      <w:sz w:val="40"/>
                      <w:szCs w:val="40"/>
                    </w:rPr>
                  </w:pPr>
                </w:p>
                <w:p>
                  <w:pPr>
                    <w:pStyle w:val="28"/>
                    <w:ind w:firstLine="0" w:firstLineChars="0"/>
                    <w:jc w:val="center"/>
                    <w:rPr>
                      <w:rFonts w:hAnsi="宋体" w:eastAsia="宋体"/>
                      <w:b/>
                      <w:bCs/>
                      <w:sz w:val="40"/>
                      <w:szCs w:val="40"/>
                    </w:rPr>
                  </w:pPr>
                  <w:r>
                    <w:rPr>
                      <w:rFonts w:hint="eastAsia" w:hAnsi="宋体" w:eastAsia="宋体"/>
                      <w:b/>
                      <w:bCs/>
                      <w:sz w:val="40"/>
                      <w:szCs w:val="40"/>
                    </w:rPr>
                    <w:t>（征求意见稿）</w:t>
                  </w:r>
                </w:p>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202</w:t>
      </w:r>
      <w:r>
        <w:rPr>
          <w:rFonts w:hint="eastAsia" w:ascii="黑体" w:hAnsi="微软雅黑"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202</w:t>
      </w:r>
      <w:r>
        <w:rPr>
          <w:rFonts w:hint="eastAsia" w:ascii="黑体" w:hAnsi="黑体"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line="560" w:lineRule="exact"/>
        <w:jc w:val="center"/>
        <w:rPr>
          <w:rFonts w:ascii="方正小标宋_GBK" w:eastAsia="方正小标宋_GBK"/>
          <w:kern w:val="0"/>
          <w:sz w:val="52"/>
        </w:rPr>
      </w:pPr>
      <w:r>
        <w:rPr>
          <w:kern w:val="0"/>
        </w:rPr>
        <w:pict>
          <v:group id="组合 14" o:spid="_x0000_s2053" o:spt="203" style="position:absolute;left:0pt;margin-left:49.6pt;margin-top:19.25pt;height:79.9pt;width:314.25pt;z-index:251664384;mso-width-relative:page;mso-height-relative:page;" coordorigin="1418,14227" coordsize="9638,1160">
            <o:lock v:ext="edit" aspectratio="f"/>
            <v:shape id="fmFrame7" o:spid="_x0000_s2054" o:spt="202" type="#_x0000_t202" style="position:absolute;left:1418;top:14295;height:1092;width:9638;" fillcolor="#FFFFFF" filled="t" stroked="f" coordsize="21600,21600">
              <v:path/>
              <v:fill on="t" color2="#FFFFFF" focussize="0,0"/>
              <v:stroke on="f"/>
              <v:imagedata o:title=""/>
              <o:lock v:ext="edit" aspectratio="f"/>
              <v:textbox inset="0mm,0mm,0mm,0mm">
                <w:txbxContent>
                  <w:p>
                    <w:pPr>
                      <w:pStyle w:val="65"/>
                      <w:spacing w:line="580" w:lineRule="exact"/>
                      <w:jc w:val="distribute"/>
                      <w:rPr>
                        <w:rFonts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中国建筑材料联合会</w:t>
                    </w:r>
                    <w:r>
                      <w:rPr>
                        <w:rFonts w:hint="eastAsia" w:ascii="方正小标宋_GBK" w:eastAsia="方正小标宋_GBK" w:hAnsiTheme="minorHAnsi" w:cstheme="minorBidi"/>
                        <w:b w:val="0"/>
                        <w:spacing w:val="0"/>
                        <w:w w:val="100"/>
                        <w:sz w:val="52"/>
                        <w:szCs w:val="22"/>
                        <w:lang w:val="en-US" w:eastAsia="zh-CN"/>
                      </w:rPr>
                      <w:t xml:space="preserve">     </w:t>
                    </w:r>
                    <w:r>
                      <w:rPr>
                        <w:rFonts w:hint="eastAsia" w:ascii="方正小标宋_GBK" w:eastAsia="方正小标宋_GBK" w:hAnsiTheme="minorHAnsi" w:cstheme="minorBidi"/>
                        <w:b w:val="0"/>
                        <w:spacing w:val="0"/>
                        <w:w w:val="100"/>
                        <w:sz w:val="52"/>
                        <w:szCs w:val="22"/>
                      </w:rPr>
                      <w:t>中国技术经济学会</w:t>
                    </w:r>
                  </w:p>
                </w:txbxContent>
              </v:textbox>
            </v:shape>
            <v:rect id="矩形 16" o:spid="_x0000_s2055" o:spt="1" style="position:absolute;left:8978;top:14227;height:624;width:1080;" filled="f" stroked="f" coordsize="21600,21600">
              <v:path/>
              <v:fill on="f" focussize="0,0"/>
              <v:stroke on="f"/>
              <v:imagedata o:title=""/>
              <o:lock v:ext="edit" aspectratio="f"/>
              <v:textbox>
                <w:txbxContent>
                  <w:p/>
                </w:txbxContent>
              </v:textbox>
            </v:rect>
          </v:group>
        </w:pict>
      </w:r>
      <w:r>
        <w:rPr>
          <w:rFonts w:ascii="方正小标宋_GBK" w:eastAsia="方正小标宋_GBK"/>
          <w:kern w:val="0"/>
        </w:rPr>
        <w:pict>
          <v:shape id="_x0000_s2056" o:spid="_x0000_s2056" o:spt="32" type="#_x0000_t32" style="position:absolute;left:0pt;margin-left:2.5pt;margin-top:11.95pt;height:0pt;width:493.1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v:path arrowok="t"/>
            <v:fill on="f" focussize="0,0"/>
            <v:stroke color="#000000"/>
            <v:imagedata o:title=""/>
            <o:lock v:ext="edit" aspectratio="f"/>
          </v:shape>
        </w:pict>
      </w:r>
    </w:p>
    <w:p>
      <w:pPr>
        <w:spacing w:line="560" w:lineRule="exact"/>
        <w:jc w:val="distribute"/>
        <w:rPr>
          <w:rFonts w:eastAsia="Times New Roman"/>
        </w:rPr>
      </w:pPr>
      <w:r>
        <w:pict>
          <v:rect id="矩形 21" o:spid="_x0000_s2057" o:spt="1" style="position:absolute;left:0pt;margin-left:386.1pt;margin-top:12.45pt;height:23.7pt;width:89.8pt;z-index:251665408;mso-width-relative:page;mso-height-relative:page;" fillcolor="#FFFFFF" filled="t" stroked="f" coordsize="21600,21600">
            <v:path/>
            <v:fill on="t" color2="#FFFFFF" focussize="0,0"/>
            <v:stroke on="f"/>
            <v:imagedata o:title=""/>
            <o:lock v:ext="edit" aspectratio="f"/>
            <v:textbox>
              <w:txbxContent>
                <w:p>
                  <w:pPr>
                    <w:rPr>
                      <w:rFonts w:hint="default"/>
                      <w:lang w:val="en-US" w:eastAsia="zh-CN"/>
                    </w:rPr>
                  </w:pPr>
                  <w:r>
                    <w:rPr>
                      <w:rStyle w:val="26"/>
                      <w:rFonts w:hint="eastAsia"/>
                    </w:rPr>
                    <w:t>发布</w:t>
                  </w:r>
                </w:p>
              </w:txbxContent>
            </v:textbox>
          </v:rect>
        </w:pict>
      </w:r>
      <w:r>
        <w:rPr>
          <w:rFonts w:hint="eastAsia" w:ascii="方正小标宋简体" w:eastAsia="方正小标宋简体"/>
          <w:kern w:val="0"/>
          <w:sz w:val="52"/>
        </w:rPr>
        <w:t xml:space="preserve">  </w:t>
      </w:r>
    </w:p>
    <w:p>
      <w:pPr>
        <w:jc w:val="left"/>
        <w:sectPr>
          <w:headerReference r:id="rId3" w:type="default"/>
          <w:headerReference r:id="rId4" w:type="even"/>
          <w:footerReference r:id="rId5" w:type="even"/>
          <w:pgSz w:w="11907" w:h="16839"/>
          <w:pgMar w:top="567" w:right="850" w:bottom="1134" w:left="1134" w:header="992" w:footer="851" w:gutter="0"/>
          <w:pgNumType w:fmt="upperRoman"/>
          <w:cols w:space="425" w:num="1"/>
          <w:titlePg/>
          <w:docGrid w:linePitch="312" w:charSpace="0"/>
        </w:sectPr>
      </w:pPr>
    </w:p>
    <w:p>
      <w:pPr>
        <w:jc w:val="left"/>
        <w:rPr>
          <w:rFonts w:ascii="Times New Roman"/>
        </w:rPr>
      </w:pPr>
    </w:p>
    <w:p>
      <w:pPr>
        <w:rPr>
          <w:rFonts w:hint="eastAsia"/>
          <w:sz w:val="52"/>
          <w:szCs w:val="56"/>
        </w:rPr>
      </w:pPr>
    </w:p>
    <w:p>
      <w:pPr>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ind w:left="0" w:leftChars="0" w:firstLine="0" w:firstLineChars="0"/>
        <w:rPr>
          <w:rFonts w:hint="eastAsia"/>
          <w:sz w:val="52"/>
          <w:szCs w:val="56"/>
        </w:rPr>
      </w:pPr>
    </w:p>
    <w:p>
      <w:pPr>
        <w:pStyle w:val="2"/>
        <w:ind w:left="0" w:leftChars="0" w:firstLine="0" w:firstLineChars="0"/>
        <w:rPr>
          <w:rFonts w:hint="eastAsia"/>
          <w:sz w:val="52"/>
          <w:szCs w:val="56"/>
        </w:rPr>
      </w:pPr>
    </w:p>
    <w:p>
      <w:pPr>
        <w:pStyle w:val="2"/>
        <w:ind w:left="0" w:leftChars="0" w:firstLine="0" w:firstLineChars="0"/>
        <w:rPr>
          <w:rFonts w:hint="eastAsia"/>
          <w:sz w:val="52"/>
          <w:szCs w:val="56"/>
        </w:rPr>
      </w:pPr>
      <w:bookmarkStart w:id="78" w:name="_GoBack"/>
      <w:bookmarkEnd w:id="78"/>
    </w:p>
    <w:p>
      <w:pPr>
        <w:rPr>
          <w:sz w:val="52"/>
          <w:szCs w:val="56"/>
        </w:rPr>
      </w:pPr>
      <w:r>
        <w:rPr>
          <w:rFonts w:hint="eastAsia"/>
          <w:sz w:val="52"/>
          <w:szCs w:val="56"/>
        </w:rPr>
        <w:t>版权保护文件</w:t>
      </w:r>
    </w:p>
    <w:p>
      <w:pPr>
        <w:rPr>
          <w:sz w:val="52"/>
          <w:szCs w:val="56"/>
        </w:rPr>
      </w:pPr>
      <w:r>
        <w:rPr>
          <w:rFonts w:hint="eastAsia" w:ascii="宋体" w:hAnsi="宋体"/>
          <w:szCs w:val="21"/>
        </w:rPr>
        <w:t>本文件规定了“领跑者”标准评价要求 木门的术语和定义、评价指标体系和评价方法，适用于</w:t>
      </w:r>
      <w:r>
        <w:rPr>
          <w:rFonts w:hint="eastAsia" w:ascii="Times New Roman" w:hAnsi="Times New Roman" w:eastAsia="宋体" w:cs="Arial"/>
          <w:color w:val="000000" w:themeColor="text1"/>
        </w:rPr>
        <w:t>建筑用室内木门产品企业标准水平评价</w:t>
      </w:r>
      <w:r>
        <w:rPr>
          <w:rFonts w:hint="eastAsia" w:ascii="宋体" w:hAnsi="宋体"/>
          <w:szCs w:val="21"/>
        </w:rPr>
        <w:t>。请注意本文件的某些内容可能涉及专利。本文件发布机构不承担识别这些专利的责任。本文件版权所有归属于该文件的发布机构。除非有其他规定，否则未得许可，此发行物及其中章节不得以其他形式或任何手段进行生产和使用，包括电子版、影印件，或发布在互联网及内部网络等，使用许可可于发布机构获取。</w:t>
      </w:r>
    </w:p>
    <w:p>
      <w:pPr>
        <w:pStyle w:val="68"/>
        <w:spacing w:before="240"/>
        <w:ind w:right="82" w:rightChars="39"/>
        <w:rPr>
          <w:rFonts w:ascii="Times New Roman"/>
        </w:rPr>
        <w:sectPr>
          <w:headerReference r:id="rId8" w:type="first"/>
          <w:headerReference r:id="rId6" w:type="default"/>
          <w:footerReference r:id="rId9" w:type="default"/>
          <w:headerReference r:id="rId7" w:type="even"/>
          <w:footerReference r:id="rId10" w:type="even"/>
          <w:pgSz w:w="11907" w:h="16839"/>
          <w:pgMar w:top="1418" w:right="1134" w:bottom="1134" w:left="1418" w:header="993" w:footer="851" w:gutter="0"/>
          <w:pgNumType w:fmt="upperRoman" w:start="1"/>
          <w:cols w:space="425" w:num="1"/>
          <w:docGrid w:type="lines" w:linePitch="312" w:charSpace="0"/>
        </w:sectPr>
      </w:pPr>
    </w:p>
    <w:p>
      <w:pPr>
        <w:pStyle w:val="68"/>
        <w:spacing w:before="240"/>
        <w:ind w:right="82" w:rightChars="39"/>
        <w:rPr>
          <w:rFonts w:ascii="Times New Roman"/>
        </w:rPr>
      </w:pPr>
      <w:r>
        <w:rPr>
          <w:rFonts w:hint="eastAsia" w:ascii="Times New Roman"/>
          <w:spacing w:val="0"/>
          <w:kern w:val="0"/>
          <w:fitText w:val="1280" w:id="581855952"/>
        </w:rPr>
        <w:t>前</w:t>
      </w:r>
      <w:bookmarkStart w:id="4" w:name="BKQY"/>
      <w:r>
        <w:rPr>
          <w:rFonts w:ascii="Times New Roman"/>
          <w:spacing w:val="0"/>
          <w:kern w:val="0"/>
          <w:fitText w:val="1280" w:id="581855952"/>
        </w:rPr>
        <w:t>  </w:t>
      </w:r>
      <w:r>
        <w:rPr>
          <w:rFonts w:hint="eastAsia" w:ascii="Times New Roman"/>
          <w:spacing w:val="0"/>
          <w:kern w:val="0"/>
          <w:fitText w:val="1280" w:id="581855952"/>
        </w:rPr>
        <w:t>言</w:t>
      </w:r>
      <w:bookmarkEnd w:id="0"/>
      <w:bookmarkEnd w:id="1"/>
      <w:bookmarkEnd w:id="2"/>
      <w:bookmarkEnd w:id="3"/>
      <w:bookmarkEnd w:id="4"/>
    </w:p>
    <w:p>
      <w:pPr>
        <w:spacing w:line="360" w:lineRule="auto"/>
        <w:ind w:firstLine="420" w:firstLineChars="200"/>
        <w:rPr>
          <w:rFonts w:ascii="Times New Roman" w:hAnsi="Times New Roman" w:cs="Times New Roman"/>
          <w:sz w:val="24"/>
        </w:rPr>
      </w:pPr>
      <w:r>
        <w:rPr>
          <w:rFonts w:hint="eastAsia" w:cs="宋体"/>
        </w:rPr>
        <w:t>本文件按</w:t>
      </w:r>
      <w:r>
        <w:rPr>
          <w:rFonts w:ascii="Times New Roman" w:hAnsi="Times New Roman" w:cs="Times New Roman"/>
        </w:rPr>
        <w:t>照</w:t>
      </w:r>
      <w:r>
        <w:rPr>
          <w:rFonts w:ascii="Times New Roman" w:hAnsi="Times New Roman" w:eastAsia="宋体" w:cs="Times New Roman"/>
          <w:color w:val="000000"/>
          <w:kern w:val="0"/>
        </w:rPr>
        <w:t>GB/T 1.1-2020《标准化工作导则 第1部分：标准化文件的结构和起草规则》的规定起草。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pStyle w:val="28"/>
        <w:spacing w:line="300" w:lineRule="auto"/>
        <w:rPr>
          <w:rFonts w:ascii="Times New Roman" w:hAnsi="Times New Roman" w:eastAsia="宋体" w:cs="宋体"/>
          <w:color w:val="000000" w:themeColor="text1"/>
          <w:kern w:val="0"/>
          <w:szCs w:val="21"/>
        </w:rPr>
      </w:pPr>
      <w:bookmarkStart w:id="5" w:name="_Hlk38245198"/>
      <w:r>
        <w:rPr>
          <w:rFonts w:hint="eastAsia" w:ascii="Times New Roman" w:hAnsi="Times New Roman" w:eastAsia="宋体" w:cs="宋体"/>
          <w:color w:val="000000" w:themeColor="text1"/>
          <w:kern w:val="0"/>
          <w:szCs w:val="21"/>
        </w:rPr>
        <w:t>本文件由中国建筑材料联合会</w:t>
      </w:r>
      <w:r>
        <w:rPr>
          <w:rFonts w:hint="eastAsia" w:ascii="Times New Roman" w:hAnsi="Times New Roman" w:eastAsia="宋体" w:cs="宋体"/>
          <w:color w:val="000000" w:themeColor="text1"/>
          <w:kern w:val="0"/>
          <w:szCs w:val="21"/>
          <w:lang w:val="en-US" w:eastAsia="zh-CN"/>
        </w:rPr>
        <w:t>和中国技术经济学会</w:t>
      </w:r>
      <w:r>
        <w:rPr>
          <w:rFonts w:hint="eastAsia" w:ascii="Times New Roman" w:hAnsi="Times New Roman" w:eastAsia="宋体" w:cs="宋体"/>
          <w:color w:val="000000" w:themeColor="text1"/>
          <w:kern w:val="0"/>
          <w:szCs w:val="21"/>
        </w:rPr>
        <w:t>提出并归口</w:t>
      </w:r>
      <w:bookmarkEnd w:id="5"/>
      <w:r>
        <w:rPr>
          <w:rFonts w:hint="eastAsia" w:ascii="Times New Roman" w:hAnsi="Times New Roman" w:eastAsia="宋体" w:cs="宋体"/>
          <w:color w:val="000000" w:themeColor="text1"/>
          <w:kern w:val="0"/>
          <w:szCs w:val="21"/>
        </w:rPr>
        <w:t>。</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中国建材检验认证集团股份有限公司</w:t>
      </w:r>
    </w:p>
    <w:p>
      <w:pPr>
        <w:pStyle w:val="28"/>
        <w:spacing w:line="300" w:lineRule="auto"/>
        <w:rPr>
          <w:rFonts w:ascii="Times New Roman"/>
          <w:color w:val="000000" w:themeColor="text1"/>
        </w:rPr>
      </w:pPr>
      <w:r>
        <w:rPr>
          <w:rFonts w:hint="eastAsia" w:ascii="Times New Roman"/>
          <w:color w:val="000000" w:themeColor="text1"/>
        </w:rPr>
        <w:t>本文件参加起草单位：</w:t>
      </w:r>
    </w:p>
    <w:p>
      <w:pPr>
        <w:pStyle w:val="28"/>
        <w:spacing w:line="300" w:lineRule="auto"/>
        <w:rPr>
          <w:rFonts w:ascii="Times New Roman"/>
          <w:color w:val="000000" w:themeColor="text1"/>
        </w:rPr>
      </w:pPr>
      <w:r>
        <w:rPr>
          <w:rFonts w:hint="eastAsia" w:ascii="Times New Roman"/>
          <w:color w:val="000000" w:themeColor="text1"/>
        </w:rPr>
        <w:t>本文件主要起草人：</w:t>
      </w:r>
    </w:p>
    <w:p>
      <w:pPr>
        <w:pStyle w:val="28"/>
        <w:spacing w:line="300" w:lineRule="auto"/>
        <w:rPr>
          <w:rFonts w:ascii="Times New Roman" w:hAnsi="Times New Roman" w:eastAsia="宋体" w:cs="宋体"/>
          <w:color w:val="000000" w:themeColor="text1"/>
          <w:kern w:val="0"/>
          <w:szCs w:val="21"/>
        </w:rPr>
      </w:pPr>
    </w:p>
    <w:p>
      <w:pPr>
        <w:pStyle w:val="28"/>
        <w:sectPr>
          <w:headerReference r:id="rId11" w:type="default"/>
          <w:footerReference r:id="rId12" w:type="default"/>
          <w:pgSz w:w="11906" w:h="16838"/>
          <w:pgMar w:top="567" w:right="1134" w:bottom="1134" w:left="1418" w:header="1418" w:footer="1134" w:gutter="0"/>
          <w:pgNumType w:fmt="upperRoman" w:start="1"/>
          <w:cols w:space="720" w:num="1"/>
          <w:formProt w:val="0"/>
          <w:docGrid w:type="lines" w:linePitch="312" w:charSpace="0"/>
        </w:sectPr>
      </w:pPr>
    </w:p>
    <w:p>
      <w:pPr>
        <w:pStyle w:val="68"/>
      </w:pPr>
      <w:bookmarkStart w:id="6" w:name="_Toc65687977"/>
      <w:bookmarkStart w:id="7" w:name="_Hlk66452004"/>
      <w:r>
        <w:rPr>
          <w:rFonts w:hint="eastAsia"/>
        </w:rPr>
        <w:t>引</w:t>
      </w:r>
      <w:r>
        <w:rPr>
          <w:rFonts w:hint="eastAsia" w:ascii="MS Mincho" w:hAnsi="MS Mincho" w:eastAsia="MS Mincho" w:cs="MS Mincho"/>
        </w:rPr>
        <w:t>  </w:t>
      </w:r>
      <w:r>
        <w:rPr>
          <w:rFonts w:hint="eastAsia"/>
        </w:rPr>
        <w:t>言</w:t>
      </w:r>
      <w:bookmarkEnd w:id="6"/>
    </w:p>
    <w:p>
      <w:pPr>
        <w:pStyle w:val="28"/>
        <w:spacing w:line="360" w:lineRule="auto"/>
        <w:rPr>
          <w:rFonts w:hAnsi="宋体" w:eastAsia="宋体" w:cs="Times New Roman"/>
        </w:rPr>
      </w:pPr>
      <w:r>
        <w:rPr>
          <w:rFonts w:hint="eastAsia" w:hAnsi="宋体" w:eastAsia="宋体" w:cs="Times New Roman"/>
        </w:rPr>
        <w:t>放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的先进引领作用未能充分体现。</w:t>
      </w:r>
    </w:p>
    <w:p>
      <w:pPr>
        <w:pStyle w:val="28"/>
        <w:spacing w:line="360" w:lineRule="auto"/>
        <w:rPr>
          <w:rFonts w:hAnsi="宋体" w:eastAsia="宋体" w:cs="Times New Roman"/>
        </w:rPr>
      </w:pPr>
      <w:r>
        <w:rPr>
          <w:rFonts w:hint="eastAsia" w:hAnsi="宋体" w:eastAsia="宋体" w:cs="Times New Roman"/>
        </w:rPr>
        <w:t>2</w:t>
      </w:r>
      <w:r>
        <w:rPr>
          <w:rFonts w:hAnsi="宋体" w:eastAsia="宋体" w:cs="Times New Roman"/>
        </w:rPr>
        <w:t>018</w:t>
      </w:r>
      <w:r>
        <w:rPr>
          <w:rFonts w:hint="eastAsia" w:hAnsi="宋体" w:eastAsia="宋体" w:cs="Times New Roman"/>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pPr>
        <w:pStyle w:val="28"/>
        <w:spacing w:line="360" w:lineRule="auto"/>
        <w:rPr>
          <w:rFonts w:hAnsi="宋体" w:eastAsia="宋体" w:cs="Times New Roman"/>
        </w:rPr>
      </w:pPr>
      <w:bookmarkStart w:id="8" w:name="OLE_LINK28"/>
      <w:bookmarkStart w:id="9" w:name="OLE_LINK27"/>
      <w:r>
        <w:rPr>
          <w:rFonts w:hint="eastAsia" w:hAnsi="宋体" w:eastAsia="宋体" w:cs="Times New Roman"/>
        </w:rPr>
        <w:t>通过建立纸面石膏板“领跑者”标准，一方面可为行业实施企业标准“领跑者”评价提供技术支撑，另一方面，通过建立“领跑者”</w:t>
      </w:r>
      <w:r>
        <w:rPr>
          <w:rFonts w:hAnsi="宋体" w:eastAsia="宋体" w:cs="Times New Roman"/>
        </w:rPr>
        <w:t>指标</w:t>
      </w:r>
      <w:r>
        <w:rPr>
          <w:rFonts w:hint="eastAsia" w:hAnsi="宋体" w:eastAsia="宋体" w:cs="Times New Roman"/>
        </w:rPr>
        <w:t>，挖掘、体现产品及行业的技术先进性，有利于树立行业标杆，引导企业设计开发更加优质、安全、环保的石膏板产品，支撑行业高速高质发展的市场消费需求，提高行业整体的质量安全和绿色化水平，增强国际市场竞争力。</w:t>
      </w:r>
      <w:bookmarkEnd w:id="8"/>
      <w:bookmarkEnd w:id="9"/>
    </w:p>
    <w:p>
      <w:pPr>
        <w:pStyle w:val="28"/>
        <w:spacing w:line="360" w:lineRule="auto"/>
        <w:rPr>
          <w:rFonts w:ascii="Times New Roman" w:hAnsi="Times New Roman" w:cs="Times New Roman"/>
        </w:rPr>
      </w:pPr>
    </w:p>
    <w:p>
      <w:pPr>
        <w:pStyle w:val="37"/>
        <w:rPr>
          <w:rFonts w:cs="黑体"/>
          <w:szCs w:val="32"/>
        </w:rPr>
      </w:pPr>
      <w:r>
        <w:rPr>
          <w:rFonts w:hint="eastAsia" w:cs="黑体"/>
          <w:szCs w:val="32"/>
        </w:rPr>
        <w:t>“领跑者”标准评价纸面石膏板</w:t>
      </w:r>
      <w:bookmarkEnd w:id="7"/>
    </w:p>
    <w:p>
      <w:pPr>
        <w:pStyle w:val="39"/>
        <w:numPr>
          <w:ilvl w:val="0"/>
          <w:numId w:val="2"/>
        </w:numPr>
        <w:spacing w:before="312" w:after="312"/>
        <w:rPr>
          <w:bCs/>
          <w:color w:val="000000"/>
          <w:sz w:val="24"/>
          <w:szCs w:val="24"/>
        </w:rPr>
      </w:pPr>
      <w:bookmarkStart w:id="10" w:name="_Toc360436746"/>
      <w:bookmarkStart w:id="11" w:name="_Toc350863984"/>
      <w:bookmarkStart w:id="12" w:name="_Toc360632420"/>
      <w:bookmarkStart w:id="13" w:name="_Toc462063250"/>
      <w:bookmarkStart w:id="14" w:name="_Toc360436832"/>
      <w:bookmarkStart w:id="15" w:name="_Toc406486337"/>
      <w:bookmarkStart w:id="16" w:name="_Toc396134027"/>
      <w:r>
        <w:rPr>
          <w:rFonts w:hint="eastAsia"/>
          <w:bCs/>
          <w:color w:val="000000"/>
          <w:sz w:val="24"/>
          <w:szCs w:val="24"/>
        </w:rPr>
        <w:t>范围</w:t>
      </w:r>
      <w:bookmarkEnd w:id="10"/>
      <w:bookmarkEnd w:id="11"/>
      <w:bookmarkEnd w:id="12"/>
      <w:bookmarkEnd w:id="13"/>
      <w:bookmarkEnd w:id="14"/>
      <w:bookmarkEnd w:id="15"/>
      <w:bookmarkEnd w:id="16"/>
    </w:p>
    <w:p>
      <w:pPr>
        <w:pStyle w:val="28"/>
        <w:rPr>
          <w:rFonts w:hAnsi="宋体" w:eastAsia="宋体"/>
        </w:rPr>
      </w:pPr>
      <w:r>
        <w:rPr>
          <w:rFonts w:hAnsi="宋体" w:eastAsia="宋体"/>
        </w:rPr>
        <w:t>本文件规定了</w:t>
      </w:r>
      <w:r>
        <w:rPr>
          <w:rFonts w:hint="eastAsia" w:hAnsi="宋体" w:eastAsia="宋体"/>
        </w:rPr>
        <w:t>纸面石膏板的“领跑者”标准评价的术语定义、基本要求、评价指标体系和评价方法。</w:t>
      </w:r>
    </w:p>
    <w:p>
      <w:pPr>
        <w:ind w:firstLine="420" w:firstLineChars="200"/>
        <w:jc w:val="left"/>
        <w:rPr>
          <w:rFonts w:ascii="宋体" w:hAnsi="宋体"/>
        </w:rPr>
      </w:pPr>
      <w:r>
        <w:rPr>
          <w:rFonts w:hint="eastAsia" w:ascii="宋体" w:hAnsi="宋体"/>
        </w:rPr>
        <w:t>本文件适用于建筑物中用作非承重内墙体及吊顶用的各类型纸面石膏板。</w:t>
      </w:r>
    </w:p>
    <w:p>
      <w:pPr>
        <w:pStyle w:val="39"/>
        <w:numPr>
          <w:ilvl w:val="0"/>
          <w:numId w:val="2"/>
        </w:numPr>
        <w:spacing w:before="312" w:after="312"/>
        <w:rPr>
          <w:bCs/>
          <w:color w:val="000000"/>
          <w:sz w:val="24"/>
          <w:szCs w:val="24"/>
        </w:rPr>
      </w:pPr>
      <w:bookmarkStart w:id="17" w:name="_Toc533518555"/>
      <w:r>
        <w:rPr>
          <w:rFonts w:hint="eastAsia"/>
          <w:bCs/>
          <w:color w:val="000000"/>
          <w:sz w:val="24"/>
          <w:szCs w:val="24"/>
        </w:rPr>
        <w:t>规范性引用文件</w:t>
      </w:r>
      <w:bookmarkEnd w:id="17"/>
    </w:p>
    <w:p>
      <w:pPr>
        <w:pStyle w:val="28"/>
        <w:rPr>
          <w:rFonts w:ascii="Times New Roman" w:hAnsi="Times New Roman" w:eastAsia="宋体" w:cs="Times New Roman"/>
        </w:rPr>
      </w:pPr>
      <w:r>
        <w:rPr>
          <w:rFonts w:ascii="Times New Roman" w:hAnsi="Times New Roman" w:eastAsia="宋体" w:cs="Times New Roman"/>
        </w:rPr>
        <w:t>下列文件对于本文件的应用是必不可少的。凡是注日期的引用文件，仅注日期的版本适用于本文件。凡是不注日期的引用文件，其最新版本（包括所有的修改单）适用于本文件。</w:t>
      </w:r>
    </w:p>
    <w:p>
      <w:pPr>
        <w:pStyle w:val="44"/>
        <w:ind w:firstLine="420"/>
        <w:rPr>
          <w:szCs w:val="22"/>
        </w:rPr>
      </w:pPr>
      <w:r>
        <w:rPr>
          <w:rFonts w:hint="eastAsia"/>
          <w:szCs w:val="22"/>
        </w:rPr>
        <w:t>G</w:t>
      </w:r>
      <w:r>
        <w:rPr>
          <w:szCs w:val="22"/>
        </w:rPr>
        <w:t>B 6566</w:t>
      </w:r>
      <w:r>
        <w:rPr>
          <w:rFonts w:hint="eastAsia"/>
          <w:szCs w:val="22"/>
        </w:rPr>
        <w:t>建筑材料放射性核素限量</w:t>
      </w:r>
    </w:p>
    <w:p>
      <w:pPr>
        <w:pStyle w:val="44"/>
        <w:ind w:firstLine="420"/>
        <w:rPr>
          <w:szCs w:val="22"/>
        </w:rPr>
      </w:pPr>
      <w:r>
        <w:rPr>
          <w:szCs w:val="22"/>
        </w:rPr>
        <w:t>GB/T 9775纸面石膏板</w:t>
      </w:r>
    </w:p>
    <w:p>
      <w:pPr>
        <w:pStyle w:val="44"/>
        <w:ind w:firstLine="420"/>
        <w:rPr>
          <w:szCs w:val="22"/>
        </w:rPr>
      </w:pPr>
      <w:r>
        <w:rPr>
          <w:rFonts w:hint="eastAsia"/>
          <w:szCs w:val="22"/>
        </w:rPr>
        <w:t>GB/T 24025环境标志和声明Ⅲ型环境声明原则和程序</w:t>
      </w:r>
    </w:p>
    <w:p>
      <w:pPr>
        <w:pStyle w:val="39"/>
        <w:numPr>
          <w:ilvl w:val="0"/>
          <w:numId w:val="2"/>
        </w:numPr>
        <w:spacing w:before="312" w:after="312"/>
        <w:rPr>
          <w:bCs/>
          <w:color w:val="000000"/>
          <w:sz w:val="24"/>
          <w:szCs w:val="24"/>
        </w:rPr>
      </w:pPr>
      <w:bookmarkStart w:id="18" w:name="_Toc533518556"/>
      <w:r>
        <w:rPr>
          <w:rFonts w:hint="eastAsia"/>
          <w:bCs/>
          <w:color w:val="000000"/>
          <w:sz w:val="24"/>
          <w:szCs w:val="24"/>
        </w:rPr>
        <w:t>术语和定义</w:t>
      </w:r>
      <w:bookmarkEnd w:id="18"/>
    </w:p>
    <w:p>
      <w:pPr>
        <w:pStyle w:val="28"/>
        <w:rPr>
          <w:rFonts w:ascii="Times New Roman" w:hAnsi="Times New Roman" w:eastAsia="宋体" w:cs="Times New Roman"/>
          <w:kern w:val="0"/>
          <w:szCs w:val="20"/>
        </w:rPr>
      </w:pPr>
      <w:r>
        <w:rPr>
          <w:rFonts w:hint="eastAsia" w:ascii="Times New Roman" w:hAnsi="Times New Roman" w:eastAsia="宋体" w:cs="Times New Roman"/>
          <w:kern w:val="0"/>
          <w:szCs w:val="20"/>
        </w:rPr>
        <w:t>下列术语和定义适用于本文件。</w:t>
      </w:r>
    </w:p>
    <w:p>
      <w:pPr>
        <w:pStyle w:val="39"/>
        <w:numPr>
          <w:ilvl w:val="0"/>
          <w:numId w:val="0"/>
        </w:numPr>
        <w:tabs>
          <w:tab w:val="left" w:pos="0"/>
        </w:tabs>
        <w:spacing w:before="312" w:after="312"/>
        <w:outlineLvl w:val="2"/>
        <w:rPr>
          <w:color w:val="000000"/>
        </w:rPr>
      </w:pPr>
      <w:bookmarkStart w:id="19" w:name="_Toc519084144"/>
      <w:bookmarkEnd w:id="19"/>
      <w:bookmarkStart w:id="20" w:name="_Toc509139384"/>
      <w:bookmarkEnd w:id="20"/>
      <w:bookmarkStart w:id="21" w:name="_Toc521666153"/>
      <w:bookmarkEnd w:id="21"/>
      <w:bookmarkStart w:id="22" w:name="_Toc524004774"/>
      <w:bookmarkEnd w:id="22"/>
      <w:bookmarkStart w:id="23" w:name="_Toc509984955"/>
      <w:bookmarkEnd w:id="23"/>
      <w:bookmarkStart w:id="24" w:name="_Toc511069682"/>
      <w:bookmarkEnd w:id="24"/>
      <w:bookmarkStart w:id="25" w:name="_Toc406486340"/>
      <w:bookmarkStart w:id="26" w:name="_Toc533510791"/>
      <w:bookmarkStart w:id="27" w:name="_Toc533518557"/>
      <w:bookmarkStart w:id="28" w:name="_Toc406143963"/>
      <w:bookmarkStart w:id="29" w:name="_Toc396118199"/>
      <w:bookmarkStart w:id="30" w:name="_Toc360436835"/>
      <w:bookmarkStart w:id="31" w:name="_Toc384816546"/>
      <w:bookmarkStart w:id="32" w:name="_Toc533510664"/>
      <w:bookmarkStart w:id="33" w:name="_Toc462063253"/>
      <w:bookmarkStart w:id="34" w:name="_Toc360436749"/>
      <w:bookmarkStart w:id="35" w:name="_Toc397348586"/>
      <w:bookmarkStart w:id="36" w:name="_Toc408495873"/>
      <w:bookmarkStart w:id="37" w:name="_Toc396134030"/>
      <w:bookmarkStart w:id="38" w:name="_Toc360632654"/>
      <w:bookmarkStart w:id="39" w:name="_Toc360632423"/>
      <w:bookmarkStart w:id="40" w:name="_Toc397433558"/>
      <w:bookmarkStart w:id="41" w:name="_Toc350863987"/>
      <w:r>
        <w:rPr>
          <w:rFonts w:hint="eastAsia"/>
          <w:color w:val="000000"/>
        </w:rPr>
        <w:t>3.1</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widowControl/>
        <w:tabs>
          <w:tab w:val="center" w:pos="4201"/>
          <w:tab w:val="right" w:leader="dot" w:pos="9298"/>
        </w:tabs>
        <w:autoSpaceDE w:val="0"/>
        <w:autoSpaceDN w:val="0"/>
        <w:ind w:firstLine="420" w:firstLineChars="200"/>
        <w:rPr>
          <w:rFonts w:eastAsia="黑体"/>
        </w:rPr>
      </w:pPr>
      <w:bookmarkStart w:id="42" w:name="_Toc350863991"/>
      <w:bookmarkStart w:id="43" w:name="_Toc396134034"/>
      <w:bookmarkStart w:id="44" w:name="_Toc363024794"/>
      <w:bookmarkStart w:id="45" w:name="_Toc382580630"/>
      <w:bookmarkStart w:id="46" w:name="_Toc384816550"/>
      <w:bookmarkStart w:id="47" w:name="OLE_LINK5"/>
      <w:bookmarkStart w:id="48" w:name="_Toc396118203"/>
      <w:bookmarkStart w:id="49" w:name="_Toc397348590"/>
      <w:bookmarkStart w:id="50" w:name="_Toc397433562"/>
      <w:bookmarkStart w:id="51" w:name="_Toc406143967"/>
      <w:bookmarkStart w:id="52" w:name="OLE_LINK6"/>
      <w:r>
        <w:rPr>
          <w:rFonts w:eastAsia="黑体"/>
        </w:rPr>
        <w:t>环境产品声明environmental product declaration</w:t>
      </w:r>
    </w:p>
    <w:p>
      <w:pPr>
        <w:pStyle w:val="28"/>
        <w:rPr>
          <w:rFonts w:ascii="Times New Roman" w:hAnsi="Times New Roman" w:eastAsia="宋体" w:cs="Times New Roman"/>
          <w:kern w:val="0"/>
          <w:szCs w:val="20"/>
        </w:rPr>
      </w:pPr>
      <w:r>
        <w:rPr>
          <w:rFonts w:ascii="Times New Roman" w:hAnsi="Times New Roman" w:eastAsia="宋体" w:cs="Times New Roman"/>
          <w:kern w:val="0"/>
          <w:szCs w:val="20"/>
        </w:rPr>
        <w:t>提供基于预设参数的量化环境数据的环境声明，必要时包括附加环境信息。</w:t>
      </w:r>
    </w:p>
    <w:p>
      <w:pPr>
        <w:pStyle w:val="39"/>
        <w:numPr>
          <w:ilvl w:val="0"/>
          <w:numId w:val="0"/>
        </w:numPr>
        <w:tabs>
          <w:tab w:val="left" w:pos="0"/>
        </w:tabs>
        <w:spacing w:before="312" w:after="312"/>
        <w:outlineLvl w:val="2"/>
        <w:rPr>
          <w:color w:val="000000"/>
        </w:rPr>
      </w:pPr>
      <w:bookmarkStart w:id="53" w:name="_Toc408495875"/>
      <w:bookmarkStart w:id="54" w:name="_Toc462063256"/>
      <w:bookmarkStart w:id="55" w:name="_Toc30452"/>
      <w:r>
        <w:rPr>
          <w:rFonts w:hint="eastAsia"/>
          <w:color w:val="000000"/>
        </w:rPr>
        <w:t>3.</w:t>
      </w:r>
      <w:bookmarkEnd w:id="53"/>
      <w:bookmarkEnd w:id="54"/>
      <w:r>
        <w:rPr>
          <w:color w:val="000000"/>
        </w:rPr>
        <w:t>2</w:t>
      </w:r>
    </w:p>
    <w:bookmarkEnd w:id="55"/>
    <w:p>
      <w:pPr>
        <w:widowControl/>
        <w:tabs>
          <w:tab w:val="center" w:pos="4201"/>
          <w:tab w:val="right" w:leader="dot" w:pos="9298"/>
        </w:tabs>
        <w:autoSpaceDE w:val="0"/>
        <w:autoSpaceDN w:val="0"/>
        <w:ind w:firstLine="420" w:firstLineChars="200"/>
        <w:rPr>
          <w:rFonts w:eastAsia="黑体"/>
        </w:rPr>
      </w:pPr>
      <w:r>
        <w:rPr>
          <w:rFonts w:eastAsia="黑体"/>
        </w:rPr>
        <w:t>碳足迹</w:t>
      </w:r>
      <w:r>
        <w:fldChar w:fldCharType="begin"/>
      </w:r>
      <w:r>
        <w:instrText xml:space="preserve"> HYPERLINK "http://www.baidu.com/link?url=NM-sDc8vF8f6LBJJjre3x3OgH29MNSR7nUOi6mno3-iVlHb3Zlvs9wTbxnKcKC6gPud9_XI7Qg3qobY6J2p3_MuxwSugBbZWQE3OggbMvUq" \t "https://www.baidu.com/_blank" </w:instrText>
      </w:r>
      <w:r>
        <w:fldChar w:fldCharType="separate"/>
      </w:r>
      <w:r>
        <w:rPr>
          <w:rFonts w:eastAsia="黑体"/>
        </w:rPr>
        <w:t>carbon footprint</w:t>
      </w:r>
      <w:r>
        <w:rPr>
          <w:rFonts w:eastAsia="黑体"/>
        </w:rPr>
        <w:fldChar w:fldCharType="end"/>
      </w:r>
    </w:p>
    <w:p>
      <w:pPr>
        <w:spacing w:line="300" w:lineRule="auto"/>
        <w:ind w:firstLine="420" w:firstLineChars="200"/>
        <w:rPr>
          <w:kern w:val="0"/>
          <w:szCs w:val="20"/>
        </w:rPr>
      </w:pPr>
      <w:r>
        <w:rPr>
          <w:kern w:val="0"/>
          <w:szCs w:val="20"/>
        </w:rPr>
        <w:t>用以量化过程、过程系统或产品系统温室气体排放的参数，以表现它们对气候变化的贡献。</w:t>
      </w:r>
    </w:p>
    <w:p>
      <w:pPr>
        <w:pStyle w:val="39"/>
        <w:numPr>
          <w:ilvl w:val="0"/>
          <w:numId w:val="0"/>
        </w:numPr>
        <w:tabs>
          <w:tab w:val="left" w:pos="0"/>
        </w:tabs>
        <w:spacing w:before="312" w:after="312"/>
        <w:outlineLvl w:val="2"/>
        <w:rPr>
          <w:color w:val="000000"/>
        </w:rPr>
      </w:pPr>
      <w:r>
        <w:rPr>
          <w:rFonts w:hint="eastAsia"/>
          <w:color w:val="000000"/>
        </w:rPr>
        <w:t>3</w:t>
      </w:r>
      <w:r>
        <w:rPr>
          <w:color w:val="000000"/>
        </w:rPr>
        <w:t>.3</w:t>
      </w:r>
    </w:p>
    <w:p>
      <w:pPr>
        <w:widowControl/>
        <w:tabs>
          <w:tab w:val="center" w:pos="4201"/>
          <w:tab w:val="right" w:leader="dot" w:pos="9298"/>
        </w:tabs>
        <w:autoSpaceDE w:val="0"/>
        <w:autoSpaceDN w:val="0"/>
        <w:ind w:firstLine="420" w:firstLineChars="200"/>
        <w:rPr>
          <w:rFonts w:eastAsia="黑体"/>
        </w:rPr>
      </w:pPr>
      <w:r>
        <w:rPr>
          <w:rFonts w:hint="eastAsia" w:eastAsia="黑体"/>
        </w:rPr>
        <w:t>纸面石膏板</w:t>
      </w:r>
      <w:r>
        <w:rPr>
          <w:rFonts w:eastAsia="黑体"/>
        </w:rPr>
        <w:t>gypsum plasterboard</w:t>
      </w:r>
    </w:p>
    <w:p>
      <w:pPr>
        <w:spacing w:line="300" w:lineRule="auto"/>
        <w:ind w:firstLine="420" w:firstLineChars="200"/>
        <w:rPr>
          <w:kern w:val="0"/>
          <w:szCs w:val="20"/>
        </w:rPr>
      </w:pPr>
      <w:r>
        <w:rPr>
          <w:rFonts w:hint="eastAsia"/>
          <w:kern w:val="0"/>
          <w:szCs w:val="20"/>
        </w:rPr>
        <w:t>以建筑石膏为主要原料，掺入适量玻璃纤维增强材料和外加剂等，在与水搅拌后，浇筑于护面纸的面纸与背纸之间，并与护面纸牢固地粘结在一起的建筑板材。</w:t>
      </w:r>
    </w:p>
    <w:p>
      <w:pPr>
        <w:ind w:firstLine="300" w:firstLineChars="200"/>
        <w:jc w:val="left"/>
        <w:rPr>
          <w:kern w:val="0"/>
          <w:sz w:val="15"/>
          <w:szCs w:val="15"/>
        </w:rPr>
      </w:pPr>
      <w:r>
        <w:rPr>
          <w:rFonts w:hint="eastAsia" w:ascii="黑体" w:hAnsi="黑体" w:eastAsia="黑体"/>
          <w:kern w:val="0"/>
          <w:sz w:val="15"/>
          <w:szCs w:val="15"/>
        </w:rPr>
        <w:t>注</w:t>
      </w:r>
      <w:r>
        <w:rPr>
          <w:rFonts w:hint="eastAsia"/>
          <w:kern w:val="0"/>
          <w:sz w:val="15"/>
          <w:szCs w:val="15"/>
        </w:rPr>
        <w:t>：按照所掺入的不同外加剂以及所用不同功能的护面纸，纸面石膏板可区分为：普通纸面石膏板、耐水纸面石膏板、耐火纸面石膏板和耐水耐火纸面石膏板。</w:t>
      </w:r>
    </w:p>
    <w:bookmarkEnd w:id="42"/>
    <w:bookmarkEnd w:id="43"/>
    <w:bookmarkEnd w:id="44"/>
    <w:bookmarkEnd w:id="45"/>
    <w:bookmarkEnd w:id="46"/>
    <w:bookmarkEnd w:id="47"/>
    <w:bookmarkEnd w:id="48"/>
    <w:bookmarkEnd w:id="49"/>
    <w:bookmarkEnd w:id="50"/>
    <w:bookmarkEnd w:id="51"/>
    <w:bookmarkEnd w:id="52"/>
    <w:p>
      <w:pPr>
        <w:pStyle w:val="39"/>
        <w:numPr>
          <w:ilvl w:val="0"/>
          <w:numId w:val="2"/>
        </w:numPr>
        <w:spacing w:before="312" w:after="312"/>
        <w:rPr>
          <w:bCs/>
          <w:color w:val="000000"/>
          <w:sz w:val="24"/>
          <w:szCs w:val="24"/>
        </w:rPr>
      </w:pPr>
      <w:bookmarkStart w:id="56" w:name="_Toc406486353"/>
      <w:bookmarkStart w:id="57" w:name="_Toc462063257"/>
      <w:r>
        <w:rPr>
          <w:rFonts w:hint="eastAsia"/>
          <w:bCs/>
          <w:color w:val="000000"/>
          <w:sz w:val="24"/>
          <w:szCs w:val="24"/>
        </w:rPr>
        <w:t>评价指标体系</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.1</w:t>
      </w:r>
      <w:r>
        <w:rPr>
          <w:rFonts w:hint="eastAsia" w:ascii="黑体" w:hAnsi="黑体" w:eastAsia="黑体"/>
          <w:b w:val="0"/>
          <w:sz w:val="21"/>
          <w:szCs w:val="21"/>
        </w:rPr>
        <w:t>基本要求</w:t>
      </w:r>
      <w:bookmarkEnd w:id="56"/>
      <w:bookmarkEnd w:id="57"/>
    </w:p>
    <w:p>
      <w:pPr>
        <w:spacing w:line="300" w:lineRule="auto"/>
        <w:rPr>
          <w:rFonts w:ascii="宋体" w:hAnsi="宋体"/>
          <w:bCs/>
          <w:szCs w:val="22"/>
        </w:rPr>
      </w:pPr>
      <w:r>
        <w:rPr>
          <w:rFonts w:hint="eastAsia" w:ascii="宋体" w:hAnsi="宋体"/>
          <w:bCs/>
          <w:szCs w:val="22"/>
        </w:rPr>
        <w:t>4</w:t>
      </w:r>
      <w:r>
        <w:rPr>
          <w:rFonts w:ascii="宋体" w:hAnsi="宋体"/>
          <w:bCs/>
          <w:szCs w:val="22"/>
        </w:rPr>
        <w:t>.1.1近三年，企业无环境、安全、质量事故；</w:t>
      </w:r>
    </w:p>
    <w:p>
      <w:pPr>
        <w:spacing w:line="300" w:lineRule="auto"/>
        <w:rPr>
          <w:rFonts w:ascii="宋体" w:hAnsi="宋体"/>
          <w:bCs/>
          <w:szCs w:val="22"/>
        </w:rPr>
      </w:pPr>
      <w:r>
        <w:rPr>
          <w:rFonts w:ascii="宋体" w:hAnsi="宋体"/>
          <w:bCs/>
          <w:szCs w:val="22"/>
        </w:rPr>
        <w:t>4.1.2</w:t>
      </w:r>
      <w:r>
        <w:rPr>
          <w:rFonts w:hint="eastAsia" w:ascii="宋体" w:hAnsi="宋体"/>
          <w:bCs/>
        </w:rPr>
        <w:t>企业应未被列入国家信用信息严重失信主体相关名录。</w:t>
      </w:r>
    </w:p>
    <w:p>
      <w:pPr>
        <w:spacing w:line="300" w:lineRule="auto"/>
        <w:rPr>
          <w:rFonts w:ascii="宋体" w:hAnsi="宋体"/>
          <w:bCs/>
          <w:szCs w:val="22"/>
        </w:rPr>
      </w:pPr>
      <w:r>
        <w:rPr>
          <w:rFonts w:ascii="宋体" w:hAnsi="宋体"/>
          <w:bCs/>
          <w:szCs w:val="22"/>
        </w:rPr>
        <w:t>4.1.3</w:t>
      </w:r>
      <w:r>
        <w:rPr>
          <w:rFonts w:hint="eastAsia"/>
          <w:bCs/>
        </w:rPr>
        <w:t>企业应建立并运行质量和环境管理体系。</w:t>
      </w:r>
    </w:p>
    <w:p>
      <w:pPr>
        <w:spacing w:line="300" w:lineRule="auto"/>
        <w:rPr>
          <w:rFonts w:ascii="宋体" w:hAnsi="宋体"/>
          <w:bCs/>
          <w:szCs w:val="22"/>
        </w:rPr>
      </w:pPr>
      <w:r>
        <w:rPr>
          <w:rFonts w:ascii="宋体" w:hAnsi="宋体"/>
          <w:bCs/>
          <w:szCs w:val="22"/>
        </w:rPr>
        <w:t>4.1.4产品应为</w:t>
      </w:r>
      <w:r>
        <w:rPr>
          <w:rFonts w:hint="eastAsia" w:ascii="宋体" w:hAnsi="宋体"/>
          <w:bCs/>
          <w:szCs w:val="22"/>
        </w:rPr>
        <w:t>量产</w:t>
      </w:r>
      <w:r>
        <w:rPr>
          <w:rFonts w:ascii="宋体" w:hAnsi="宋体"/>
          <w:bCs/>
          <w:szCs w:val="22"/>
        </w:rPr>
        <w:t>产品；</w:t>
      </w:r>
    </w:p>
    <w:p>
      <w:pPr>
        <w:spacing w:line="300" w:lineRule="auto"/>
        <w:rPr>
          <w:rFonts w:ascii="宋体" w:hAnsi="宋体"/>
          <w:bCs/>
          <w:szCs w:val="22"/>
        </w:rPr>
      </w:pPr>
      <w:r>
        <w:rPr>
          <w:rFonts w:ascii="宋体" w:hAnsi="宋体"/>
          <w:bCs/>
          <w:szCs w:val="22"/>
        </w:rPr>
        <w:t>4.1.5产品在近一年的产品质量国家监督抽查中无不合格情况。</w:t>
      </w:r>
    </w:p>
    <w:p>
      <w:pPr>
        <w:pStyle w:val="3"/>
        <w:tabs>
          <w:tab w:val="center" w:pos="4819"/>
        </w:tabs>
        <w:spacing w:before="200" w:after="200" w:line="360" w:lineRule="auto"/>
        <w:rPr>
          <w:rFonts w:ascii="黑体" w:hAnsi="黑体" w:eastAsia="黑体"/>
          <w:b w:val="0"/>
          <w:sz w:val="21"/>
          <w:szCs w:val="21"/>
        </w:rPr>
      </w:pPr>
      <w:bookmarkStart w:id="58" w:name="_Toc360436855"/>
      <w:bookmarkStart w:id="59" w:name="_Toc360632446"/>
      <w:bookmarkStart w:id="60" w:name="_Toc462063261"/>
      <w:bookmarkStart w:id="61" w:name="_Toc384816569"/>
      <w:bookmarkStart w:id="62" w:name="_Toc406486359"/>
      <w:bookmarkStart w:id="63" w:name="_Toc350864007"/>
      <w:bookmarkStart w:id="64" w:name="_Toc396134054"/>
      <w:bookmarkStart w:id="65" w:name="_Toc397433577"/>
      <w:bookmarkStart w:id="66" w:name="_Toc31213"/>
      <w:bookmarkStart w:id="67" w:name="_Toc360436768"/>
      <w:bookmarkStart w:id="68" w:name="_Toc397348606"/>
      <w:r>
        <w:rPr>
          <w:rFonts w:ascii="黑体" w:hAnsi="黑体" w:eastAsia="黑体"/>
          <w:b w:val="0"/>
          <w:sz w:val="21"/>
          <w:szCs w:val="21"/>
        </w:rPr>
        <w:t>4.2</w:t>
      </w:r>
      <w:r>
        <w:rPr>
          <w:rFonts w:hint="eastAsia" w:ascii="黑体" w:hAnsi="黑体" w:eastAsia="黑体"/>
          <w:b w:val="0"/>
          <w:sz w:val="21"/>
          <w:szCs w:val="21"/>
        </w:rPr>
        <w:t>评价指标分类</w:t>
      </w:r>
    </w:p>
    <w:p>
      <w:pPr>
        <w:spacing w:line="300" w:lineRule="auto"/>
        <w:rPr>
          <w:rFonts w:ascii="宋体" w:hAnsi="宋体"/>
          <w:bCs/>
          <w:szCs w:val="22"/>
        </w:rPr>
      </w:pPr>
      <w:r>
        <w:rPr>
          <w:rFonts w:ascii="宋体" w:hAnsi="宋体"/>
          <w:bCs/>
          <w:szCs w:val="22"/>
        </w:rPr>
        <w:t>4.2.1</w:t>
      </w:r>
      <w:r>
        <w:rPr>
          <w:rFonts w:hint="eastAsia" w:ascii="宋体" w:hAnsi="宋体"/>
          <w:bCs/>
          <w:szCs w:val="22"/>
        </w:rPr>
        <w:t>纸面石膏板“领跑者”标准的评价指标</w:t>
      </w:r>
      <w:r>
        <w:rPr>
          <w:rFonts w:ascii="宋体" w:hAnsi="宋体"/>
          <w:bCs/>
          <w:szCs w:val="22"/>
        </w:rPr>
        <w:t>包括</w:t>
      </w:r>
      <w:r>
        <w:rPr>
          <w:rFonts w:hint="eastAsia" w:ascii="宋体" w:hAnsi="宋体"/>
          <w:bCs/>
          <w:szCs w:val="22"/>
        </w:rPr>
        <w:t>：基础指标、核心</w:t>
      </w:r>
      <w:r>
        <w:rPr>
          <w:rFonts w:ascii="宋体" w:hAnsi="宋体"/>
          <w:bCs/>
          <w:szCs w:val="22"/>
        </w:rPr>
        <w:t>指标</w:t>
      </w:r>
      <w:r>
        <w:rPr>
          <w:rFonts w:hint="eastAsia" w:ascii="宋体" w:hAnsi="宋体"/>
          <w:bCs/>
          <w:szCs w:val="22"/>
        </w:rPr>
        <w:t>和创新性指标。</w:t>
      </w:r>
    </w:p>
    <w:p>
      <w:pPr>
        <w:spacing w:line="300" w:lineRule="auto"/>
        <w:rPr>
          <w:rFonts w:ascii="宋体" w:hAnsi="宋体"/>
          <w:bCs/>
          <w:szCs w:val="22"/>
        </w:rPr>
      </w:pPr>
      <w:r>
        <w:rPr>
          <w:rFonts w:ascii="宋体" w:hAnsi="宋体"/>
          <w:bCs/>
          <w:szCs w:val="22"/>
        </w:rPr>
        <w:t>4.2.2</w:t>
      </w:r>
      <w:r>
        <w:rPr>
          <w:rFonts w:hint="eastAsia" w:ascii="宋体" w:hAnsi="宋体"/>
          <w:bCs/>
          <w:szCs w:val="22"/>
        </w:rPr>
        <w:t>基础指标包括：外观质量、尺寸偏差、对角线长度差、楔形棱边断面尺寸、硬度、表面吸水量、放射性核素限量；</w:t>
      </w:r>
    </w:p>
    <w:p>
      <w:pPr>
        <w:spacing w:line="300" w:lineRule="auto"/>
        <w:rPr>
          <w:rFonts w:ascii="宋体" w:hAnsi="宋体"/>
          <w:bCs/>
          <w:szCs w:val="22"/>
        </w:rPr>
      </w:pPr>
      <w:r>
        <w:rPr>
          <w:rFonts w:ascii="宋体" w:hAnsi="宋体"/>
          <w:bCs/>
          <w:szCs w:val="22"/>
        </w:rPr>
        <w:t>4.2.3</w:t>
      </w:r>
      <w:bookmarkStart w:id="69" w:name="_Hlk66976986"/>
      <w:r>
        <w:rPr>
          <w:rFonts w:hint="eastAsia" w:ascii="宋体" w:hAnsi="宋体"/>
          <w:bCs/>
          <w:szCs w:val="22"/>
        </w:rPr>
        <w:t>核心指标包括：面密度、纵向断裂荷载、横向断裂荷载、遇火稳定性、吸水率；</w:t>
      </w:r>
    </w:p>
    <w:p>
      <w:pPr>
        <w:spacing w:line="300" w:lineRule="auto"/>
        <w:rPr>
          <w:rFonts w:ascii="宋体" w:hAnsi="宋体"/>
          <w:bCs/>
          <w:szCs w:val="22"/>
        </w:rPr>
      </w:pPr>
      <w:r>
        <w:rPr>
          <w:rFonts w:ascii="宋体" w:hAnsi="宋体"/>
          <w:bCs/>
          <w:szCs w:val="22"/>
        </w:rPr>
        <w:t>4.2.4</w:t>
      </w:r>
      <w:r>
        <w:rPr>
          <w:rFonts w:hint="eastAsia"/>
          <w:bCs/>
        </w:rPr>
        <w:t>核心指标分为先进水平、平均水平和基准水平共三个等级，先进水平相当于企业标准排行榜中</w:t>
      </w:r>
      <w:r>
        <w:rPr>
          <w:bCs/>
        </w:rPr>
        <w:t>5</w:t>
      </w:r>
      <w:r>
        <w:rPr>
          <w:rFonts w:hint="eastAsia"/>
          <w:bCs/>
        </w:rPr>
        <w:t>星级水平；平均水平相当于企业标准排行榜中</w:t>
      </w:r>
      <w:r>
        <w:rPr>
          <w:bCs/>
        </w:rPr>
        <w:t>4</w:t>
      </w:r>
      <w:r>
        <w:rPr>
          <w:rFonts w:hint="eastAsia"/>
          <w:bCs/>
        </w:rPr>
        <w:t>星级水平；基准水平相当于企业标准排行榜中</w:t>
      </w:r>
      <w:r>
        <w:rPr>
          <w:bCs/>
        </w:rPr>
        <w:t>3</w:t>
      </w:r>
      <w:r>
        <w:rPr>
          <w:rFonts w:hint="eastAsia"/>
          <w:bCs/>
        </w:rPr>
        <w:t>星级水平。</w:t>
      </w:r>
    </w:p>
    <w:p>
      <w:pPr>
        <w:spacing w:line="300" w:lineRule="auto"/>
        <w:rPr>
          <w:bCs/>
        </w:rPr>
      </w:pPr>
      <w:r>
        <w:rPr>
          <w:rFonts w:ascii="宋体" w:hAnsi="宋体"/>
          <w:bCs/>
          <w:szCs w:val="22"/>
        </w:rPr>
        <w:t>4.2.5</w:t>
      </w:r>
      <w:r>
        <w:rPr>
          <w:rFonts w:hint="eastAsia" w:ascii="宋体" w:hAnsi="宋体"/>
          <w:bCs/>
          <w:szCs w:val="22"/>
        </w:rPr>
        <w:t>创新性指标包括：产品生命周期环境影响、</w:t>
      </w:r>
      <w:r>
        <w:rPr>
          <w:rFonts w:ascii="宋体" w:hAnsi="宋体"/>
          <w:bCs/>
          <w:szCs w:val="22"/>
        </w:rPr>
        <w:t>工业副产石膏使用率</w:t>
      </w:r>
      <w:r>
        <w:rPr>
          <w:rFonts w:hint="eastAsia" w:ascii="宋体" w:hAnsi="宋体"/>
          <w:bCs/>
          <w:szCs w:val="22"/>
        </w:rPr>
        <w:t>，</w:t>
      </w:r>
      <w:r>
        <w:rPr>
          <w:rFonts w:hint="eastAsia"/>
          <w:bCs/>
        </w:rPr>
        <w:t>其中</w:t>
      </w:r>
      <w:r>
        <w:rPr>
          <w:rFonts w:ascii="宋体" w:hAnsi="宋体"/>
          <w:bCs/>
          <w:szCs w:val="22"/>
        </w:rPr>
        <w:t>工业副产石膏使用率</w:t>
      </w:r>
      <w:r>
        <w:rPr>
          <w:rFonts w:hint="eastAsia"/>
          <w:bCs/>
        </w:rPr>
        <w:t>指标划分成基准水平、平均水平和先进水平两个等级，先进水平相当于企业标准排行榜中的5星级水平，平均水平相当于企标排行榜中4星级水平；基准水平相当于企业标准排行榜中</w:t>
      </w:r>
      <w:r>
        <w:rPr>
          <w:bCs/>
        </w:rPr>
        <w:t>3</w:t>
      </w:r>
      <w:r>
        <w:rPr>
          <w:rFonts w:hint="eastAsia"/>
          <w:bCs/>
        </w:rPr>
        <w:t>星级水平。</w:t>
      </w:r>
    </w:p>
    <w:p>
      <w:pPr>
        <w:spacing w:line="300" w:lineRule="auto"/>
        <w:rPr>
          <w:rFonts w:ascii="宋体" w:hAnsi="宋体"/>
          <w:bCs/>
          <w:szCs w:val="22"/>
        </w:rPr>
      </w:pPr>
      <w:r>
        <w:rPr>
          <w:rFonts w:hint="eastAsia" w:ascii="宋体" w:hAnsi="宋体"/>
          <w:bCs/>
          <w:szCs w:val="22"/>
        </w:rPr>
        <w:t>。</w:t>
      </w:r>
      <w:bookmarkEnd w:id="69"/>
    </w:p>
    <w:p>
      <w:pPr>
        <w:pStyle w:val="3"/>
        <w:tabs>
          <w:tab w:val="center" w:pos="4819"/>
        </w:tabs>
        <w:spacing w:before="200" w:after="200" w:line="360" w:lineRule="auto"/>
        <w:rPr>
          <w:rFonts w:ascii="黑体" w:hAnsi="黑体" w:eastAsia="黑体"/>
          <w:b w:val="0"/>
          <w:sz w:val="21"/>
          <w:szCs w:val="21"/>
        </w:rPr>
      </w:pPr>
      <w:r>
        <w:rPr>
          <w:rFonts w:ascii="黑体" w:hAnsi="黑体" w:eastAsia="黑体"/>
          <w:b w:val="0"/>
          <w:sz w:val="21"/>
          <w:szCs w:val="21"/>
        </w:rPr>
        <w:t>4.3</w:t>
      </w:r>
      <w:r>
        <w:rPr>
          <w:rFonts w:hint="eastAsia" w:ascii="黑体" w:hAnsi="黑体" w:eastAsia="黑体"/>
          <w:b w:val="0"/>
          <w:sz w:val="21"/>
          <w:szCs w:val="21"/>
        </w:rPr>
        <w:t>评价指标要求</w:t>
      </w:r>
    </w:p>
    <w:p>
      <w:pPr>
        <w:pStyle w:val="28"/>
        <w:rPr>
          <w:rFonts w:ascii="Times New Roman"/>
        </w:rPr>
      </w:pPr>
      <w:r>
        <w:rPr>
          <w:rFonts w:hint="eastAsia" w:ascii="Times New Roman" w:hAnsi="Times New Roman" w:eastAsia="宋体" w:cs="Times New Roman"/>
          <w:kern w:val="0"/>
          <w:szCs w:val="21"/>
        </w:rPr>
        <w:t>纸面石膏板“领跑者”标准评价指标要求</w:t>
      </w:r>
      <w:r>
        <w:rPr>
          <w:rFonts w:ascii="Times New Roman" w:hAnsi="Times New Roman" w:eastAsia="宋体" w:cs="Times New Roman"/>
          <w:kern w:val="0"/>
          <w:szCs w:val="21"/>
        </w:rPr>
        <w:t>见表1</w:t>
      </w:r>
      <w:r>
        <w:rPr>
          <w:rFonts w:hint="eastAsia" w:ascii="Times New Roman" w:hAnsi="Times New Roman" w:eastAsia="宋体" w:cs="Times New Roman"/>
          <w:kern w:val="0"/>
          <w:szCs w:val="21"/>
        </w:rPr>
        <w:t>。</w:t>
      </w:r>
    </w:p>
    <w:p>
      <w:pPr>
        <w:pStyle w:val="39"/>
        <w:numPr>
          <w:ilvl w:val="0"/>
          <w:numId w:val="0"/>
        </w:numPr>
        <w:spacing w:beforeLines="50" w:afterLines="0"/>
        <w:jc w:val="center"/>
        <w:outlineLvl w:val="9"/>
        <w:rPr>
          <w:rFonts w:ascii="Times New Roman"/>
          <w:szCs w:val="21"/>
        </w:rPr>
      </w:pPr>
      <w:r>
        <w:rPr>
          <w:rFonts w:hint="eastAsia" w:ascii="Times New Roman"/>
          <w:szCs w:val="21"/>
        </w:rPr>
        <w:t>表</w:t>
      </w:r>
      <w:r>
        <w:rPr>
          <w:rFonts w:ascii="Times New Roman"/>
          <w:szCs w:val="21"/>
        </w:rPr>
        <w:t>1</w:t>
      </w:r>
      <w:r>
        <w:rPr>
          <w:rFonts w:hint="eastAsia" w:ascii="Times New Roman"/>
          <w:szCs w:val="21"/>
        </w:rPr>
        <w:t>纸面石膏板“领跑者”标准评价指标要求</w:t>
      </w:r>
    </w:p>
    <w:tbl>
      <w:tblPr>
        <w:tblStyle w:val="13"/>
        <w:tblW w:w="471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7"/>
        <w:gridCol w:w="2616"/>
        <w:gridCol w:w="756"/>
        <w:gridCol w:w="1007"/>
        <w:gridCol w:w="929"/>
        <w:gridCol w:w="1211"/>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restar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指标类型</w:t>
            </w:r>
          </w:p>
        </w:tc>
        <w:tc>
          <w:tcPr>
            <w:tcW w:w="1518" w:type="pct"/>
            <w:gridSpan w:val="2"/>
            <w:vMerge w:val="restar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评价指标</w:t>
            </w:r>
          </w:p>
        </w:tc>
        <w:tc>
          <w:tcPr>
            <w:tcW w:w="1966" w:type="pct"/>
            <w:gridSpan w:val="3"/>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指标要求</w:t>
            </w:r>
          </w:p>
        </w:tc>
        <w:tc>
          <w:tcPr>
            <w:tcW w:w="861" w:type="pct"/>
            <w:vMerge w:val="restar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指标来源及判定依据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518" w:type="pct"/>
            <w:gridSpan w:val="2"/>
            <w:vMerge w:val="continue"/>
            <w:vAlign w:val="center"/>
          </w:tcPr>
          <w:p>
            <w:pPr>
              <w:widowControl/>
              <w:jc w:val="left"/>
              <w:rPr>
                <w:rFonts w:ascii="宋体" w:hAnsi="宋体"/>
                <w:color w:val="000000"/>
                <w:kern w:val="0"/>
                <w:sz w:val="18"/>
                <w:szCs w:val="18"/>
              </w:rPr>
            </w:pPr>
          </w:p>
        </w:tc>
        <w:tc>
          <w:tcPr>
            <w:tcW w:w="654" w:type="pc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先进水平</w:t>
            </w:r>
          </w:p>
        </w:tc>
        <w:tc>
          <w:tcPr>
            <w:tcW w:w="578" w:type="pc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一般水平</w:t>
            </w:r>
          </w:p>
        </w:tc>
        <w:tc>
          <w:tcPr>
            <w:tcW w:w="733" w:type="pct"/>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基准水平</w:t>
            </w:r>
          </w:p>
        </w:tc>
        <w:tc>
          <w:tcPr>
            <w:tcW w:w="861" w:type="pct"/>
            <w:vMerge w:val="continue"/>
            <w:vAlign w:val="center"/>
          </w:tcPr>
          <w:p>
            <w:pPr>
              <w:widowControl/>
              <w:jc w:val="left"/>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blHeader/>
          <w:jc w:val="center"/>
        </w:trPr>
        <w:tc>
          <w:tcPr>
            <w:tcW w:w="655" w:type="pct"/>
            <w:vMerge w:val="restart"/>
            <w:vAlign w:val="center"/>
          </w:tcPr>
          <w:p>
            <w:pPr>
              <w:jc w:val="left"/>
              <w:rPr>
                <w:rFonts w:ascii="宋体" w:hAnsi="宋体"/>
                <w:color w:val="000000"/>
                <w:kern w:val="0"/>
                <w:sz w:val="18"/>
                <w:szCs w:val="18"/>
              </w:rPr>
            </w:pPr>
            <w:r>
              <w:rPr>
                <w:rFonts w:hint="eastAsia" w:ascii="宋体" w:hAnsi="宋体"/>
                <w:color w:val="000000"/>
                <w:kern w:val="0"/>
                <w:sz w:val="18"/>
                <w:szCs w:val="18"/>
              </w:rPr>
              <w:t>基础指标</w:t>
            </w:r>
          </w:p>
        </w:tc>
        <w:tc>
          <w:tcPr>
            <w:tcW w:w="1518" w:type="pct"/>
            <w:gridSpan w:val="2"/>
            <w:vAlign w:val="center"/>
          </w:tcPr>
          <w:p>
            <w:pPr>
              <w:widowControl/>
              <w:rPr>
                <w:rFonts w:ascii="宋体" w:hAnsi="宋体"/>
                <w:color w:val="000000"/>
                <w:kern w:val="0"/>
                <w:sz w:val="18"/>
                <w:szCs w:val="18"/>
              </w:rPr>
            </w:pPr>
            <w:r>
              <w:rPr>
                <w:rFonts w:hint="eastAsia" w:ascii="宋体" w:hAnsi="宋体"/>
                <w:color w:val="000000"/>
                <w:kern w:val="0"/>
                <w:sz w:val="18"/>
                <w:szCs w:val="18"/>
              </w:rPr>
              <w:t>外观质量</w:t>
            </w:r>
          </w:p>
        </w:tc>
        <w:tc>
          <w:tcPr>
            <w:tcW w:w="1966" w:type="pct"/>
            <w:gridSpan w:val="3"/>
            <w:vMerge w:val="restart"/>
            <w:vAlign w:val="center"/>
          </w:tcPr>
          <w:p>
            <w:pPr>
              <w:widowControl/>
              <w:jc w:val="center"/>
              <w:rPr>
                <w:rFonts w:ascii="宋体" w:hAnsi="宋体"/>
                <w:kern w:val="0"/>
                <w:sz w:val="18"/>
                <w:szCs w:val="18"/>
              </w:rPr>
            </w:pPr>
            <w:r>
              <w:rPr>
                <w:rFonts w:hint="eastAsia" w:ascii="宋体" w:hAnsi="宋体"/>
                <w:kern w:val="0"/>
                <w:sz w:val="18"/>
                <w:szCs w:val="18"/>
              </w:rPr>
              <w:t>符合标准要求</w:t>
            </w:r>
          </w:p>
        </w:tc>
        <w:tc>
          <w:tcPr>
            <w:tcW w:w="861" w:type="pct"/>
            <w:vMerge w:val="restart"/>
            <w:vAlign w:val="center"/>
          </w:tcPr>
          <w:p>
            <w:pPr>
              <w:widowControl/>
              <w:jc w:val="center"/>
              <w:rPr>
                <w:rFonts w:ascii="宋体" w:hAnsi="宋体"/>
                <w:sz w:val="18"/>
                <w:szCs w:val="18"/>
              </w:rPr>
            </w:pPr>
            <w:r>
              <w:rPr>
                <w:rFonts w:hint="eastAsia" w:ascii="宋体" w:hAnsi="宋体"/>
                <w:sz w:val="18"/>
                <w:szCs w:val="18"/>
              </w:rPr>
              <w:t>GB</w:t>
            </w:r>
            <w:r>
              <w:rPr>
                <w:rFonts w:ascii="宋体" w:hAnsi="宋体"/>
                <w:sz w:val="18"/>
                <w:szCs w:val="18"/>
              </w:rPr>
              <w:t>/</w:t>
            </w:r>
            <w:r>
              <w:rPr>
                <w:rFonts w:hint="eastAsia" w:ascii="宋体" w:hAnsi="宋体"/>
                <w:sz w:val="18"/>
                <w:szCs w:val="18"/>
              </w:rPr>
              <w:t>T</w:t>
            </w:r>
            <w:r>
              <w:rPr>
                <w:rFonts w:ascii="宋体" w:hAnsi="宋体"/>
                <w:sz w:val="18"/>
                <w:szCs w:val="18"/>
              </w:rPr>
              <w:t xml:space="preserve"> 9775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rPr>
                <w:rFonts w:ascii="宋体" w:hAnsi="宋体"/>
                <w:color w:val="000000"/>
                <w:kern w:val="0"/>
                <w:sz w:val="18"/>
                <w:szCs w:val="18"/>
              </w:rPr>
            </w:pPr>
            <w:r>
              <w:rPr>
                <w:rFonts w:hint="eastAsia" w:ascii="宋体" w:hAnsi="宋体"/>
                <w:color w:val="000000"/>
                <w:kern w:val="0"/>
                <w:sz w:val="18"/>
                <w:szCs w:val="18"/>
              </w:rPr>
              <w:t>尺寸偏差</w:t>
            </w:r>
          </w:p>
        </w:tc>
        <w:tc>
          <w:tcPr>
            <w:tcW w:w="1966" w:type="pct"/>
            <w:gridSpan w:val="3"/>
            <w:vMerge w:val="continue"/>
            <w:vAlign w:val="center"/>
          </w:tcPr>
          <w:p>
            <w:pPr>
              <w:widowControl/>
              <w:jc w:val="center"/>
              <w:rPr>
                <w:rFonts w:ascii="宋体" w:hAnsi="宋体"/>
                <w:kern w:val="0"/>
                <w:sz w:val="18"/>
                <w:szCs w:val="18"/>
              </w:rPr>
            </w:pP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rPr>
                <w:rFonts w:ascii="宋体" w:hAnsi="宋体"/>
                <w:color w:val="000000"/>
                <w:kern w:val="0"/>
                <w:sz w:val="18"/>
                <w:szCs w:val="18"/>
              </w:rPr>
            </w:pPr>
            <w:r>
              <w:rPr>
                <w:rFonts w:hint="eastAsia" w:ascii="宋体" w:hAnsi="宋体"/>
                <w:color w:val="000000"/>
                <w:kern w:val="0"/>
                <w:sz w:val="18"/>
                <w:szCs w:val="18"/>
              </w:rPr>
              <w:t>对角线长度差</w:t>
            </w:r>
          </w:p>
        </w:tc>
        <w:tc>
          <w:tcPr>
            <w:tcW w:w="1966" w:type="pct"/>
            <w:gridSpan w:val="3"/>
            <w:vMerge w:val="continue"/>
            <w:vAlign w:val="center"/>
          </w:tcPr>
          <w:p>
            <w:pPr>
              <w:widowControl/>
              <w:jc w:val="center"/>
              <w:rPr>
                <w:rFonts w:ascii="宋体" w:hAnsi="宋体"/>
                <w:kern w:val="0"/>
                <w:sz w:val="18"/>
                <w:szCs w:val="18"/>
              </w:rPr>
            </w:pP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rPr>
                <w:rFonts w:ascii="宋体" w:hAnsi="宋体"/>
                <w:color w:val="000000"/>
                <w:kern w:val="0"/>
                <w:sz w:val="18"/>
                <w:szCs w:val="18"/>
              </w:rPr>
            </w:pPr>
            <w:r>
              <w:rPr>
                <w:rFonts w:hint="eastAsia" w:ascii="宋体" w:hAnsi="宋体"/>
                <w:color w:val="000000"/>
                <w:kern w:val="0"/>
                <w:sz w:val="18"/>
                <w:szCs w:val="18"/>
              </w:rPr>
              <w:t>楔形棱边断面尺寸</w:t>
            </w:r>
          </w:p>
        </w:tc>
        <w:tc>
          <w:tcPr>
            <w:tcW w:w="1966" w:type="pct"/>
            <w:gridSpan w:val="3"/>
            <w:vMerge w:val="continue"/>
            <w:vAlign w:val="center"/>
          </w:tcPr>
          <w:p>
            <w:pPr>
              <w:widowControl/>
              <w:jc w:val="center"/>
              <w:rPr>
                <w:rFonts w:ascii="宋体" w:hAnsi="宋体"/>
                <w:kern w:val="0"/>
                <w:sz w:val="18"/>
                <w:szCs w:val="18"/>
              </w:rPr>
            </w:pP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jc w:val="left"/>
              <w:rPr>
                <w:rFonts w:ascii="宋体" w:hAnsi="宋体"/>
                <w:sz w:val="18"/>
                <w:szCs w:val="18"/>
              </w:rPr>
            </w:pPr>
            <w:r>
              <w:rPr>
                <w:rFonts w:hint="eastAsia" w:ascii="宋体" w:hAnsi="宋体"/>
                <w:color w:val="000000"/>
                <w:kern w:val="0"/>
                <w:sz w:val="18"/>
                <w:szCs w:val="18"/>
              </w:rPr>
              <w:t>硬度</w:t>
            </w:r>
          </w:p>
        </w:tc>
        <w:tc>
          <w:tcPr>
            <w:tcW w:w="1966" w:type="pct"/>
            <w:gridSpan w:val="3"/>
            <w:vMerge w:val="continue"/>
            <w:vAlign w:val="center"/>
          </w:tcPr>
          <w:p>
            <w:pPr>
              <w:widowControl/>
              <w:jc w:val="center"/>
              <w:rPr>
                <w:rFonts w:ascii="宋体" w:hAnsi="宋体"/>
                <w:kern w:val="0"/>
                <w:sz w:val="18"/>
                <w:szCs w:val="18"/>
              </w:rPr>
            </w:pP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jc w:val="left"/>
              <w:rPr>
                <w:rFonts w:ascii="宋体" w:hAnsi="宋体"/>
                <w:sz w:val="18"/>
                <w:szCs w:val="18"/>
              </w:rPr>
            </w:pPr>
            <w:r>
              <w:rPr>
                <w:rFonts w:hint="eastAsia" w:ascii="宋体" w:hAnsi="宋体"/>
                <w:color w:val="000000"/>
                <w:kern w:val="0"/>
                <w:sz w:val="18"/>
                <w:szCs w:val="18"/>
              </w:rPr>
              <w:t>表面吸水量</w:t>
            </w:r>
            <w:r>
              <w:rPr>
                <w:rFonts w:hint="eastAsia" w:ascii="宋体" w:hAnsi="宋体"/>
                <w:color w:val="000000"/>
                <w:kern w:val="0"/>
                <w:sz w:val="18"/>
                <w:szCs w:val="18"/>
                <w:vertAlign w:val="superscript"/>
              </w:rPr>
              <w:t>a</w:t>
            </w:r>
          </w:p>
        </w:tc>
        <w:tc>
          <w:tcPr>
            <w:tcW w:w="1966" w:type="pct"/>
            <w:gridSpan w:val="3"/>
            <w:vMerge w:val="continue"/>
            <w:vAlign w:val="center"/>
          </w:tcPr>
          <w:p>
            <w:pPr>
              <w:widowControl/>
              <w:jc w:val="center"/>
              <w:rPr>
                <w:rFonts w:ascii="宋体" w:hAnsi="宋体"/>
                <w:kern w:val="0"/>
                <w:sz w:val="18"/>
                <w:szCs w:val="18"/>
              </w:rPr>
            </w:pP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rPr>
                <w:rFonts w:ascii="宋体" w:hAnsi="宋体"/>
                <w:color w:val="000000"/>
                <w:kern w:val="0"/>
                <w:sz w:val="18"/>
                <w:szCs w:val="18"/>
              </w:rPr>
            </w:pPr>
            <w:bookmarkStart w:id="70" w:name="_Hlk66976965"/>
            <w:r>
              <w:rPr>
                <w:rFonts w:hint="eastAsia" w:ascii="宋体" w:hAnsi="宋体"/>
                <w:color w:val="000000"/>
                <w:kern w:val="0"/>
                <w:sz w:val="18"/>
                <w:szCs w:val="18"/>
              </w:rPr>
              <w:t>放射性核素限量</w:t>
            </w:r>
            <w:bookmarkEnd w:id="70"/>
          </w:p>
        </w:tc>
        <w:tc>
          <w:tcPr>
            <w:tcW w:w="1966" w:type="pct"/>
            <w:gridSpan w:val="3"/>
            <w:vMerge w:val="continue"/>
            <w:vAlign w:val="center"/>
          </w:tcPr>
          <w:p>
            <w:pPr>
              <w:widowControl/>
              <w:jc w:val="center"/>
              <w:rPr>
                <w:rFonts w:ascii="宋体" w:hAnsi="宋体"/>
                <w:kern w:val="0"/>
                <w:sz w:val="18"/>
                <w:szCs w:val="18"/>
              </w:rPr>
            </w:pPr>
          </w:p>
        </w:tc>
        <w:tc>
          <w:tcPr>
            <w:tcW w:w="861" w:type="pct"/>
            <w:vAlign w:val="center"/>
          </w:tcPr>
          <w:p>
            <w:pPr>
              <w:widowControl/>
              <w:jc w:val="center"/>
              <w:rPr>
                <w:rFonts w:ascii="宋体" w:hAnsi="宋体"/>
                <w:sz w:val="18"/>
                <w:szCs w:val="18"/>
              </w:rPr>
            </w:pPr>
            <w:r>
              <w:rPr>
                <w:rFonts w:hint="eastAsia" w:ascii="宋体" w:hAnsi="宋体"/>
                <w:sz w:val="18"/>
                <w:szCs w:val="18"/>
              </w:rPr>
              <w:t>G</w:t>
            </w:r>
            <w:r>
              <w:rPr>
                <w:rFonts w:ascii="宋体" w:hAnsi="宋体"/>
                <w:sz w:val="18"/>
                <w:szCs w:val="18"/>
              </w:rPr>
              <w:t>B 6566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restart"/>
            <w:vAlign w:val="center"/>
          </w:tcPr>
          <w:p>
            <w:pPr>
              <w:jc w:val="left"/>
              <w:rPr>
                <w:rFonts w:ascii="宋体" w:hAnsi="宋体"/>
                <w:color w:val="000000"/>
                <w:kern w:val="0"/>
                <w:sz w:val="18"/>
                <w:szCs w:val="18"/>
              </w:rPr>
            </w:pPr>
            <w:r>
              <w:rPr>
                <w:rFonts w:hint="eastAsia" w:ascii="宋体" w:hAnsi="宋体"/>
                <w:color w:val="000000"/>
                <w:kern w:val="0"/>
                <w:sz w:val="18"/>
                <w:szCs w:val="18"/>
              </w:rPr>
              <w:t>核心指标</w:t>
            </w:r>
          </w:p>
        </w:tc>
        <w:tc>
          <w:tcPr>
            <w:tcW w:w="1068" w:type="pct"/>
            <w:vMerge w:val="restart"/>
            <w:vAlign w:val="center"/>
          </w:tcPr>
          <w:p>
            <w:pPr>
              <w:widowControl/>
              <w:ind w:left="1710" w:hanging="1710" w:hangingChars="950"/>
              <w:rPr>
                <w:rFonts w:ascii="宋体" w:hAnsi="宋体"/>
                <w:color w:val="000000"/>
                <w:kern w:val="0"/>
                <w:sz w:val="18"/>
                <w:szCs w:val="18"/>
              </w:rPr>
            </w:pPr>
            <w:r>
              <w:rPr>
                <w:rFonts w:hint="eastAsia" w:ascii="宋体" w:hAnsi="宋体"/>
                <w:color w:val="000000"/>
                <w:kern w:val="0"/>
                <w:sz w:val="18"/>
                <w:szCs w:val="18"/>
              </w:rPr>
              <w:t>面密度/</w:t>
            </w:r>
            <w:r>
              <w:rPr>
                <w:rFonts w:ascii="宋体" w:hAnsi="宋体"/>
                <w:color w:val="000000"/>
                <w:kern w:val="0"/>
                <w:sz w:val="18"/>
                <w:szCs w:val="18"/>
              </w:rPr>
              <w:t xml:space="preserve"> kg</w:t>
            </w:r>
            <w:r>
              <w:rPr>
                <w:rFonts w:hint="eastAsia" w:ascii="宋体" w:hAnsi="宋体"/>
                <w:color w:val="000000"/>
                <w:kern w:val="0"/>
                <w:sz w:val="18"/>
                <w:szCs w:val="18"/>
              </w:rPr>
              <w:t>/m</w:t>
            </w:r>
            <w:r>
              <w:rPr>
                <w:rFonts w:ascii="宋体" w:hAnsi="宋体"/>
                <w:color w:val="000000"/>
                <w:kern w:val="0"/>
                <w:sz w:val="18"/>
                <w:szCs w:val="18"/>
                <w:vertAlign w:val="superscript"/>
              </w:rPr>
              <w:t>2</w:t>
            </w:r>
            <w:r>
              <w:rPr>
                <w:rFonts w:hint="eastAsia" w:ascii="宋体" w:hAnsi="宋体"/>
                <w:kern w:val="0"/>
                <w:sz w:val="18"/>
                <w:szCs w:val="18"/>
              </w:rPr>
              <w:t>≤</w:t>
            </w:r>
          </w:p>
        </w:tc>
        <w:tc>
          <w:tcPr>
            <w:tcW w:w="450" w:type="pct"/>
            <w:vAlign w:val="center"/>
          </w:tcPr>
          <w:p>
            <w:pPr>
              <w:widowControl/>
              <w:rPr>
                <w:rFonts w:ascii="宋体" w:hAnsi="宋体"/>
                <w:color w:val="000000"/>
                <w:kern w:val="0"/>
                <w:sz w:val="18"/>
                <w:szCs w:val="18"/>
              </w:rPr>
            </w:pPr>
            <w:r>
              <w:rPr>
                <w:rFonts w:hint="eastAsia" w:ascii="宋体" w:hAnsi="宋体"/>
                <w:color w:val="000000"/>
                <w:kern w:val="0"/>
                <w:sz w:val="18"/>
                <w:szCs w:val="18"/>
              </w:rPr>
              <w:t>9</w:t>
            </w:r>
            <w:r>
              <w:rPr>
                <w:rFonts w:ascii="宋体" w:hAnsi="宋体"/>
                <w:color w:val="000000"/>
                <w:kern w:val="0"/>
                <w:sz w:val="18"/>
                <w:szCs w:val="18"/>
              </w:rPr>
              <w:t>.5mm</w:t>
            </w:r>
          </w:p>
        </w:tc>
        <w:tc>
          <w:tcPr>
            <w:tcW w:w="654"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7.5</w:t>
            </w:r>
          </w:p>
        </w:tc>
        <w:tc>
          <w:tcPr>
            <w:tcW w:w="578"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8.5</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p>
        </w:tc>
        <w:tc>
          <w:tcPr>
            <w:tcW w:w="861" w:type="pct"/>
            <w:vMerge w:val="restart"/>
            <w:vAlign w:val="center"/>
          </w:tcPr>
          <w:p>
            <w:pPr>
              <w:widowControl/>
              <w:jc w:val="center"/>
              <w:rPr>
                <w:rFonts w:ascii="宋体" w:hAnsi="宋体"/>
                <w:sz w:val="18"/>
                <w:szCs w:val="18"/>
              </w:rPr>
            </w:pPr>
            <w:r>
              <w:rPr>
                <w:rFonts w:hint="eastAsia" w:ascii="宋体" w:hAnsi="宋体"/>
                <w:sz w:val="18"/>
                <w:szCs w:val="18"/>
              </w:rPr>
              <w:t>GB</w:t>
            </w:r>
            <w:r>
              <w:rPr>
                <w:rFonts w:ascii="宋体" w:hAnsi="宋体"/>
                <w:sz w:val="18"/>
                <w:szCs w:val="18"/>
              </w:rPr>
              <w:t>/</w:t>
            </w:r>
            <w:r>
              <w:rPr>
                <w:rFonts w:hint="eastAsia" w:ascii="宋体" w:hAnsi="宋体"/>
                <w:sz w:val="18"/>
                <w:szCs w:val="18"/>
              </w:rPr>
              <w:t>T</w:t>
            </w:r>
            <w:r>
              <w:rPr>
                <w:rFonts w:ascii="宋体" w:hAnsi="宋体"/>
                <w:sz w:val="18"/>
                <w:szCs w:val="18"/>
              </w:rPr>
              <w:t xml:space="preserve"> 9775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068" w:type="pct"/>
            <w:vMerge w:val="continue"/>
            <w:vAlign w:val="center"/>
          </w:tcPr>
          <w:p>
            <w:pPr>
              <w:widowControl/>
              <w:rPr>
                <w:rFonts w:ascii="宋体" w:hAnsi="宋体"/>
                <w:color w:val="000000"/>
                <w:kern w:val="0"/>
                <w:sz w:val="18"/>
                <w:szCs w:val="18"/>
              </w:rPr>
            </w:pPr>
          </w:p>
        </w:tc>
        <w:tc>
          <w:tcPr>
            <w:tcW w:w="450" w:type="pct"/>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2.0mm</w:t>
            </w:r>
          </w:p>
        </w:tc>
        <w:tc>
          <w:tcPr>
            <w:tcW w:w="654"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c>
          <w:tcPr>
            <w:tcW w:w="578"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11.0</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2.0</w:t>
            </w: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068" w:type="pct"/>
            <w:vMerge w:val="continue"/>
            <w:vAlign w:val="center"/>
          </w:tcPr>
          <w:p>
            <w:pPr>
              <w:widowControl/>
              <w:rPr>
                <w:rFonts w:ascii="宋体" w:hAnsi="宋体"/>
                <w:color w:val="000000"/>
                <w:kern w:val="0"/>
                <w:sz w:val="18"/>
                <w:szCs w:val="18"/>
              </w:rPr>
            </w:pPr>
          </w:p>
        </w:tc>
        <w:tc>
          <w:tcPr>
            <w:tcW w:w="450" w:type="pct"/>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5.0mm</w:t>
            </w:r>
          </w:p>
        </w:tc>
        <w:tc>
          <w:tcPr>
            <w:tcW w:w="654"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12.0</w:t>
            </w:r>
          </w:p>
        </w:tc>
        <w:tc>
          <w:tcPr>
            <w:tcW w:w="578"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14.0</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5.0</w:t>
            </w: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068" w:type="pct"/>
            <w:vMerge w:val="continue"/>
            <w:vAlign w:val="center"/>
          </w:tcPr>
          <w:p>
            <w:pPr>
              <w:widowControl/>
              <w:rPr>
                <w:rFonts w:ascii="宋体" w:hAnsi="宋体"/>
                <w:color w:val="000000"/>
                <w:kern w:val="0"/>
                <w:sz w:val="18"/>
                <w:szCs w:val="18"/>
              </w:rPr>
            </w:pPr>
          </w:p>
        </w:tc>
        <w:tc>
          <w:tcPr>
            <w:tcW w:w="450" w:type="pct"/>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8.0mm</w:t>
            </w:r>
          </w:p>
        </w:tc>
        <w:tc>
          <w:tcPr>
            <w:tcW w:w="654"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3.0</w:t>
            </w:r>
          </w:p>
        </w:tc>
        <w:tc>
          <w:tcPr>
            <w:tcW w:w="578"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7.0</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8.0</w:t>
            </w: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068" w:type="pct"/>
            <w:vMerge w:val="continue"/>
            <w:vAlign w:val="center"/>
          </w:tcPr>
          <w:p>
            <w:pPr>
              <w:widowControl/>
              <w:rPr>
                <w:rFonts w:ascii="宋体" w:hAnsi="宋体"/>
                <w:color w:val="000000"/>
                <w:kern w:val="0"/>
                <w:sz w:val="18"/>
                <w:szCs w:val="18"/>
              </w:rPr>
            </w:pPr>
          </w:p>
        </w:tc>
        <w:tc>
          <w:tcPr>
            <w:tcW w:w="450" w:type="pct"/>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1.0</w:t>
            </w:r>
            <w:r>
              <w:rPr>
                <w:rFonts w:hint="eastAsia" w:ascii="宋体" w:hAnsi="宋体"/>
                <w:sz w:val="18"/>
                <w:szCs w:val="18"/>
              </w:rPr>
              <w:t>mm</w:t>
            </w:r>
          </w:p>
        </w:tc>
        <w:tc>
          <w:tcPr>
            <w:tcW w:w="654"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19.0</w:t>
            </w:r>
          </w:p>
        </w:tc>
        <w:tc>
          <w:tcPr>
            <w:tcW w:w="578"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20.0</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1.0</w:t>
            </w: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068" w:type="pct"/>
            <w:vMerge w:val="continue"/>
            <w:vAlign w:val="center"/>
          </w:tcPr>
          <w:p>
            <w:pPr>
              <w:widowControl/>
              <w:rPr>
                <w:rFonts w:ascii="宋体" w:hAnsi="宋体"/>
                <w:color w:val="000000"/>
                <w:kern w:val="0"/>
                <w:sz w:val="18"/>
                <w:szCs w:val="18"/>
              </w:rPr>
            </w:pPr>
          </w:p>
        </w:tc>
        <w:tc>
          <w:tcPr>
            <w:tcW w:w="450" w:type="pct"/>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5.0</w:t>
            </w:r>
            <w:r>
              <w:rPr>
                <w:rFonts w:hint="eastAsia" w:ascii="宋体" w:hAnsi="宋体"/>
                <w:sz w:val="18"/>
                <w:szCs w:val="18"/>
              </w:rPr>
              <w:t>mm</w:t>
            </w:r>
          </w:p>
        </w:tc>
        <w:tc>
          <w:tcPr>
            <w:tcW w:w="654" w:type="pct"/>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23.0</w:t>
            </w:r>
          </w:p>
        </w:tc>
        <w:tc>
          <w:tcPr>
            <w:tcW w:w="578"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4.0</w:t>
            </w:r>
          </w:p>
        </w:tc>
        <w:tc>
          <w:tcPr>
            <w:tcW w:w="733"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5.0</w:t>
            </w:r>
          </w:p>
        </w:tc>
        <w:tc>
          <w:tcPr>
            <w:tcW w:w="861" w:type="pct"/>
            <w:vMerge w:val="continue"/>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restart"/>
            <w:tcBorders>
              <w:right w:val="single" w:color="auto" w:sz="4" w:space="0"/>
            </w:tcBorders>
            <w:vAlign w:val="center"/>
          </w:tcPr>
          <w:p>
            <w:pPr>
              <w:widowControl/>
              <w:rPr>
                <w:rFonts w:ascii="宋体" w:hAnsi="宋体"/>
                <w:sz w:val="18"/>
                <w:szCs w:val="18"/>
              </w:rPr>
            </w:pPr>
            <w:r>
              <w:rPr>
                <w:rFonts w:hint="eastAsia" w:ascii="宋体" w:hAnsi="宋体"/>
                <w:sz w:val="18"/>
                <w:szCs w:val="18"/>
              </w:rPr>
              <w:t>纵向断裂荷载平均值/</w:t>
            </w:r>
            <w:r>
              <w:rPr>
                <w:rFonts w:hint="eastAsia" w:ascii="宋体" w:hAnsi="宋体"/>
                <w:kern w:val="0"/>
                <w:sz w:val="18"/>
                <w:szCs w:val="18"/>
              </w:rPr>
              <w:t xml:space="preserve"> N</w:t>
            </w:r>
            <w:r>
              <w:rPr>
                <w:rFonts w:hint="eastAsia" w:ascii="宋体" w:hAnsi="宋体"/>
                <w:color w:val="000000"/>
                <w:kern w:val="0"/>
                <w:sz w:val="18"/>
                <w:szCs w:val="18"/>
              </w:rPr>
              <w:t>≥</w:t>
            </w: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2.0mm</w:t>
            </w:r>
          </w:p>
        </w:tc>
        <w:tc>
          <w:tcPr>
            <w:tcW w:w="654" w:type="pct"/>
            <w:vAlign w:val="center"/>
          </w:tcPr>
          <w:p>
            <w:pPr>
              <w:jc w:val="center"/>
              <w:rPr>
                <w:rFonts w:ascii="宋体" w:hAnsi="宋体"/>
                <w:color w:val="000000"/>
                <w:kern w:val="0"/>
                <w:sz w:val="18"/>
                <w:szCs w:val="18"/>
              </w:rPr>
            </w:pPr>
            <w:r>
              <w:rPr>
                <w:rFonts w:hint="eastAsia" w:ascii="宋体" w:hAnsi="宋体"/>
                <w:kern w:val="0"/>
                <w:sz w:val="18"/>
                <w:szCs w:val="18"/>
              </w:rPr>
              <w:t>5</w:t>
            </w:r>
            <w:r>
              <w:rPr>
                <w:rFonts w:ascii="宋体" w:hAnsi="宋体"/>
                <w:kern w:val="0"/>
                <w:sz w:val="18"/>
                <w:szCs w:val="18"/>
              </w:rPr>
              <w:t>50</w:t>
            </w:r>
          </w:p>
        </w:tc>
        <w:tc>
          <w:tcPr>
            <w:tcW w:w="578" w:type="pct"/>
            <w:vAlign w:val="center"/>
          </w:tcPr>
          <w:p>
            <w:pPr>
              <w:jc w:val="center"/>
              <w:rPr>
                <w:rFonts w:ascii="宋体" w:hAnsi="宋体"/>
                <w:color w:val="000000"/>
                <w:kern w:val="0"/>
                <w:sz w:val="18"/>
                <w:szCs w:val="18"/>
              </w:rPr>
            </w:pPr>
            <w:r>
              <w:rPr>
                <w:rFonts w:hint="eastAsia" w:ascii="宋体" w:hAnsi="宋体"/>
                <w:kern w:val="0"/>
                <w:sz w:val="18"/>
                <w:szCs w:val="18"/>
              </w:rPr>
              <w:t>5</w:t>
            </w:r>
            <w:r>
              <w:rPr>
                <w:rFonts w:ascii="宋体" w:hAnsi="宋体"/>
                <w:kern w:val="0"/>
                <w:sz w:val="18"/>
                <w:szCs w:val="18"/>
              </w:rPr>
              <w:t>30</w:t>
            </w:r>
          </w:p>
        </w:tc>
        <w:tc>
          <w:tcPr>
            <w:tcW w:w="733" w:type="pct"/>
            <w:vAlign w:val="center"/>
          </w:tcPr>
          <w:p>
            <w:pPr>
              <w:jc w:val="center"/>
              <w:rPr>
                <w:rFonts w:ascii="宋体" w:hAnsi="宋体"/>
                <w:color w:val="000000"/>
                <w:kern w:val="0"/>
                <w:sz w:val="18"/>
                <w:szCs w:val="18"/>
              </w:rPr>
            </w:pPr>
            <w:r>
              <w:rPr>
                <w:rFonts w:hint="eastAsia" w:ascii="宋体" w:hAnsi="宋体"/>
                <w:kern w:val="0"/>
                <w:sz w:val="18"/>
                <w:szCs w:val="18"/>
              </w:rPr>
              <w:t>5</w:t>
            </w:r>
            <w:r>
              <w:rPr>
                <w:rFonts w:ascii="宋体" w:hAnsi="宋体"/>
                <w:kern w:val="0"/>
                <w:sz w:val="18"/>
                <w:szCs w:val="18"/>
              </w:rPr>
              <w:t>20</w:t>
            </w:r>
          </w:p>
        </w:tc>
        <w:tc>
          <w:tcPr>
            <w:tcW w:w="861" w:type="pct"/>
            <w:vMerge w:val="continue"/>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5.0mm</w:t>
            </w:r>
          </w:p>
        </w:tc>
        <w:tc>
          <w:tcPr>
            <w:tcW w:w="654" w:type="pct"/>
            <w:vAlign w:val="center"/>
          </w:tcPr>
          <w:p>
            <w:pPr>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80</w:t>
            </w:r>
          </w:p>
        </w:tc>
        <w:tc>
          <w:tcPr>
            <w:tcW w:w="578" w:type="pct"/>
            <w:vAlign w:val="center"/>
          </w:tcPr>
          <w:p>
            <w:pPr>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60</w:t>
            </w:r>
          </w:p>
        </w:tc>
        <w:tc>
          <w:tcPr>
            <w:tcW w:w="733" w:type="pct"/>
            <w:vAlign w:val="center"/>
          </w:tcPr>
          <w:p>
            <w:pPr>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50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8.0mm</w:t>
            </w:r>
          </w:p>
        </w:tc>
        <w:tc>
          <w:tcPr>
            <w:tcW w:w="654" w:type="pct"/>
            <w:vAlign w:val="center"/>
          </w:tcPr>
          <w:p>
            <w:pPr>
              <w:jc w:val="center"/>
              <w:rPr>
                <w:rFonts w:ascii="宋体" w:hAnsi="宋体"/>
                <w:kern w:val="0"/>
                <w:sz w:val="18"/>
                <w:szCs w:val="18"/>
              </w:rPr>
            </w:pPr>
            <w:r>
              <w:rPr>
                <w:rFonts w:hint="eastAsia" w:ascii="宋体" w:hAnsi="宋体"/>
                <w:kern w:val="0"/>
                <w:sz w:val="18"/>
                <w:szCs w:val="18"/>
              </w:rPr>
              <w:t>8</w:t>
            </w:r>
            <w:r>
              <w:rPr>
                <w:rFonts w:ascii="宋体" w:hAnsi="宋体"/>
                <w:kern w:val="0"/>
                <w:sz w:val="18"/>
                <w:szCs w:val="18"/>
              </w:rPr>
              <w:t>00</w:t>
            </w:r>
          </w:p>
        </w:tc>
        <w:tc>
          <w:tcPr>
            <w:tcW w:w="578" w:type="pct"/>
            <w:vAlign w:val="center"/>
          </w:tcPr>
          <w:p>
            <w:pPr>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80</w:t>
            </w:r>
          </w:p>
        </w:tc>
        <w:tc>
          <w:tcPr>
            <w:tcW w:w="733" w:type="pct"/>
            <w:vAlign w:val="center"/>
          </w:tcPr>
          <w:p>
            <w:pPr>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70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1.0</w:t>
            </w:r>
            <w:r>
              <w:rPr>
                <w:rFonts w:hint="eastAsia" w:ascii="宋体" w:hAnsi="宋体"/>
                <w:sz w:val="18"/>
                <w:szCs w:val="18"/>
              </w:rPr>
              <w:t>mm</w:t>
            </w:r>
          </w:p>
        </w:tc>
        <w:tc>
          <w:tcPr>
            <w:tcW w:w="654" w:type="pct"/>
            <w:vAlign w:val="center"/>
          </w:tcPr>
          <w:p>
            <w:pPr>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30</w:t>
            </w:r>
          </w:p>
        </w:tc>
        <w:tc>
          <w:tcPr>
            <w:tcW w:w="578" w:type="pct"/>
            <w:vAlign w:val="center"/>
          </w:tcPr>
          <w:p>
            <w:pPr>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10</w:t>
            </w:r>
          </w:p>
        </w:tc>
        <w:tc>
          <w:tcPr>
            <w:tcW w:w="733" w:type="pct"/>
            <w:vAlign w:val="center"/>
          </w:tcPr>
          <w:p>
            <w:pPr>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00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5.0</w:t>
            </w:r>
            <w:r>
              <w:rPr>
                <w:rFonts w:hint="eastAsia" w:ascii="宋体" w:hAnsi="宋体"/>
                <w:sz w:val="18"/>
                <w:szCs w:val="18"/>
              </w:rPr>
              <w:t>mm</w:t>
            </w:r>
          </w:p>
        </w:tc>
        <w:tc>
          <w:tcPr>
            <w:tcW w:w="654" w:type="pct"/>
            <w:vAlign w:val="center"/>
          </w:tcPr>
          <w:p>
            <w:pPr>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130</w:t>
            </w:r>
          </w:p>
        </w:tc>
        <w:tc>
          <w:tcPr>
            <w:tcW w:w="578" w:type="pct"/>
            <w:vAlign w:val="center"/>
          </w:tcPr>
          <w:p>
            <w:pPr>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110</w:t>
            </w:r>
          </w:p>
        </w:tc>
        <w:tc>
          <w:tcPr>
            <w:tcW w:w="733" w:type="pct"/>
            <w:vAlign w:val="center"/>
          </w:tcPr>
          <w:p>
            <w:pPr>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100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restart"/>
            <w:tcBorders>
              <w:right w:val="single" w:color="auto" w:sz="4" w:space="0"/>
            </w:tcBorders>
            <w:vAlign w:val="center"/>
          </w:tcPr>
          <w:p>
            <w:pPr>
              <w:widowControl/>
              <w:rPr>
                <w:rFonts w:ascii="宋体" w:hAnsi="宋体"/>
                <w:sz w:val="18"/>
                <w:szCs w:val="18"/>
              </w:rPr>
            </w:pPr>
            <w:r>
              <w:rPr>
                <w:rFonts w:hint="eastAsia" w:ascii="宋体" w:hAnsi="宋体"/>
                <w:sz w:val="18"/>
                <w:szCs w:val="18"/>
              </w:rPr>
              <w:t>横向断裂荷载平均值/</w:t>
            </w:r>
            <w:r>
              <w:rPr>
                <w:rFonts w:hint="eastAsia" w:ascii="宋体" w:hAnsi="宋体"/>
                <w:kern w:val="0"/>
                <w:sz w:val="18"/>
                <w:szCs w:val="18"/>
              </w:rPr>
              <w:t xml:space="preserve"> N</w:t>
            </w:r>
            <w:r>
              <w:rPr>
                <w:rFonts w:hint="eastAsia" w:ascii="宋体" w:hAnsi="宋体"/>
                <w:color w:val="000000"/>
                <w:kern w:val="0"/>
                <w:sz w:val="18"/>
                <w:szCs w:val="18"/>
              </w:rPr>
              <w:t>≥</w:t>
            </w: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2.0mm</w:t>
            </w:r>
          </w:p>
        </w:tc>
        <w:tc>
          <w:tcPr>
            <w:tcW w:w="654"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30</w:t>
            </w:r>
          </w:p>
        </w:tc>
        <w:tc>
          <w:tcPr>
            <w:tcW w:w="578"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10</w:t>
            </w:r>
          </w:p>
        </w:tc>
        <w:tc>
          <w:tcPr>
            <w:tcW w:w="733"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5.0mm</w:t>
            </w:r>
          </w:p>
        </w:tc>
        <w:tc>
          <w:tcPr>
            <w:tcW w:w="654"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80</w:t>
            </w:r>
          </w:p>
        </w:tc>
        <w:tc>
          <w:tcPr>
            <w:tcW w:w="578"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60</w:t>
            </w:r>
          </w:p>
        </w:tc>
        <w:tc>
          <w:tcPr>
            <w:tcW w:w="733" w:type="pct"/>
            <w:vAlign w:val="center"/>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1</w:t>
            </w:r>
            <w:r>
              <w:rPr>
                <w:rFonts w:ascii="宋体" w:hAnsi="宋体"/>
                <w:sz w:val="18"/>
                <w:szCs w:val="18"/>
              </w:rPr>
              <w:t>8.0mm</w:t>
            </w:r>
          </w:p>
        </w:tc>
        <w:tc>
          <w:tcPr>
            <w:tcW w:w="654" w:type="pct"/>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30</w:t>
            </w:r>
          </w:p>
        </w:tc>
        <w:tc>
          <w:tcPr>
            <w:tcW w:w="578" w:type="pct"/>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10</w:t>
            </w:r>
          </w:p>
        </w:tc>
        <w:tc>
          <w:tcPr>
            <w:tcW w:w="733" w:type="pct"/>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00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1.0</w:t>
            </w:r>
            <w:r>
              <w:rPr>
                <w:rFonts w:hint="eastAsia" w:ascii="宋体" w:hAnsi="宋体"/>
                <w:sz w:val="18"/>
                <w:szCs w:val="18"/>
              </w:rPr>
              <w:t>mm</w:t>
            </w:r>
          </w:p>
        </w:tc>
        <w:tc>
          <w:tcPr>
            <w:tcW w:w="654" w:type="pct"/>
            <w:vAlign w:val="center"/>
          </w:tcPr>
          <w:p>
            <w:pPr>
              <w:jc w:val="center"/>
              <w:rPr>
                <w:rFonts w:ascii="宋体" w:hAnsi="宋体"/>
                <w:kern w:val="0"/>
                <w:sz w:val="18"/>
                <w:szCs w:val="18"/>
              </w:rPr>
            </w:pPr>
            <w:r>
              <w:rPr>
                <w:rFonts w:ascii="宋体" w:hAnsi="宋体"/>
                <w:kern w:val="0"/>
                <w:sz w:val="18"/>
                <w:szCs w:val="18"/>
              </w:rPr>
              <w:t>380</w:t>
            </w:r>
          </w:p>
        </w:tc>
        <w:tc>
          <w:tcPr>
            <w:tcW w:w="578" w:type="pct"/>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60</w:t>
            </w:r>
          </w:p>
        </w:tc>
        <w:tc>
          <w:tcPr>
            <w:tcW w:w="733" w:type="pct"/>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068" w:type="pct"/>
            <w:vMerge w:val="continue"/>
            <w:tcBorders>
              <w:right w:val="single" w:color="auto" w:sz="4" w:space="0"/>
            </w:tcBorders>
            <w:vAlign w:val="center"/>
          </w:tcPr>
          <w:p>
            <w:pPr>
              <w:widowControl/>
              <w:rPr>
                <w:rFonts w:ascii="宋体" w:hAnsi="宋体"/>
                <w:sz w:val="18"/>
                <w:szCs w:val="18"/>
              </w:rPr>
            </w:pPr>
          </w:p>
        </w:tc>
        <w:tc>
          <w:tcPr>
            <w:tcW w:w="450" w:type="pct"/>
            <w:tcBorders>
              <w:left w:val="single" w:color="auto" w:sz="4" w:space="0"/>
            </w:tcBorders>
            <w:vAlign w:val="center"/>
          </w:tcPr>
          <w:p>
            <w:pPr>
              <w:widowControl/>
              <w:rPr>
                <w:rFonts w:ascii="宋体" w:hAnsi="宋体"/>
                <w:sz w:val="18"/>
                <w:szCs w:val="18"/>
              </w:rPr>
            </w:pPr>
            <w:r>
              <w:rPr>
                <w:rFonts w:hint="eastAsia" w:ascii="宋体" w:hAnsi="宋体"/>
                <w:sz w:val="18"/>
                <w:szCs w:val="18"/>
              </w:rPr>
              <w:t>2</w:t>
            </w:r>
            <w:r>
              <w:rPr>
                <w:rFonts w:ascii="宋体" w:hAnsi="宋体"/>
                <w:sz w:val="18"/>
                <w:szCs w:val="18"/>
              </w:rPr>
              <w:t>5.0</w:t>
            </w:r>
            <w:r>
              <w:rPr>
                <w:rFonts w:hint="eastAsia" w:ascii="宋体" w:hAnsi="宋体"/>
                <w:sz w:val="18"/>
                <w:szCs w:val="18"/>
              </w:rPr>
              <w:t>mm</w:t>
            </w:r>
          </w:p>
        </w:tc>
        <w:tc>
          <w:tcPr>
            <w:tcW w:w="654" w:type="pct"/>
            <w:vAlign w:val="center"/>
          </w:tcPr>
          <w:p>
            <w:pPr>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50</w:t>
            </w:r>
          </w:p>
        </w:tc>
        <w:tc>
          <w:tcPr>
            <w:tcW w:w="578" w:type="pct"/>
            <w:vAlign w:val="center"/>
          </w:tcPr>
          <w:p>
            <w:pPr>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30</w:t>
            </w:r>
          </w:p>
        </w:tc>
        <w:tc>
          <w:tcPr>
            <w:tcW w:w="733" w:type="pct"/>
            <w:vAlign w:val="center"/>
          </w:tcPr>
          <w:p>
            <w:pPr>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20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518" w:type="pct"/>
            <w:gridSpan w:val="2"/>
            <w:vAlign w:val="center"/>
          </w:tcPr>
          <w:p>
            <w:pPr>
              <w:widowControl/>
              <w:jc w:val="left"/>
              <w:rPr>
                <w:rFonts w:ascii="宋体" w:hAnsi="宋体"/>
                <w:sz w:val="18"/>
                <w:szCs w:val="18"/>
              </w:rPr>
            </w:pPr>
            <w:r>
              <w:rPr>
                <w:rFonts w:hint="eastAsia" w:ascii="宋体" w:hAnsi="宋体"/>
                <w:sz w:val="18"/>
                <w:szCs w:val="18"/>
              </w:rPr>
              <w:t>遇火稳定性</w:t>
            </w:r>
            <w:r>
              <w:rPr>
                <w:rFonts w:hint="eastAsia" w:ascii="宋体" w:hAnsi="宋体"/>
                <w:sz w:val="18"/>
                <w:szCs w:val="18"/>
                <w:vertAlign w:val="superscript"/>
              </w:rPr>
              <w:t>b</w:t>
            </w:r>
            <w:r>
              <w:rPr>
                <w:rFonts w:hint="eastAsia" w:ascii="宋体" w:hAnsi="宋体"/>
                <w:sz w:val="18"/>
                <w:szCs w:val="18"/>
              </w:rPr>
              <w:t>/</w:t>
            </w:r>
            <w:r>
              <w:rPr>
                <w:rFonts w:ascii="宋体" w:hAnsi="宋体"/>
                <w:sz w:val="18"/>
                <w:szCs w:val="18"/>
              </w:rPr>
              <w:t xml:space="preserve"> min          </w:t>
            </w:r>
            <w:r>
              <w:rPr>
                <w:rFonts w:hint="eastAsia" w:ascii="宋体" w:hAnsi="宋体"/>
                <w:color w:val="000000"/>
                <w:kern w:val="0"/>
                <w:sz w:val="18"/>
                <w:szCs w:val="18"/>
              </w:rPr>
              <w:t>≥</w:t>
            </w:r>
          </w:p>
        </w:tc>
        <w:tc>
          <w:tcPr>
            <w:tcW w:w="654" w:type="pct"/>
            <w:tcBorders>
              <w:right w:val="single" w:color="auto" w:sz="4" w:space="0"/>
            </w:tcBorders>
          </w:tcPr>
          <w:p>
            <w:pPr>
              <w:jc w:val="center"/>
              <w:rPr>
                <w:rFonts w:ascii="宋体" w:hAnsi="宋体"/>
                <w:kern w:val="0"/>
                <w:sz w:val="18"/>
                <w:szCs w:val="18"/>
              </w:rPr>
            </w:pPr>
            <w:r>
              <w:rPr>
                <w:rFonts w:ascii="宋体" w:hAnsi="宋体"/>
                <w:kern w:val="0"/>
                <w:sz w:val="18"/>
                <w:szCs w:val="18"/>
              </w:rPr>
              <w:t>40</w:t>
            </w:r>
          </w:p>
        </w:tc>
        <w:tc>
          <w:tcPr>
            <w:tcW w:w="578" w:type="pct"/>
          </w:tcPr>
          <w:p>
            <w:pPr>
              <w:jc w:val="center"/>
              <w:rPr>
                <w:rFonts w:ascii="宋体" w:hAnsi="宋体"/>
                <w:kern w:val="0"/>
                <w:sz w:val="18"/>
                <w:szCs w:val="18"/>
              </w:rPr>
            </w:pPr>
            <w:r>
              <w:rPr>
                <w:rFonts w:ascii="宋体" w:hAnsi="宋体"/>
                <w:kern w:val="0"/>
                <w:sz w:val="18"/>
                <w:szCs w:val="18"/>
              </w:rPr>
              <w:t>30</w:t>
            </w:r>
          </w:p>
        </w:tc>
        <w:tc>
          <w:tcPr>
            <w:tcW w:w="733" w:type="pct"/>
          </w:tcPr>
          <w:p>
            <w:pPr>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blHeader/>
          <w:jc w:val="center"/>
        </w:trPr>
        <w:tc>
          <w:tcPr>
            <w:tcW w:w="655" w:type="pct"/>
            <w:vMerge w:val="continue"/>
            <w:vAlign w:val="center"/>
          </w:tcPr>
          <w:p>
            <w:pPr>
              <w:widowControl/>
              <w:jc w:val="left"/>
              <w:rPr>
                <w:rFonts w:ascii="宋体" w:hAnsi="宋体"/>
                <w:color w:val="000000"/>
                <w:kern w:val="0"/>
                <w:sz w:val="18"/>
                <w:szCs w:val="18"/>
              </w:rPr>
            </w:pPr>
          </w:p>
        </w:tc>
        <w:tc>
          <w:tcPr>
            <w:tcW w:w="1518" w:type="pct"/>
            <w:gridSpan w:val="2"/>
            <w:vAlign w:val="center"/>
          </w:tcPr>
          <w:p>
            <w:pPr>
              <w:widowControl/>
              <w:jc w:val="left"/>
              <w:rPr>
                <w:rFonts w:ascii="宋体" w:hAnsi="宋体"/>
                <w:sz w:val="18"/>
                <w:szCs w:val="18"/>
              </w:rPr>
            </w:pPr>
            <w:r>
              <w:rPr>
                <w:rFonts w:ascii="宋体" w:hAnsi="宋体"/>
                <w:sz w:val="18"/>
                <w:szCs w:val="18"/>
              </w:rPr>
              <w:t>吸水率</w:t>
            </w:r>
            <w:r>
              <w:rPr>
                <w:rFonts w:hint="eastAsia" w:ascii="宋体" w:hAnsi="宋体"/>
                <w:color w:val="000000"/>
                <w:kern w:val="0"/>
                <w:sz w:val="18"/>
                <w:szCs w:val="18"/>
                <w:vertAlign w:val="superscript"/>
              </w:rPr>
              <w:t>a</w:t>
            </w:r>
            <w:r>
              <w:rPr>
                <w:rFonts w:ascii="宋体" w:hAnsi="宋体"/>
                <w:sz w:val="18"/>
                <w:szCs w:val="18"/>
              </w:rPr>
              <w:t xml:space="preserve">/%              </w:t>
            </w:r>
            <w:r>
              <w:rPr>
                <w:rFonts w:hint="eastAsia" w:ascii="宋体" w:hAnsi="宋体"/>
                <w:kern w:val="0"/>
                <w:sz w:val="18"/>
                <w:szCs w:val="18"/>
              </w:rPr>
              <w:t>≤</w:t>
            </w:r>
          </w:p>
        </w:tc>
        <w:tc>
          <w:tcPr>
            <w:tcW w:w="654" w:type="pct"/>
            <w:tcBorders>
              <w:right w:val="single" w:color="auto" w:sz="4" w:space="0"/>
            </w:tcBorders>
            <w:vAlign w:val="center"/>
          </w:tcPr>
          <w:p>
            <w:pPr>
              <w:widowControl/>
              <w:jc w:val="center"/>
              <w:rPr>
                <w:rFonts w:ascii="宋体" w:hAnsi="宋体"/>
                <w:sz w:val="18"/>
                <w:szCs w:val="18"/>
              </w:rPr>
            </w:pPr>
            <w:r>
              <w:rPr>
                <w:rFonts w:ascii="宋体" w:hAnsi="宋体"/>
                <w:sz w:val="18"/>
                <w:szCs w:val="18"/>
              </w:rPr>
              <w:t>5</w:t>
            </w:r>
          </w:p>
        </w:tc>
        <w:tc>
          <w:tcPr>
            <w:tcW w:w="578" w:type="pct"/>
            <w:vAlign w:val="center"/>
          </w:tcPr>
          <w:p>
            <w:pPr>
              <w:widowControl/>
              <w:jc w:val="center"/>
              <w:rPr>
                <w:rFonts w:ascii="宋体" w:hAnsi="宋体"/>
                <w:sz w:val="18"/>
                <w:szCs w:val="18"/>
              </w:rPr>
            </w:pPr>
            <w:r>
              <w:rPr>
                <w:rFonts w:ascii="宋体" w:hAnsi="宋体"/>
                <w:sz w:val="18"/>
                <w:szCs w:val="18"/>
              </w:rPr>
              <w:t>8</w:t>
            </w:r>
          </w:p>
        </w:tc>
        <w:tc>
          <w:tcPr>
            <w:tcW w:w="733" w:type="pct"/>
            <w:vAlign w:val="center"/>
          </w:tcPr>
          <w:p>
            <w:pPr>
              <w:widowControl/>
              <w:jc w:val="center"/>
              <w:rPr>
                <w:rFonts w:ascii="宋体" w:hAnsi="宋体"/>
                <w:sz w:val="18"/>
                <w:szCs w:val="18"/>
              </w:rPr>
            </w:pPr>
            <w:r>
              <w:rPr>
                <w:rFonts w:ascii="宋体" w:hAnsi="宋体"/>
                <w:sz w:val="18"/>
                <w:szCs w:val="18"/>
              </w:rPr>
              <w:t>10</w:t>
            </w:r>
          </w:p>
        </w:tc>
        <w:tc>
          <w:tcPr>
            <w:tcW w:w="861" w:type="pct"/>
            <w:vMerge w:val="continue"/>
            <w:vAlign w:val="center"/>
          </w:tcPr>
          <w:p>
            <w:pPr>
              <w:jc w:val="center"/>
              <w:rPr>
                <w:rFonts w:ascii="宋体" w:hAnsi="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blHeader/>
          <w:jc w:val="center"/>
        </w:trPr>
        <w:tc>
          <w:tcPr>
            <w:tcW w:w="655" w:type="pct"/>
            <w:vMerge w:val="restart"/>
            <w:vAlign w:val="center"/>
          </w:tcPr>
          <w:p>
            <w:pPr>
              <w:jc w:val="left"/>
              <w:rPr>
                <w:rFonts w:ascii="宋体" w:hAnsi="宋体"/>
                <w:color w:val="000000"/>
                <w:kern w:val="0"/>
                <w:sz w:val="18"/>
                <w:szCs w:val="18"/>
              </w:rPr>
            </w:pPr>
            <w:r>
              <w:rPr>
                <w:rFonts w:hint="eastAsia" w:ascii="宋体" w:hAnsi="宋体"/>
                <w:color w:val="000000"/>
                <w:kern w:val="0"/>
                <w:sz w:val="18"/>
                <w:szCs w:val="18"/>
              </w:rPr>
              <w:t>创新性指标</w:t>
            </w:r>
          </w:p>
        </w:tc>
        <w:tc>
          <w:tcPr>
            <w:tcW w:w="1518" w:type="pct"/>
            <w:gridSpan w:val="2"/>
            <w:vAlign w:val="center"/>
          </w:tcPr>
          <w:p>
            <w:pPr>
              <w:widowControl/>
              <w:rPr>
                <w:rFonts w:ascii="宋体" w:hAnsi="宋体"/>
                <w:color w:val="000000"/>
                <w:kern w:val="0"/>
                <w:sz w:val="18"/>
                <w:szCs w:val="18"/>
              </w:rPr>
            </w:pPr>
            <w:r>
              <w:rPr>
                <w:rFonts w:hint="eastAsia" w:ascii="宋体" w:hAnsi="宋体"/>
                <w:color w:val="000000"/>
                <w:kern w:val="0"/>
                <w:sz w:val="18"/>
                <w:szCs w:val="18"/>
              </w:rPr>
              <w:t>产品生命周期环境影响</w:t>
            </w:r>
          </w:p>
        </w:tc>
        <w:tc>
          <w:tcPr>
            <w:tcW w:w="1966" w:type="pct"/>
            <w:gridSpan w:val="3"/>
            <w:vAlign w:val="center"/>
          </w:tcPr>
          <w:p>
            <w:pPr>
              <w:jc w:val="center"/>
              <w:rPr>
                <w:rFonts w:ascii="宋体" w:hAnsi="宋体"/>
                <w:kern w:val="0"/>
                <w:sz w:val="18"/>
                <w:szCs w:val="18"/>
              </w:rPr>
            </w:pPr>
            <w:r>
              <w:rPr>
                <w:rFonts w:hint="eastAsia" w:ascii="宋体" w:hAnsi="宋体"/>
                <w:kern w:val="0"/>
                <w:sz w:val="18"/>
                <w:szCs w:val="18"/>
              </w:rPr>
              <w:t>进行环境产品声明（EPD）和碳足迹分析</w:t>
            </w:r>
          </w:p>
        </w:tc>
        <w:tc>
          <w:tcPr>
            <w:tcW w:w="861" w:type="pct"/>
            <w:tcBorders>
              <w:bottom w:val="single" w:color="auto" w:sz="4" w:space="0"/>
            </w:tcBorders>
            <w:vAlign w:val="center"/>
          </w:tcPr>
          <w:p>
            <w:pPr>
              <w:jc w:val="center"/>
              <w:rPr>
                <w:rFonts w:ascii="宋体" w:hAnsi="宋体"/>
                <w:kern w:val="0"/>
                <w:sz w:val="18"/>
                <w:szCs w:val="18"/>
              </w:rPr>
            </w:pPr>
            <w:r>
              <w:rPr>
                <w:rFonts w:hint="eastAsia" w:ascii="宋体" w:hAnsi="宋体"/>
                <w:kern w:val="0"/>
                <w:sz w:val="18"/>
                <w:szCs w:val="18"/>
              </w:rPr>
              <w:t>GB/T 24025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blHeader/>
          <w:jc w:val="center"/>
        </w:trPr>
        <w:tc>
          <w:tcPr>
            <w:tcW w:w="655" w:type="pct"/>
            <w:vMerge w:val="continue"/>
            <w:vAlign w:val="center"/>
          </w:tcPr>
          <w:p>
            <w:pPr>
              <w:jc w:val="left"/>
              <w:rPr>
                <w:rFonts w:ascii="宋体" w:hAnsi="宋体"/>
                <w:color w:val="000000"/>
                <w:kern w:val="0"/>
                <w:sz w:val="18"/>
                <w:szCs w:val="18"/>
              </w:rPr>
            </w:pPr>
          </w:p>
        </w:tc>
        <w:tc>
          <w:tcPr>
            <w:tcW w:w="1518" w:type="pct"/>
            <w:gridSpan w:val="2"/>
            <w:vAlign w:val="center"/>
          </w:tcPr>
          <w:p>
            <w:pPr>
              <w:widowControl/>
              <w:jc w:val="left"/>
              <w:rPr>
                <w:rFonts w:ascii="宋体" w:hAnsi="宋体"/>
                <w:sz w:val="18"/>
                <w:szCs w:val="18"/>
              </w:rPr>
            </w:pPr>
            <w:r>
              <w:rPr>
                <w:rFonts w:ascii="宋体" w:hAnsi="宋体"/>
                <w:color w:val="000000"/>
                <w:kern w:val="0"/>
                <w:sz w:val="18"/>
                <w:szCs w:val="18"/>
              </w:rPr>
              <w:t>工业副产石膏使用率</w:t>
            </w:r>
          </w:p>
        </w:tc>
        <w:tc>
          <w:tcPr>
            <w:tcW w:w="654" w:type="pct"/>
            <w:tcBorders>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78" w:type="pct"/>
            <w:tcBorders>
              <w:left w:val="single" w:color="auto" w:sz="4" w:space="0"/>
            </w:tcBorders>
            <w:vAlign w:val="center"/>
          </w:tcPr>
          <w:p>
            <w:pPr>
              <w:jc w:val="center"/>
              <w:rPr>
                <w:rFonts w:ascii="宋体" w:hAnsi="宋体"/>
                <w:kern w:val="0"/>
                <w:sz w:val="18"/>
                <w:szCs w:val="18"/>
              </w:rPr>
            </w:pPr>
            <w:r>
              <w:rPr>
                <w:rFonts w:ascii="宋体" w:hAnsi="宋体"/>
                <w:kern w:val="0"/>
                <w:sz w:val="18"/>
                <w:szCs w:val="18"/>
              </w:rPr>
              <w:t>≥90</w:t>
            </w:r>
          </w:p>
        </w:tc>
        <w:tc>
          <w:tcPr>
            <w:tcW w:w="733" w:type="pct"/>
            <w:tcBorders>
              <w:left w:val="single" w:color="auto" w:sz="4" w:space="0"/>
            </w:tcBorders>
            <w:vAlign w:val="center"/>
          </w:tcPr>
          <w:p>
            <w:pPr>
              <w:jc w:val="center"/>
              <w:rPr>
                <w:rFonts w:ascii="宋体" w:hAnsi="宋体"/>
                <w:kern w:val="0"/>
                <w:sz w:val="18"/>
                <w:szCs w:val="18"/>
              </w:rPr>
            </w:pPr>
            <w:r>
              <w:rPr>
                <w:rFonts w:ascii="宋体" w:hAnsi="宋体"/>
                <w:kern w:val="0"/>
                <w:sz w:val="18"/>
                <w:szCs w:val="18"/>
              </w:rPr>
              <w:t>≥70</w:t>
            </w:r>
          </w:p>
        </w:tc>
        <w:tc>
          <w:tcPr>
            <w:tcW w:w="861" w:type="pct"/>
            <w:vAlign w:val="center"/>
          </w:tcPr>
          <w:p>
            <w:pPr>
              <w:jc w:val="center"/>
              <w:rPr>
                <w:rFonts w:ascii="宋体" w:hAnsi="宋体"/>
                <w:kern w:val="0"/>
                <w:sz w:val="18"/>
                <w:szCs w:val="18"/>
              </w:rPr>
            </w:pPr>
            <w:r>
              <w:rPr>
                <w:rFonts w:ascii="宋体" w:hAnsi="宋体"/>
                <w:kern w:val="0"/>
                <w:sz w:val="18"/>
                <w:szCs w:val="18"/>
              </w:rPr>
              <w:t>附录A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5000" w:type="pct"/>
            <w:gridSpan w:val="7"/>
            <w:vAlign w:val="center"/>
          </w:tcPr>
          <w:p>
            <w:pPr>
              <w:rPr>
                <w:rFonts w:ascii="宋体" w:hAnsi="宋体"/>
                <w:sz w:val="18"/>
                <w:szCs w:val="18"/>
              </w:rPr>
            </w:pPr>
            <w:r>
              <w:rPr>
                <w:rFonts w:hint="eastAsia" w:ascii="宋体" w:hAnsi="宋体"/>
                <w:kern w:val="0"/>
                <w:sz w:val="18"/>
                <w:szCs w:val="18"/>
              </w:rPr>
              <w:t>a</w:t>
            </w:r>
            <w:r>
              <w:rPr>
                <w:rFonts w:hint="eastAsia" w:ascii="宋体" w:hAnsi="宋体"/>
                <w:sz w:val="18"/>
                <w:szCs w:val="18"/>
              </w:rPr>
              <w:t>吸水率和表面吸水量仅适用于耐水纸面石膏板和耐水耐火纸面石膏板；</w:t>
            </w:r>
          </w:p>
          <w:p>
            <w:pPr>
              <w:rPr>
                <w:rFonts w:ascii="宋体" w:hAnsi="宋体"/>
                <w:kern w:val="0"/>
                <w:sz w:val="18"/>
                <w:szCs w:val="18"/>
              </w:rPr>
            </w:pPr>
            <w:r>
              <w:rPr>
                <w:rFonts w:hint="eastAsia" w:ascii="宋体" w:hAnsi="宋体"/>
                <w:kern w:val="0"/>
                <w:sz w:val="18"/>
                <w:szCs w:val="18"/>
              </w:rPr>
              <w:t>b</w:t>
            </w:r>
            <w:r>
              <w:rPr>
                <w:rFonts w:hint="eastAsia" w:ascii="宋体" w:hAnsi="宋体"/>
                <w:sz w:val="18"/>
                <w:szCs w:val="18"/>
              </w:rPr>
              <w:t>遇火稳定性仅适用于耐火纸面石膏板和耐水耐火纸面石膏板.</w:t>
            </w:r>
          </w:p>
        </w:tc>
      </w:tr>
      <w:bookmarkEnd w:id="58"/>
      <w:bookmarkEnd w:id="59"/>
      <w:bookmarkEnd w:id="60"/>
      <w:bookmarkEnd w:id="61"/>
      <w:bookmarkEnd w:id="62"/>
      <w:bookmarkEnd w:id="63"/>
      <w:bookmarkEnd w:id="64"/>
      <w:bookmarkEnd w:id="65"/>
      <w:bookmarkEnd w:id="66"/>
      <w:bookmarkEnd w:id="67"/>
      <w:bookmarkEnd w:id="68"/>
    </w:tbl>
    <w:p>
      <w:pPr>
        <w:pStyle w:val="39"/>
        <w:numPr>
          <w:ilvl w:val="0"/>
          <w:numId w:val="2"/>
        </w:numPr>
        <w:spacing w:before="312" w:after="312"/>
        <w:rPr>
          <w:bCs/>
          <w:color w:val="000000"/>
          <w:sz w:val="24"/>
          <w:szCs w:val="24"/>
        </w:rPr>
      </w:pPr>
      <w:r>
        <w:rPr>
          <w:rFonts w:hint="eastAsia"/>
          <w:bCs/>
          <w:color w:val="000000"/>
          <w:sz w:val="24"/>
          <w:szCs w:val="24"/>
        </w:rPr>
        <w:t>评价方法</w:t>
      </w:r>
      <w:bookmarkStart w:id="71" w:name="_Toc350864010"/>
      <w:bookmarkStart w:id="72" w:name="_Toc360436858"/>
      <w:bookmarkStart w:id="73" w:name="_Toc360436771"/>
      <w:bookmarkStart w:id="74" w:name="_Toc396134056"/>
      <w:bookmarkStart w:id="75" w:name="_Toc384816571"/>
      <w:bookmarkStart w:id="76" w:name="_Toc360632449"/>
      <w:r>
        <w:rPr>
          <w:rFonts w:hint="eastAsia"/>
          <w:bCs/>
          <w:color w:val="000000"/>
          <w:sz w:val="24"/>
          <w:szCs w:val="24"/>
        </w:rPr>
        <w:t>及等级划分</w:t>
      </w:r>
    </w:p>
    <w:p>
      <w:pPr>
        <w:pStyle w:val="3"/>
        <w:tabs>
          <w:tab w:val="center" w:pos="4819"/>
        </w:tabs>
        <w:spacing w:before="200" w:after="200" w:line="360" w:lineRule="auto"/>
        <w:rPr>
          <w:rFonts w:ascii="黑体" w:hAnsi="黑体" w:eastAsia="黑体"/>
          <w:b w:val="0"/>
          <w:sz w:val="21"/>
          <w:szCs w:val="21"/>
        </w:rPr>
      </w:pPr>
      <w:r>
        <w:rPr>
          <w:rFonts w:ascii="黑体" w:hAnsi="黑体" w:eastAsia="黑体"/>
          <w:b w:val="0"/>
          <w:sz w:val="21"/>
          <w:szCs w:val="21"/>
        </w:rPr>
        <w:t>5.1</w:t>
      </w:r>
      <w:r>
        <w:rPr>
          <w:rFonts w:hint="eastAsia" w:ascii="黑体" w:hAnsi="黑体" w:eastAsia="黑体"/>
          <w:b w:val="0"/>
          <w:sz w:val="21"/>
          <w:szCs w:val="21"/>
        </w:rPr>
        <w:t>评价方法</w:t>
      </w:r>
    </w:p>
    <w:p>
      <w:pPr>
        <w:spacing w:line="300" w:lineRule="auto"/>
        <w:rPr>
          <w:rFonts w:ascii="宋体" w:hAnsi="宋体"/>
          <w:bCs/>
          <w:szCs w:val="22"/>
        </w:rPr>
      </w:pPr>
      <w:r>
        <w:rPr>
          <w:rFonts w:ascii="宋体" w:hAnsi="宋体"/>
          <w:bCs/>
          <w:szCs w:val="22"/>
        </w:rPr>
        <w:t>5.1.1企业应按照第4章的规定提供相关证明文件</w:t>
      </w:r>
      <w:r>
        <w:rPr>
          <w:rFonts w:hint="eastAsia" w:ascii="宋体" w:hAnsi="宋体"/>
          <w:bCs/>
          <w:szCs w:val="22"/>
        </w:rPr>
        <w:t>；</w:t>
      </w:r>
    </w:p>
    <w:p>
      <w:pPr>
        <w:spacing w:line="300" w:lineRule="auto"/>
        <w:rPr>
          <w:rFonts w:ascii="宋体" w:hAnsi="宋体"/>
          <w:bCs/>
          <w:szCs w:val="22"/>
        </w:rPr>
      </w:pPr>
      <w:r>
        <w:rPr>
          <w:rFonts w:ascii="宋体" w:hAnsi="宋体"/>
          <w:bCs/>
          <w:szCs w:val="22"/>
        </w:rPr>
        <w:t>5.1.2</w:t>
      </w:r>
      <w:r>
        <w:rPr>
          <w:rFonts w:hint="eastAsia" w:ascii="宋体" w:hAnsi="宋体"/>
          <w:bCs/>
          <w:szCs w:val="22"/>
        </w:rPr>
        <w:t>基础指标和核心指标</w:t>
      </w:r>
      <w:r>
        <w:rPr>
          <w:rFonts w:ascii="宋体" w:hAnsi="宋体"/>
          <w:bCs/>
          <w:szCs w:val="22"/>
        </w:rPr>
        <w:t>依据GB/T 9775的规定进行</w:t>
      </w:r>
      <w:r>
        <w:rPr>
          <w:rFonts w:hint="eastAsia" w:ascii="宋体" w:hAnsi="宋体"/>
          <w:bCs/>
          <w:szCs w:val="22"/>
        </w:rPr>
        <w:t>；</w:t>
      </w:r>
    </w:p>
    <w:p>
      <w:pPr>
        <w:spacing w:line="300" w:lineRule="auto"/>
        <w:rPr>
          <w:rFonts w:ascii="宋体" w:hAnsi="宋体"/>
          <w:bCs/>
          <w:szCs w:val="22"/>
        </w:rPr>
      </w:pPr>
      <w:r>
        <w:rPr>
          <w:rFonts w:ascii="宋体" w:hAnsi="宋体"/>
          <w:bCs/>
          <w:szCs w:val="22"/>
        </w:rPr>
        <w:t>5.1.3</w:t>
      </w:r>
      <w:r>
        <w:rPr>
          <w:rFonts w:hint="eastAsia" w:ascii="宋体" w:hAnsi="宋体"/>
          <w:bCs/>
          <w:szCs w:val="22"/>
        </w:rPr>
        <w:t>创新性指标中</w:t>
      </w:r>
      <w:r>
        <w:rPr>
          <w:rFonts w:ascii="宋体" w:hAnsi="宋体"/>
          <w:bCs/>
          <w:szCs w:val="22"/>
        </w:rPr>
        <w:t>产品生命周期环境影响依据GB/T 24025的规定进行</w:t>
      </w:r>
      <w:r>
        <w:rPr>
          <w:rFonts w:hint="eastAsia" w:ascii="宋体" w:hAnsi="宋体"/>
          <w:bCs/>
          <w:szCs w:val="22"/>
        </w:rPr>
        <w:t>，工业副产石膏使用率依据附录A的规定进行</w:t>
      </w:r>
      <w:r>
        <w:rPr>
          <w:rFonts w:ascii="宋体" w:hAnsi="宋体"/>
          <w:bCs/>
          <w:szCs w:val="22"/>
        </w:rPr>
        <w:t>。</w:t>
      </w:r>
    </w:p>
    <w:p>
      <w:pPr>
        <w:pStyle w:val="3"/>
        <w:tabs>
          <w:tab w:val="center" w:pos="4819"/>
        </w:tabs>
        <w:spacing w:before="200" w:after="200" w:line="360" w:lineRule="auto"/>
        <w:rPr>
          <w:rFonts w:ascii="黑体" w:hAnsi="黑体" w:eastAsia="黑体"/>
          <w:b w:val="0"/>
          <w:sz w:val="21"/>
          <w:szCs w:val="21"/>
        </w:rPr>
      </w:pPr>
      <w:r>
        <w:rPr>
          <w:rFonts w:ascii="黑体" w:hAnsi="黑体" w:eastAsia="黑体"/>
          <w:b w:val="0"/>
          <w:sz w:val="21"/>
          <w:szCs w:val="21"/>
        </w:rPr>
        <w:t>5.2</w:t>
      </w:r>
      <w:r>
        <w:rPr>
          <w:rFonts w:hint="eastAsia" w:ascii="黑体" w:hAnsi="黑体" w:eastAsia="黑体"/>
          <w:b w:val="0"/>
          <w:sz w:val="21"/>
          <w:szCs w:val="21"/>
        </w:rPr>
        <w:t>等级划分</w:t>
      </w:r>
    </w:p>
    <w:p>
      <w:pPr>
        <w:pStyle w:val="28"/>
        <w:jc w:val="left"/>
        <w:rPr>
          <w:rFonts w:hAnsi="宋体" w:eastAsia="宋体" w:cs="Times New Roman"/>
          <w:kern w:val="0"/>
          <w:szCs w:val="21"/>
        </w:rPr>
      </w:pPr>
      <w:r>
        <w:rPr>
          <w:rFonts w:hint="eastAsia" w:hAnsi="宋体" w:eastAsia="宋体" w:cs="Times New Roman"/>
          <w:kern w:val="0"/>
          <w:szCs w:val="21"/>
        </w:rPr>
        <w:t>评价结果划分为一级、二级和三级，各等级所对应的划分依据见表2。达到三级要求及以上的企业标准并按照有关要求进行自我声明公开后均可进入纸面石膏板企业标准排行榜。达到一级要求的企业标准，且按照有关要求进行自我声明公开后，其标准和符合标准的产品或服务可以直接进入纸面石膏板企业标准“领跑者”候选名单。</w:t>
      </w:r>
    </w:p>
    <w:p>
      <w:pPr>
        <w:pStyle w:val="28"/>
        <w:jc w:val="center"/>
        <w:rPr>
          <w:rFonts w:ascii="Times New Roman" w:hAnsi="Times New Roman" w:eastAsia="宋体" w:cs="Times New Roman"/>
          <w:kern w:val="0"/>
          <w:szCs w:val="21"/>
        </w:rPr>
      </w:pPr>
      <w:r>
        <w:rPr>
          <w:rFonts w:ascii="Times New Roman" w:hAnsi="Times New Roman" w:eastAsia="宋体" w:cs="Times New Roman"/>
          <w:kern w:val="0"/>
          <w:szCs w:val="21"/>
        </w:rPr>
        <w:t>表2 指标评价要求及等级划分</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96"/>
        <w:gridCol w:w="1418"/>
        <w:gridCol w:w="1417"/>
        <w:gridCol w:w="2268"/>
        <w:gridCol w:w="2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评价等级</w:t>
            </w:r>
          </w:p>
        </w:tc>
        <w:tc>
          <w:tcPr>
            <w:tcW w:w="7648" w:type="dxa"/>
            <w:gridSpan w:val="4"/>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满足条件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一级应同时满足</w:t>
            </w:r>
          </w:p>
        </w:tc>
        <w:tc>
          <w:tcPr>
            <w:tcW w:w="1418" w:type="dxa"/>
            <w:vMerge w:val="restart"/>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基本要求</w:t>
            </w:r>
          </w:p>
        </w:tc>
        <w:tc>
          <w:tcPr>
            <w:tcW w:w="1417" w:type="dxa"/>
            <w:vMerge w:val="restart"/>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基础指标要求</w:t>
            </w:r>
          </w:p>
        </w:tc>
        <w:tc>
          <w:tcPr>
            <w:tcW w:w="2268"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核心指标先进水平要求</w:t>
            </w:r>
          </w:p>
        </w:tc>
        <w:tc>
          <w:tcPr>
            <w:tcW w:w="2545"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创新性指标要求（可选）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二级应同时满足</w:t>
            </w:r>
          </w:p>
        </w:tc>
        <w:tc>
          <w:tcPr>
            <w:tcW w:w="1418" w:type="dxa"/>
            <w:vMerge w:val="continue"/>
            <w:vAlign w:val="center"/>
          </w:tcPr>
          <w:p>
            <w:pPr>
              <w:pStyle w:val="28"/>
              <w:ind w:firstLine="0" w:firstLineChars="0"/>
              <w:jc w:val="center"/>
              <w:rPr>
                <w:rFonts w:ascii="Times New Roman" w:hAnsi="Times New Roman" w:eastAsia="宋体" w:cs="Times New Roman"/>
                <w:kern w:val="0"/>
                <w:sz w:val="20"/>
                <w:szCs w:val="21"/>
              </w:rPr>
            </w:pPr>
          </w:p>
        </w:tc>
        <w:tc>
          <w:tcPr>
            <w:tcW w:w="1417" w:type="dxa"/>
            <w:vMerge w:val="continue"/>
            <w:vAlign w:val="center"/>
          </w:tcPr>
          <w:p>
            <w:pPr>
              <w:pStyle w:val="28"/>
              <w:ind w:firstLine="0" w:firstLineChars="0"/>
              <w:jc w:val="center"/>
              <w:rPr>
                <w:rFonts w:ascii="Times New Roman" w:hAnsi="Times New Roman" w:eastAsia="宋体" w:cs="Times New Roman"/>
                <w:kern w:val="0"/>
                <w:sz w:val="20"/>
                <w:szCs w:val="21"/>
              </w:rPr>
            </w:pPr>
          </w:p>
        </w:tc>
        <w:tc>
          <w:tcPr>
            <w:tcW w:w="2268"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核心指标平均水平要求</w:t>
            </w:r>
          </w:p>
        </w:tc>
        <w:tc>
          <w:tcPr>
            <w:tcW w:w="2545" w:type="dxa"/>
            <w:vAlign w:val="center"/>
          </w:tcPr>
          <w:p>
            <w:pPr>
              <w:pStyle w:val="28"/>
              <w:ind w:firstLine="0" w:firstLineChars="0"/>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创新性指标要求（可选）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96" w:type="dxa"/>
            <w:vAlign w:val="center"/>
          </w:tcPr>
          <w:p>
            <w:pPr>
              <w:pStyle w:val="28"/>
              <w:ind w:firstLine="0" w:firstLineChars="0"/>
              <w:jc w:val="center"/>
              <w:rPr>
                <w:rFonts w:hAnsi="宋体" w:eastAsia="宋体" w:cs="Times New Roman"/>
                <w:kern w:val="0"/>
                <w:sz w:val="20"/>
                <w:szCs w:val="21"/>
              </w:rPr>
            </w:pPr>
            <w:r>
              <w:rPr>
                <w:rFonts w:hint="eastAsia" w:hAnsi="宋体" w:eastAsia="宋体" w:cs="Times New Roman"/>
                <w:kern w:val="0"/>
                <w:sz w:val="20"/>
                <w:szCs w:val="21"/>
              </w:rPr>
              <w:t>三级应同时满足</w:t>
            </w:r>
          </w:p>
        </w:tc>
        <w:tc>
          <w:tcPr>
            <w:tcW w:w="1418" w:type="dxa"/>
            <w:vMerge w:val="continue"/>
            <w:vAlign w:val="center"/>
          </w:tcPr>
          <w:p>
            <w:pPr>
              <w:pStyle w:val="28"/>
              <w:ind w:firstLine="0" w:firstLineChars="0"/>
              <w:jc w:val="center"/>
              <w:rPr>
                <w:rFonts w:hAnsi="宋体" w:eastAsia="宋体" w:cs="Times New Roman"/>
                <w:kern w:val="0"/>
                <w:sz w:val="20"/>
                <w:szCs w:val="21"/>
              </w:rPr>
            </w:pPr>
          </w:p>
        </w:tc>
        <w:tc>
          <w:tcPr>
            <w:tcW w:w="1417" w:type="dxa"/>
            <w:vMerge w:val="continue"/>
            <w:vAlign w:val="center"/>
          </w:tcPr>
          <w:p>
            <w:pPr>
              <w:pStyle w:val="28"/>
              <w:ind w:firstLine="0" w:firstLineChars="0"/>
              <w:jc w:val="center"/>
              <w:rPr>
                <w:rFonts w:hAnsi="宋体" w:eastAsia="宋体" w:cs="Times New Roman"/>
                <w:kern w:val="0"/>
                <w:sz w:val="20"/>
                <w:szCs w:val="21"/>
              </w:rPr>
            </w:pPr>
          </w:p>
        </w:tc>
        <w:tc>
          <w:tcPr>
            <w:tcW w:w="2268" w:type="dxa"/>
            <w:vAlign w:val="center"/>
          </w:tcPr>
          <w:p>
            <w:pPr>
              <w:pStyle w:val="28"/>
              <w:ind w:firstLine="0" w:firstLineChars="0"/>
              <w:jc w:val="center"/>
              <w:rPr>
                <w:rFonts w:hAnsi="宋体" w:eastAsia="宋体" w:cs="Times New Roman"/>
                <w:kern w:val="0"/>
                <w:sz w:val="20"/>
                <w:szCs w:val="21"/>
              </w:rPr>
            </w:pPr>
            <w:r>
              <w:rPr>
                <w:rFonts w:hint="eastAsia" w:hAnsi="宋体" w:eastAsia="宋体" w:cs="Times New Roman"/>
                <w:kern w:val="0"/>
                <w:sz w:val="20"/>
                <w:szCs w:val="21"/>
              </w:rPr>
              <w:t>核心指标基准水平要求</w:t>
            </w:r>
          </w:p>
        </w:tc>
        <w:tc>
          <w:tcPr>
            <w:tcW w:w="2545" w:type="dxa"/>
            <w:vAlign w:val="center"/>
          </w:tcPr>
          <w:p>
            <w:pPr>
              <w:pStyle w:val="28"/>
              <w:ind w:firstLine="0" w:firstLineChars="0"/>
              <w:jc w:val="center"/>
              <w:rPr>
                <w:rFonts w:hAnsi="宋体" w:eastAsia="宋体" w:cs="Times New Roman"/>
                <w:kern w:val="0"/>
                <w:sz w:val="20"/>
                <w:szCs w:val="21"/>
              </w:rPr>
            </w:pPr>
            <w:r>
              <w:rPr>
                <w:rFonts w:hint="eastAsia" w:hAnsi="宋体" w:eastAsia="宋体" w:cs="Times New Roman"/>
                <w:kern w:val="0"/>
                <w:sz w:val="20"/>
                <w:szCs w:val="21"/>
              </w:rPr>
              <w:t>——</w:t>
            </w:r>
          </w:p>
        </w:tc>
      </w:tr>
    </w:tbl>
    <w:p>
      <w:pPr>
        <w:pStyle w:val="28"/>
        <w:ind w:firstLine="0" w:firstLineChars="0"/>
        <w:rPr>
          <w:rFonts w:hAnsi="宋体" w:eastAsia="宋体" w:cs="Times New Roman"/>
          <w:kern w:val="0"/>
          <w:szCs w:val="21"/>
        </w:rPr>
        <w:sectPr>
          <w:pgSz w:w="11906" w:h="16838"/>
          <w:pgMar w:top="1402" w:right="1134" w:bottom="1134" w:left="1418" w:header="1418" w:footer="1134" w:gutter="0"/>
          <w:pgNumType w:start="1"/>
          <w:cols w:space="720" w:num="1"/>
          <w:formProt w:val="0"/>
          <w:docGrid w:type="lines" w:linePitch="312" w:charSpace="0"/>
        </w:sectPr>
      </w:pPr>
      <w:r>
        <w:rPr>
          <w:rFonts w:hAnsi="宋体" w:eastAsia="宋体" w:cs="Times New Roman"/>
          <w:kern w:val="0"/>
          <w:szCs w:val="21"/>
        </w:rPr>
        <w:pict>
          <v:line id="Line 5" o:spid="_x0000_s1039" o:spt="20" style="position:absolute;left:0pt;flip:y;margin-left:164.35pt;margin-top:23.45pt;height:0pt;width:111.9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">
            <v:path arrowok="t"/>
            <v:fill focussize="0,0"/>
            <v:stroke/>
            <v:imagedata o:title=""/>
            <o:lock v:ext="edit"/>
          </v:line>
        </w:pict>
      </w:r>
    </w:p>
    <w:bookmarkEnd w:id="71"/>
    <w:bookmarkEnd w:id="72"/>
    <w:bookmarkEnd w:id="73"/>
    <w:bookmarkEnd w:id="74"/>
    <w:bookmarkEnd w:id="75"/>
    <w:bookmarkEnd w:id="76"/>
    <w:p>
      <w:pPr>
        <w:spacing w:afterLines="100"/>
        <w:jc w:val="center"/>
      </w:pPr>
    </w:p>
    <w:p>
      <w:pPr>
        <w:pStyle w:val="50"/>
        <w:spacing w:before="0" w:after="0"/>
        <w:rPr>
          <w:rFonts w:hAnsi="黑体"/>
          <w:szCs w:val="21"/>
        </w:rPr>
      </w:pPr>
      <w:r>
        <w:rPr>
          <w:rFonts w:hint="eastAsia" w:hAnsi="黑体"/>
          <w:szCs w:val="21"/>
        </w:rPr>
        <w:t>附录A</w:t>
      </w:r>
    </w:p>
    <w:p>
      <w:pPr>
        <w:jc w:val="center"/>
        <w:rPr>
          <w:rFonts w:ascii="黑体" w:hAnsi="黑体" w:eastAsia="黑体"/>
          <w:szCs w:val="21"/>
        </w:rPr>
      </w:pPr>
      <w:r>
        <w:rPr>
          <w:rFonts w:hint="eastAsia" w:ascii="黑体" w:hAnsi="黑体" w:eastAsia="黑体"/>
          <w:szCs w:val="21"/>
        </w:rPr>
        <w:t>（规范性附录）</w:t>
      </w:r>
    </w:p>
    <w:p>
      <w:pPr>
        <w:jc w:val="center"/>
      </w:pPr>
    </w:p>
    <w:p>
      <w:pPr>
        <w:jc w:val="center"/>
        <w:rPr>
          <w:rFonts w:ascii="黑体" w:hAnsi="黑体" w:eastAsia="黑体"/>
          <w:szCs w:val="21"/>
        </w:rPr>
      </w:pPr>
      <w:r>
        <w:rPr>
          <w:rFonts w:hint="eastAsia" w:ascii="黑体" w:hAnsi="黑体" w:eastAsia="黑体"/>
          <w:szCs w:val="21"/>
        </w:rPr>
        <w:t>计算方法</w:t>
      </w:r>
    </w:p>
    <w:p>
      <w:pPr>
        <w:pStyle w:val="48"/>
        <w:spacing w:before="312" w:after="312"/>
        <w:rPr>
          <w:rFonts w:ascii="Times New Roman"/>
        </w:rPr>
      </w:pPr>
      <w:r>
        <w:rPr>
          <w:rFonts w:hint="eastAsia" w:ascii="Times New Roman"/>
        </w:rPr>
        <w:t>A</w:t>
      </w:r>
      <w:r>
        <w:rPr>
          <w:rFonts w:ascii="Times New Roman"/>
        </w:rPr>
        <w:t xml:space="preserve">.1 </w:t>
      </w:r>
      <w:r>
        <w:rPr>
          <w:rFonts w:hint="eastAsia" w:ascii="Times New Roman"/>
        </w:rPr>
        <w:t>工业副产石膏使用率</w:t>
      </w:r>
    </w:p>
    <w:p>
      <w:pPr>
        <w:pStyle w:val="28"/>
        <w:rPr>
          <w:rFonts w:hAnsi="Times New Roman" w:eastAsia="宋体" w:cs="Times New Roman"/>
          <w:kern w:val="0"/>
          <w:szCs w:val="20"/>
        </w:rPr>
      </w:pPr>
      <w:r>
        <w:rPr>
          <w:rFonts w:hint="eastAsia" w:hAnsi="Times New Roman" w:eastAsia="宋体" w:cs="Times New Roman"/>
          <w:kern w:val="0"/>
          <w:szCs w:val="20"/>
        </w:rPr>
        <w:t>工业副产石膏掺入量以占1</w:t>
      </w:r>
      <w:r>
        <w:rPr>
          <w:rFonts w:hAnsi="Times New Roman" w:eastAsia="宋体" w:cs="Times New Roman"/>
          <w:kern w:val="0"/>
          <w:szCs w:val="20"/>
        </w:rPr>
        <w:t>m3</w:t>
      </w:r>
      <w:r>
        <w:rPr>
          <w:rFonts w:hint="eastAsia" w:hAnsi="Times New Roman" w:eastAsia="宋体" w:cs="Times New Roman"/>
          <w:kern w:val="0"/>
          <w:szCs w:val="20"/>
        </w:rPr>
        <w:t>板材质量的百分数计算，按式（A</w:t>
      </w:r>
      <w:r>
        <w:rPr>
          <w:rFonts w:hAnsi="Times New Roman" w:eastAsia="宋体" w:cs="Times New Roman"/>
          <w:kern w:val="0"/>
          <w:szCs w:val="20"/>
        </w:rPr>
        <w:t>.1</w:t>
      </w:r>
      <w:r>
        <w:rPr>
          <w:rFonts w:hint="eastAsia" w:hAnsi="Times New Roman" w:eastAsia="宋体" w:cs="Times New Roman"/>
          <w:kern w:val="0"/>
          <w:szCs w:val="20"/>
        </w:rPr>
        <w:t>）计算：</w:t>
      </w:r>
    </w:p>
    <w:p>
      <w:pPr>
        <w:ind w:firstLine="435"/>
      </w:pPr>
    </w:p>
    <w:p>
      <w:pPr>
        <w:ind w:firstLine="435"/>
        <w:jc w:val="center"/>
        <w:rPr>
          <w:szCs w:val="21"/>
        </w:rPr>
      </w:pPr>
      <m:oMath>
        <m:r>
          <m:rPr/>
          <w:rPr>
            <w:rFonts w:ascii="Cambria Math" w:hAnsi="Cambria Math"/>
            <w:szCs w:val="21"/>
          </w:rPr>
          <m:t>P</m:t>
        </m:r>
        <m:r>
          <m:rPr>
            <m:sty m:val="p"/>
          </m:rPr>
          <w:rPr>
            <w:rFonts w:ascii="Cambria Math" w:hAnsi="Cambria Math"/>
            <w:szCs w:val="21"/>
          </w:rPr>
          <m:t>i=</m:t>
        </m:r>
        <m:f>
          <m:fPr>
            <m:ctrlPr>
              <w:rPr>
                <w:rFonts w:ascii="Cambria Math" w:hAnsi="Cambria Math"/>
                <w:szCs w:val="21"/>
              </w:rPr>
            </m:ctrlPr>
          </m:fPr>
          <m:num>
            <m:r>
              <m:rPr/>
              <w:rPr>
                <w:rFonts w:ascii="Cambria Math" w:hAnsi="Cambria Math"/>
                <w:szCs w:val="21"/>
              </w:rPr>
              <m:t>Mi</m:t>
            </m:r>
            <m:ctrlPr>
              <w:rPr>
                <w:rFonts w:ascii="Cambria Math" w:hAnsi="Cambria Math"/>
                <w:szCs w:val="21"/>
              </w:rPr>
            </m:ctrlPr>
          </m:num>
          <m:den>
            <m:r>
              <m:rPr/>
              <w:rPr>
                <w:rFonts w:ascii="Cambria Math" w:hAnsi="Cambria Math"/>
                <w:szCs w:val="21"/>
              </w:rPr>
              <m:t>Mc</m:t>
            </m:r>
            <m:ctrlPr>
              <w:rPr>
                <w:rFonts w:ascii="Cambria Math" w:hAnsi="Cambria Math"/>
                <w:szCs w:val="21"/>
              </w:rPr>
            </m:ctrlPr>
          </m:den>
        </m:f>
        <m:r>
          <m:rPr/>
          <w:rPr>
            <w:rFonts w:ascii="Cambria Math" w:hAnsi="Cambria Math"/>
            <w:szCs w:val="21"/>
          </w:rPr>
          <m:t>×</m:t>
        </m:r>
      </m:oMath>
      <w:r>
        <w:rPr>
          <w:rFonts w:hint="eastAsia"/>
          <w:szCs w:val="21"/>
        </w:rPr>
        <w:t>1</w:t>
      </w:r>
      <w:r>
        <w:rPr>
          <w:szCs w:val="21"/>
        </w:rPr>
        <w:t>00%                   (A.1)</w:t>
      </w:r>
    </w:p>
    <w:p>
      <w:pPr>
        <w:pStyle w:val="47"/>
        <w:ind w:firstLine="420" w:firstLineChars="200"/>
      </w:pPr>
      <w:r>
        <w:rPr>
          <w:rFonts w:hint="eastAsia"/>
        </w:rPr>
        <w:t>式中：</w:t>
      </w:r>
    </w:p>
    <w:p>
      <w:pPr>
        <w:pStyle w:val="47"/>
        <w:ind w:firstLine="420" w:firstLineChars="200"/>
      </w:pPr>
      <w:r>
        <w:rPr>
          <w:rFonts w:hint="eastAsia"/>
        </w:rPr>
        <w:t>Pi——</w:t>
      </w:r>
      <w:r>
        <w:t>1m3</w:t>
      </w:r>
      <w:r>
        <w:rPr>
          <w:rFonts w:hint="eastAsia"/>
        </w:rPr>
        <w:t>板材中的工业副产石膏使用率；</w:t>
      </w:r>
    </w:p>
    <w:p>
      <w:pPr>
        <w:pStyle w:val="47"/>
        <w:ind w:firstLine="420" w:firstLineChars="200"/>
      </w:pPr>
      <w:r>
        <w:rPr>
          <w:rFonts w:hint="eastAsia"/>
        </w:rPr>
        <w:t>Mi——</w:t>
      </w:r>
      <w:r>
        <w:t>1m3</w:t>
      </w:r>
      <w:r>
        <w:rPr>
          <w:rFonts w:hint="eastAsia"/>
        </w:rPr>
        <w:t>板材中的工业副产石膏使用总量，单位为千克（</w:t>
      </w:r>
      <w:r>
        <w:t>kg</w:t>
      </w:r>
      <w:r>
        <w:rPr>
          <w:rFonts w:hint="eastAsia"/>
        </w:rPr>
        <w:t>）；</w:t>
      </w:r>
    </w:p>
    <w:p>
      <w:pPr>
        <w:pStyle w:val="47"/>
        <w:ind w:firstLine="420" w:firstLineChars="200"/>
      </w:pPr>
      <w:r>
        <w:rPr>
          <w:rFonts w:hint="eastAsia"/>
        </w:rPr>
        <w:t>M</w:t>
      </w:r>
      <w:r>
        <w:t xml:space="preserve">c </w:t>
      </w:r>
      <w:r>
        <w:rPr>
          <w:rFonts w:hint="eastAsia"/>
        </w:rPr>
        <w:t>——</w:t>
      </w:r>
      <w:r>
        <w:t>1m3</w:t>
      </w:r>
      <w:r>
        <w:rPr>
          <w:rFonts w:hint="eastAsia"/>
        </w:rPr>
        <w:t>纸面石膏板总质量，单位为千克（</w:t>
      </w:r>
      <w:r>
        <w:t>kg</w:t>
      </w:r>
      <w:r>
        <w:rPr>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rStyle w:val="16"/>
      </w:rPr>
      <w:fldChar w:fldCharType="begin"/>
    </w:r>
    <w:r>
      <w:rPr>
        <w:rStyle w:val="16"/>
      </w:rPr>
      <w:instrText xml:space="preserve">PAGE  </w:instrText>
    </w:r>
    <w:r>
      <w:rPr>
        <w:rStyle w:val="16"/>
      </w:rPr>
      <w:fldChar w:fldCharType="separate"/>
    </w:r>
    <w:r>
      <w:rPr>
        <w:rStyle w:val="16"/>
      </w:rPr>
      <w:t>III</w:t>
    </w:r>
    <w:r>
      <w:rPr>
        <w:rStyle w:val="16"/>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jc w:val="right"/>
      <w:rPr>
        <w:rStyle w:val="16"/>
      </w:rPr>
    </w:pPr>
    <w:r>
      <w:rPr>
        <w:rStyle w:val="16"/>
      </w:rPr>
      <w:fldChar w:fldCharType="begin"/>
    </w:r>
    <w:r>
      <w:rPr>
        <w:rStyle w:val="16"/>
      </w:rPr>
      <w:instrText xml:space="preserve">PAGE  </w:instrText>
    </w:r>
    <w:r>
      <w:rPr>
        <w:rStyle w:val="16"/>
      </w:rPr>
      <w:fldChar w:fldCharType="separate"/>
    </w:r>
    <w:r>
      <w:rPr>
        <w:rStyle w:val="16"/>
      </w:rPr>
      <w:t>4</w:t>
    </w:r>
    <w:r>
      <w:rPr>
        <w:rStyle w:val="16"/>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rFonts w:ascii="黑体" w:hAnsi="黑体" w:eastAsia="黑体" w:cs="宋体"/>
        <w:color w:val="000000" w:themeColor="text1"/>
        <w:kern w:val="0"/>
        <w:sz w:val="21"/>
        <w:szCs w:val="21"/>
      </w:rPr>
    </w:pPr>
    <w:r>
      <w:rPr>
        <w:rFonts w:ascii="黑体" w:hAnsi="黑体" w:eastAsia="黑体"/>
        <w:color w:val="000000" w:themeColor="text1"/>
        <w:sz w:val="21"/>
        <w:szCs w:val="21"/>
      </w:rPr>
      <w:t>T/CAB  00XX—20XX</w:t>
    </w:r>
  </w:p>
  <w:p>
    <w:pPr>
      <w:pStyle w:val="11"/>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b/>
      </w:rPr>
      <w:t>T/XXXX</w:t>
    </w:r>
    <w:r>
      <w:rPr>
        <w:rFonts w:hint="eastAsia"/>
      </w:rPr>
      <w:t xml:space="preserv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T/CBMF XX-</w:t>
    </w:r>
    <w:r>
      <w:rPr>
        <w:color w:val="000000" w:themeColor="text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9"/>
      <w:suff w:val="nothing"/>
      <w:lvlText w:val="%1　"/>
      <w:lvlJc w:val="left"/>
      <w:rPr>
        <w:rFonts w:hint="eastAsia" w:ascii="黑体" w:hAnsi="Times New Roman" w:eastAsia="黑体" w:cs="Times New Roman"/>
        <w:b w:val="0"/>
        <w:i w:val="0"/>
        <w:sz w:val="21"/>
        <w:szCs w:val="21"/>
      </w:rPr>
    </w:lvl>
    <w:lvl w:ilvl="1" w:tentative="0">
      <w:start w:val="1"/>
      <w:numFmt w:val="decimal"/>
      <w:pStyle w:val="38"/>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0"/>
      <w:suff w:val="nothing"/>
      <w:lvlText w:val="%1.%2.%3　"/>
      <w:lvlJc w:val="left"/>
      <w:rPr>
        <w:rFonts w:hint="eastAsia" w:ascii="黑体" w:hAnsi="Times New Roman" w:eastAsia="黑体" w:cs="Times New Roman"/>
        <w:b w:val="0"/>
        <w:i w:val="0"/>
        <w:sz w:val="21"/>
      </w:rPr>
    </w:lvl>
    <w:lvl w:ilvl="3" w:tentative="0">
      <w:start w:val="1"/>
      <w:numFmt w:val="decimal"/>
      <w:pStyle w:val="41"/>
      <w:suff w:val="nothing"/>
      <w:lvlText w:val="%1.%2.%3.%4　"/>
      <w:lvlJc w:val="left"/>
      <w:rPr>
        <w:rFonts w:hint="eastAsia" w:ascii="黑体" w:hAnsi="Times New Roman" w:eastAsia="黑体" w:cs="Times New Roman"/>
        <w:b w:val="0"/>
        <w:i w:val="0"/>
        <w:sz w:val="21"/>
      </w:rPr>
    </w:lvl>
    <w:lvl w:ilvl="4" w:tentative="0">
      <w:start w:val="1"/>
      <w:numFmt w:val="decimal"/>
      <w:pStyle w:val="42"/>
      <w:suff w:val="nothing"/>
      <w:lvlText w:val="%1.%2.%3.%4.%5　"/>
      <w:lvlJc w:val="left"/>
      <w:rPr>
        <w:rFonts w:hint="eastAsia" w:ascii="黑体" w:hAnsi="Times New Roman" w:eastAsia="黑体" w:cs="Times New Roman"/>
        <w:b w:val="0"/>
        <w:i w:val="0"/>
        <w:sz w:val="21"/>
      </w:rPr>
    </w:lvl>
    <w:lvl w:ilvl="5" w:tentative="0">
      <w:start w:val="1"/>
      <w:numFmt w:val="decimal"/>
      <w:pStyle w:val="43"/>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79906EC8"/>
    <w:multiLevelType w:val="multilevel"/>
    <w:tmpl w:val="79906E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5733"/>
    <w:rsid w:val="0000302F"/>
    <w:rsid w:val="000043B5"/>
    <w:rsid w:val="00016790"/>
    <w:rsid w:val="00061A59"/>
    <w:rsid w:val="000757D6"/>
    <w:rsid w:val="0008520A"/>
    <w:rsid w:val="0009693B"/>
    <w:rsid w:val="00096B25"/>
    <w:rsid w:val="000A188E"/>
    <w:rsid w:val="000A20B9"/>
    <w:rsid w:val="000B20F4"/>
    <w:rsid w:val="000C63DE"/>
    <w:rsid w:val="000D78CC"/>
    <w:rsid w:val="000F2042"/>
    <w:rsid w:val="00112622"/>
    <w:rsid w:val="001141CE"/>
    <w:rsid w:val="00150898"/>
    <w:rsid w:val="001515D3"/>
    <w:rsid w:val="00161EE2"/>
    <w:rsid w:val="00165678"/>
    <w:rsid w:val="00172D4C"/>
    <w:rsid w:val="00184A7F"/>
    <w:rsid w:val="001F550B"/>
    <w:rsid w:val="001F662B"/>
    <w:rsid w:val="002040E8"/>
    <w:rsid w:val="002349CE"/>
    <w:rsid w:val="00280424"/>
    <w:rsid w:val="002837EA"/>
    <w:rsid w:val="002A0FA5"/>
    <w:rsid w:val="002D22D8"/>
    <w:rsid w:val="00307A50"/>
    <w:rsid w:val="003902EC"/>
    <w:rsid w:val="00391FA9"/>
    <w:rsid w:val="0039649D"/>
    <w:rsid w:val="00397612"/>
    <w:rsid w:val="003A0211"/>
    <w:rsid w:val="003A40FB"/>
    <w:rsid w:val="003B59FF"/>
    <w:rsid w:val="003C3B63"/>
    <w:rsid w:val="003D7929"/>
    <w:rsid w:val="003E0DB5"/>
    <w:rsid w:val="003F20C3"/>
    <w:rsid w:val="00405614"/>
    <w:rsid w:val="004102AA"/>
    <w:rsid w:val="004345C4"/>
    <w:rsid w:val="00453A6A"/>
    <w:rsid w:val="00465D96"/>
    <w:rsid w:val="00472CD8"/>
    <w:rsid w:val="0049023F"/>
    <w:rsid w:val="004A5D9C"/>
    <w:rsid w:val="004D754B"/>
    <w:rsid w:val="00521983"/>
    <w:rsid w:val="00531005"/>
    <w:rsid w:val="0057065A"/>
    <w:rsid w:val="00585836"/>
    <w:rsid w:val="005A25A6"/>
    <w:rsid w:val="005A417C"/>
    <w:rsid w:val="005A4F6A"/>
    <w:rsid w:val="005A68FC"/>
    <w:rsid w:val="005B588F"/>
    <w:rsid w:val="00611C7D"/>
    <w:rsid w:val="0061503B"/>
    <w:rsid w:val="006435E6"/>
    <w:rsid w:val="00644FA5"/>
    <w:rsid w:val="00652977"/>
    <w:rsid w:val="00683FD5"/>
    <w:rsid w:val="006C27D6"/>
    <w:rsid w:val="006C71C4"/>
    <w:rsid w:val="006D20D8"/>
    <w:rsid w:val="006E6548"/>
    <w:rsid w:val="006F18B3"/>
    <w:rsid w:val="00726F3C"/>
    <w:rsid w:val="007434C9"/>
    <w:rsid w:val="00755D91"/>
    <w:rsid w:val="0075688D"/>
    <w:rsid w:val="00777B90"/>
    <w:rsid w:val="00786AF0"/>
    <w:rsid w:val="007B7903"/>
    <w:rsid w:val="007D736F"/>
    <w:rsid w:val="007E67B4"/>
    <w:rsid w:val="007F77AD"/>
    <w:rsid w:val="0080577B"/>
    <w:rsid w:val="00840C73"/>
    <w:rsid w:val="008417C4"/>
    <w:rsid w:val="008424B2"/>
    <w:rsid w:val="00871F05"/>
    <w:rsid w:val="008A46DC"/>
    <w:rsid w:val="008B7B5C"/>
    <w:rsid w:val="008C0A00"/>
    <w:rsid w:val="008E265A"/>
    <w:rsid w:val="00936C03"/>
    <w:rsid w:val="0094211A"/>
    <w:rsid w:val="009477E2"/>
    <w:rsid w:val="00957ED8"/>
    <w:rsid w:val="009B32E5"/>
    <w:rsid w:val="009C7DB0"/>
    <w:rsid w:val="009D0DB6"/>
    <w:rsid w:val="00A10F9D"/>
    <w:rsid w:val="00A12CC0"/>
    <w:rsid w:val="00A155FE"/>
    <w:rsid w:val="00A27518"/>
    <w:rsid w:val="00A33E27"/>
    <w:rsid w:val="00A4102E"/>
    <w:rsid w:val="00A4253F"/>
    <w:rsid w:val="00A602FF"/>
    <w:rsid w:val="00A95501"/>
    <w:rsid w:val="00AA2616"/>
    <w:rsid w:val="00AA3304"/>
    <w:rsid w:val="00AC123B"/>
    <w:rsid w:val="00AC1392"/>
    <w:rsid w:val="00AD5484"/>
    <w:rsid w:val="00B011CA"/>
    <w:rsid w:val="00B15976"/>
    <w:rsid w:val="00B400F9"/>
    <w:rsid w:val="00B42D6B"/>
    <w:rsid w:val="00B85BA6"/>
    <w:rsid w:val="00B87F47"/>
    <w:rsid w:val="00B97189"/>
    <w:rsid w:val="00BF3E33"/>
    <w:rsid w:val="00C520B6"/>
    <w:rsid w:val="00C5688B"/>
    <w:rsid w:val="00C6436A"/>
    <w:rsid w:val="00C95733"/>
    <w:rsid w:val="00CA1A57"/>
    <w:rsid w:val="00CA5D3B"/>
    <w:rsid w:val="00CB1EC4"/>
    <w:rsid w:val="00CB5CD1"/>
    <w:rsid w:val="00CD7C71"/>
    <w:rsid w:val="00CF7584"/>
    <w:rsid w:val="00D340B1"/>
    <w:rsid w:val="00D34C08"/>
    <w:rsid w:val="00D41E36"/>
    <w:rsid w:val="00D461A5"/>
    <w:rsid w:val="00D66DE5"/>
    <w:rsid w:val="00D9200D"/>
    <w:rsid w:val="00DB1F5E"/>
    <w:rsid w:val="00DF582C"/>
    <w:rsid w:val="00E110C3"/>
    <w:rsid w:val="00E31A9A"/>
    <w:rsid w:val="00E41B18"/>
    <w:rsid w:val="00E87C68"/>
    <w:rsid w:val="00EA0556"/>
    <w:rsid w:val="00ED05D4"/>
    <w:rsid w:val="00EF02A1"/>
    <w:rsid w:val="00F170A1"/>
    <w:rsid w:val="00F25A83"/>
    <w:rsid w:val="00F40CF8"/>
    <w:rsid w:val="00F84441"/>
    <w:rsid w:val="00FC4083"/>
    <w:rsid w:val="00FE20CE"/>
    <w:rsid w:val="00FF4C26"/>
    <w:rsid w:val="1C350DA7"/>
    <w:rsid w:val="26175837"/>
    <w:rsid w:val="4D64333C"/>
    <w:rsid w:val="5680098B"/>
    <w:rsid w:val="61321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2"/>
        <o:r id="V:Rule2" type="connector" idref="#_x0000_s20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6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2"/>
    <w:uiPriority w:val="0"/>
    <w:pPr>
      <w:ind w:left="116"/>
    </w:pPr>
    <w:rPr>
      <w:rFonts w:ascii="宋体" w:hAnsi="宋体"/>
      <w:szCs w:val="21"/>
    </w:rPr>
  </w:style>
  <w:style w:type="paragraph" w:styleId="5">
    <w:name w:val="Document Map"/>
    <w:basedOn w:val="1"/>
    <w:link w:val="56"/>
    <w:uiPriority w:val="0"/>
    <w:rPr>
      <w:rFonts w:ascii="宋体"/>
      <w:sz w:val="18"/>
      <w:szCs w:val="18"/>
    </w:rPr>
  </w:style>
  <w:style w:type="paragraph" w:styleId="6">
    <w:name w:val="annotation text"/>
    <w:basedOn w:val="1"/>
    <w:link w:val="58"/>
    <w:qFormat/>
    <w:uiPriority w:val="0"/>
    <w:pPr>
      <w:jc w:val="left"/>
    </w:pPr>
  </w:style>
  <w:style w:type="paragraph" w:styleId="7">
    <w:name w:val="Plain Text"/>
    <w:basedOn w:val="1"/>
    <w:link w:val="21"/>
    <w:uiPriority w:val="0"/>
    <w:rPr>
      <w:rFonts w:ascii="宋体" w:hAnsi="Courier New" w:eastAsiaTheme="minorEastAsia" w:cstheme="minorBidi"/>
      <w:szCs w:val="21"/>
    </w:rPr>
  </w:style>
  <w:style w:type="paragraph" w:styleId="8">
    <w:name w:val="Date"/>
    <w:basedOn w:val="1"/>
    <w:next w:val="1"/>
    <w:link w:val="52"/>
    <w:uiPriority w:val="0"/>
    <w:pPr>
      <w:ind w:left="100" w:leftChars="2500"/>
    </w:pPr>
  </w:style>
  <w:style w:type="paragraph" w:styleId="9">
    <w:name w:val="Balloon Text"/>
    <w:basedOn w:val="1"/>
    <w:link w:val="57"/>
    <w:qFormat/>
    <w:uiPriority w:val="0"/>
    <w:rPr>
      <w:sz w:val="18"/>
      <w:szCs w:val="18"/>
    </w:rPr>
  </w:style>
  <w:style w:type="paragraph" w:styleId="10">
    <w:name w:val="footer"/>
    <w:basedOn w:val="1"/>
    <w:link w:val="46"/>
    <w:uiPriority w:val="99"/>
    <w:pPr>
      <w:tabs>
        <w:tab w:val="center" w:pos="4153"/>
        <w:tab w:val="right" w:pos="8306"/>
      </w:tabs>
      <w:snapToGrid w:val="0"/>
      <w:jc w:val="left"/>
    </w:pPr>
    <w:rPr>
      <w:sz w:val="18"/>
      <w:szCs w:val="18"/>
    </w:rPr>
  </w:style>
  <w:style w:type="paragraph" w:styleId="11">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59"/>
    <w:uiPriority w:val="0"/>
    <w:rPr>
      <w:b/>
      <w:bCs/>
    </w:rPr>
  </w:style>
  <w:style w:type="table" w:styleId="14">
    <w:name w:val="Table Grid"/>
    <w:basedOn w:val="13"/>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ascii="Times New Roman" w:hAnsi="Times New Roman" w:eastAsia="宋体" w:cs="Times New Roman"/>
      <w:sz w:val="18"/>
    </w:rPr>
  </w:style>
  <w:style w:type="character" w:styleId="17">
    <w:name w:val="Emphasis"/>
    <w:qFormat/>
    <w:uiPriority w:val="20"/>
    <w:rPr>
      <w:i/>
      <w:iCs/>
    </w:rPr>
  </w:style>
  <w:style w:type="character" w:styleId="18">
    <w:name w:val="Hyperlink"/>
    <w:unhideWhenUsed/>
    <w:uiPriority w:val="99"/>
    <w:rPr>
      <w:color w:val="0000FF"/>
      <w:u w:val="single"/>
    </w:rPr>
  </w:style>
  <w:style w:type="character" w:styleId="19">
    <w:name w:val="annotation reference"/>
    <w:qFormat/>
    <w:uiPriority w:val="0"/>
    <w:rPr>
      <w:sz w:val="21"/>
      <w:szCs w:val="21"/>
    </w:rPr>
  </w:style>
  <w:style w:type="character" w:customStyle="1" w:styleId="20">
    <w:name w:val="标题 3 Char"/>
    <w:basedOn w:val="15"/>
    <w:link w:val="4"/>
    <w:uiPriority w:val="9"/>
    <w:rPr>
      <w:rFonts w:ascii="宋体" w:hAnsi="宋体" w:eastAsia="宋体" w:cs="Times New Roman"/>
      <w:b/>
      <w:bCs/>
      <w:kern w:val="0"/>
      <w:sz w:val="27"/>
      <w:szCs w:val="27"/>
    </w:rPr>
  </w:style>
  <w:style w:type="character" w:customStyle="1" w:styleId="21">
    <w:name w:val="纯文本 Char"/>
    <w:link w:val="7"/>
    <w:qFormat/>
    <w:locked/>
    <w:uiPriority w:val="0"/>
    <w:rPr>
      <w:rFonts w:ascii="宋体" w:hAnsi="Courier New"/>
      <w:szCs w:val="21"/>
    </w:rPr>
  </w:style>
  <w:style w:type="character" w:customStyle="1" w:styleId="22">
    <w:name w:val="纯文本 字符1"/>
    <w:basedOn w:val="15"/>
    <w:semiHidden/>
    <w:uiPriority w:val="99"/>
    <w:rPr>
      <w:rFonts w:hAnsi="Courier New" w:cs="Courier New" w:asciiTheme="minorEastAsia"/>
      <w:szCs w:val="24"/>
    </w:rPr>
  </w:style>
  <w:style w:type="character" w:customStyle="1" w:styleId="23">
    <w:name w:val="纯文本 Char1"/>
    <w:basedOn w:val="15"/>
    <w:semiHidden/>
    <w:uiPriority w:val="99"/>
    <w:rPr>
      <w:rFonts w:ascii="宋体" w:hAnsi="Courier New" w:eastAsia="宋体" w:cs="Courier New"/>
      <w:szCs w:val="21"/>
    </w:rPr>
  </w:style>
  <w:style w:type="paragraph" w:customStyle="1" w:styleId="24">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25">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character" w:customStyle="1" w:styleId="26">
    <w:name w:val="发布"/>
    <w:qFormat/>
    <w:uiPriority w:val="0"/>
    <w:rPr>
      <w:rFonts w:ascii="黑体" w:eastAsia="黑体"/>
      <w:spacing w:val="85"/>
      <w:w w:val="100"/>
      <w:position w:val="3"/>
      <w:sz w:val="28"/>
      <w:szCs w:val="28"/>
    </w:rPr>
  </w:style>
  <w:style w:type="character" w:customStyle="1" w:styleId="27">
    <w:name w:val="段 Char"/>
    <w:link w:val="28"/>
    <w:qFormat/>
    <w:uiPriority w:val="0"/>
    <w:rPr>
      <w:rFonts w:ascii="宋体"/>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9">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30">
    <w:name w:val="封面标准文稿编辑信息"/>
    <w:basedOn w:val="31"/>
    <w:qFormat/>
    <w:uiPriority w:val="0"/>
    <w:pPr>
      <w:framePr w:wrap="around"/>
      <w:spacing w:before="180" w:line="180" w:lineRule="exact"/>
    </w:pPr>
    <w:rPr>
      <w:sz w:val="21"/>
    </w:rPr>
  </w:style>
  <w:style w:type="paragraph" w:customStyle="1" w:styleId="31">
    <w:name w:val="封面标准文稿类别"/>
    <w:basedOn w:val="29"/>
    <w:uiPriority w:val="0"/>
    <w:pPr>
      <w:framePr w:wrap="around"/>
      <w:spacing w:after="160" w:line="240" w:lineRule="auto"/>
    </w:pPr>
    <w:rPr>
      <w:sz w:val="24"/>
    </w:rPr>
  </w:style>
  <w:style w:type="paragraph" w:customStyle="1" w:styleId="32">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3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34">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6">
    <w:name w:val="其他实施日期"/>
    <w:basedOn w:val="1"/>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37">
    <w:name w:val="目次、标准名称标题"/>
    <w:basedOn w:val="1"/>
    <w:next w:val="28"/>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8">
    <w:name w:val="一级条标题"/>
    <w:next w:val="28"/>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39">
    <w:name w:val="章标题"/>
    <w:next w:val="28"/>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0">
    <w:name w:val="二级条标题"/>
    <w:basedOn w:val="38"/>
    <w:next w:val="28"/>
    <w:qFormat/>
    <w:uiPriority w:val="0"/>
    <w:pPr>
      <w:numPr>
        <w:ilvl w:val="2"/>
      </w:numPr>
      <w:spacing w:before="50" w:after="50"/>
      <w:outlineLvl w:val="3"/>
    </w:pPr>
  </w:style>
  <w:style w:type="paragraph" w:customStyle="1" w:styleId="41">
    <w:name w:val="三级条标题"/>
    <w:basedOn w:val="40"/>
    <w:next w:val="28"/>
    <w:qFormat/>
    <w:uiPriority w:val="0"/>
    <w:pPr>
      <w:numPr>
        <w:ilvl w:val="3"/>
      </w:numPr>
      <w:outlineLvl w:val="4"/>
    </w:pPr>
  </w:style>
  <w:style w:type="paragraph" w:customStyle="1" w:styleId="42">
    <w:name w:val="四级条标题"/>
    <w:basedOn w:val="41"/>
    <w:next w:val="28"/>
    <w:uiPriority w:val="0"/>
    <w:pPr>
      <w:numPr>
        <w:ilvl w:val="4"/>
      </w:numPr>
      <w:outlineLvl w:val="5"/>
    </w:pPr>
  </w:style>
  <w:style w:type="paragraph" w:customStyle="1" w:styleId="43">
    <w:name w:val="五级条标题"/>
    <w:basedOn w:val="42"/>
    <w:next w:val="28"/>
    <w:uiPriority w:val="0"/>
    <w:pPr>
      <w:numPr>
        <w:ilvl w:val="5"/>
      </w:numPr>
      <w:outlineLvl w:val="6"/>
    </w:p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页眉 Char"/>
    <w:basedOn w:val="15"/>
    <w:link w:val="11"/>
    <w:uiPriority w:val="0"/>
    <w:rPr>
      <w:rFonts w:ascii="Times New Roman" w:hAnsi="Times New Roman" w:eastAsia="宋体" w:cs="Times New Roman"/>
      <w:sz w:val="18"/>
      <w:szCs w:val="18"/>
    </w:rPr>
  </w:style>
  <w:style w:type="character" w:customStyle="1" w:styleId="46">
    <w:name w:val="页脚 Char"/>
    <w:basedOn w:val="15"/>
    <w:link w:val="10"/>
    <w:uiPriority w:val="99"/>
    <w:rPr>
      <w:rFonts w:ascii="Times New Roman" w:hAnsi="Times New Roman" w:eastAsia="宋体" w:cs="Times New Roman"/>
      <w:sz w:val="18"/>
      <w:szCs w:val="18"/>
    </w:rPr>
  </w:style>
  <w:style w:type="paragraph" w:customStyle="1" w:styleId="47">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48">
    <w:name w:val="附录章标题"/>
    <w:next w:val="28"/>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49">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50">
    <w:name w:val="附录标识"/>
    <w:basedOn w:val="1"/>
    <w:next w:val="28"/>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51">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52">
    <w:name w:val="日期 Char"/>
    <w:basedOn w:val="15"/>
    <w:link w:val="8"/>
    <w:uiPriority w:val="0"/>
    <w:rPr>
      <w:rFonts w:ascii="Times New Roman" w:hAnsi="Times New Roman" w:eastAsia="宋体" w:cs="Times New Roman"/>
      <w:szCs w:val="24"/>
    </w:rPr>
  </w:style>
  <w:style w:type="character" w:customStyle="1" w:styleId="53">
    <w:name w:val="条文 Char"/>
    <w:link w:val="54"/>
    <w:qFormat/>
    <w:uiPriority w:val="0"/>
    <w:rPr>
      <w:szCs w:val="24"/>
    </w:rPr>
  </w:style>
  <w:style w:type="paragraph" w:customStyle="1" w:styleId="54">
    <w:name w:val="条文"/>
    <w:basedOn w:val="1"/>
    <w:link w:val="53"/>
    <w:qFormat/>
    <w:uiPriority w:val="0"/>
    <w:pPr>
      <w:spacing w:line="300" w:lineRule="auto"/>
      <w:outlineLvl w:val="2"/>
    </w:pPr>
    <w:rPr>
      <w:rFonts w:asciiTheme="minorHAnsi" w:hAnsiTheme="minorHAnsi" w:eastAsiaTheme="minorEastAsia" w:cstheme="minorBidi"/>
    </w:rPr>
  </w:style>
  <w:style w:type="paragraph" w:customStyle="1" w:styleId="55">
    <w:name w:val="图表脚注说明"/>
    <w:basedOn w:val="1"/>
    <w:qFormat/>
    <w:uiPriority w:val="0"/>
    <w:pPr>
      <w:ind w:left="544" w:hanging="181"/>
    </w:pPr>
    <w:rPr>
      <w:rFonts w:ascii="宋体"/>
      <w:sz w:val="18"/>
      <w:szCs w:val="18"/>
    </w:rPr>
  </w:style>
  <w:style w:type="character" w:customStyle="1" w:styleId="56">
    <w:name w:val="文档结构图 Char"/>
    <w:basedOn w:val="15"/>
    <w:link w:val="5"/>
    <w:qFormat/>
    <w:uiPriority w:val="0"/>
    <w:rPr>
      <w:rFonts w:ascii="宋体" w:hAnsi="Times New Roman" w:eastAsia="宋体" w:cs="Times New Roman"/>
      <w:sz w:val="18"/>
      <w:szCs w:val="18"/>
    </w:rPr>
  </w:style>
  <w:style w:type="character" w:customStyle="1" w:styleId="57">
    <w:name w:val="批注框文本 Char"/>
    <w:basedOn w:val="15"/>
    <w:link w:val="9"/>
    <w:qFormat/>
    <w:uiPriority w:val="0"/>
    <w:rPr>
      <w:rFonts w:ascii="Times New Roman" w:hAnsi="Times New Roman" w:eastAsia="宋体" w:cs="Times New Roman"/>
      <w:sz w:val="18"/>
      <w:szCs w:val="18"/>
    </w:rPr>
  </w:style>
  <w:style w:type="character" w:customStyle="1" w:styleId="58">
    <w:name w:val="批注文字 Char"/>
    <w:basedOn w:val="15"/>
    <w:link w:val="6"/>
    <w:qFormat/>
    <w:uiPriority w:val="0"/>
    <w:rPr>
      <w:rFonts w:ascii="Times New Roman" w:hAnsi="Times New Roman" w:eastAsia="宋体" w:cs="Times New Roman"/>
      <w:szCs w:val="24"/>
    </w:rPr>
  </w:style>
  <w:style w:type="character" w:customStyle="1" w:styleId="59">
    <w:name w:val="批注主题 Char"/>
    <w:basedOn w:val="58"/>
    <w:link w:val="12"/>
    <w:uiPriority w:val="0"/>
    <w:rPr>
      <w:rFonts w:ascii="Times New Roman" w:hAnsi="Times New Roman" w:eastAsia="宋体" w:cs="Times New Roman"/>
      <w:b/>
      <w:bCs/>
      <w:szCs w:val="24"/>
    </w:rPr>
  </w:style>
  <w:style w:type="paragraph" w:customStyle="1" w:styleId="60">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character" w:customStyle="1" w:styleId="62">
    <w:name w:val="正文文本 Char"/>
    <w:basedOn w:val="15"/>
    <w:link w:val="2"/>
    <w:uiPriority w:val="0"/>
    <w:rPr>
      <w:rFonts w:ascii="宋体" w:hAnsi="宋体" w:eastAsia="宋体" w:cs="Times New Roman"/>
      <w:szCs w:val="21"/>
    </w:rPr>
  </w:style>
  <w:style w:type="paragraph" w:customStyle="1" w:styleId="63">
    <w:name w:val="Table Paragraph"/>
    <w:basedOn w:val="1"/>
    <w:qFormat/>
    <w:uiPriority w:val="1"/>
  </w:style>
  <w:style w:type="paragraph" w:customStyle="1" w:styleId="64">
    <w:name w:val="二级无"/>
    <w:basedOn w:val="1"/>
    <w:qFormat/>
    <w:uiPriority w:val="0"/>
    <w:pPr>
      <w:widowControl/>
      <w:jc w:val="left"/>
      <w:outlineLvl w:val="3"/>
    </w:pPr>
    <w:rPr>
      <w:rFonts w:ascii="宋体"/>
      <w:kern w:val="0"/>
      <w:szCs w:val="21"/>
    </w:rPr>
  </w:style>
  <w:style w:type="paragraph" w:customStyle="1" w:styleId="65">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styleId="66">
    <w:name w:val="List Paragraph"/>
    <w:basedOn w:val="1"/>
    <w:qFormat/>
    <w:uiPriority w:val="34"/>
    <w:pPr>
      <w:ind w:firstLine="420" w:firstLineChars="200"/>
    </w:pPr>
  </w:style>
  <w:style w:type="character" w:styleId="67">
    <w:name w:val="Placeholder Text"/>
    <w:basedOn w:val="15"/>
    <w:semiHidden/>
    <w:qFormat/>
    <w:uiPriority w:val="99"/>
    <w:rPr>
      <w:color w:val="808080"/>
    </w:rPr>
  </w:style>
  <w:style w:type="paragraph" w:customStyle="1" w:styleId="68">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69">
    <w:name w:val="标题 2 Char"/>
    <w:basedOn w:val="15"/>
    <w:link w:val="3"/>
    <w:qFormat/>
    <w:uiPriority w:val="9"/>
    <w:rPr>
      <w:rFonts w:asciiTheme="majorHAnsi" w:hAnsiTheme="majorHAnsi" w:eastAsiaTheme="majorEastAsia" w:cstheme="majorBidi"/>
      <w:b/>
      <w:bCs/>
      <w:sz w:val="32"/>
      <w:szCs w:val="32"/>
    </w:rPr>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71">
    <w:name w:val="标准书脚_偶数页"/>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Info spid="_x0000_s2052"/>
    <customShpInfo spid="_x0000_s2054"/>
    <customShpInfo spid="_x0000_s2055"/>
    <customShpInfo spid="_x0000_s2053"/>
    <customShpInfo spid="_x0000_s2056"/>
    <customShpInfo spid="_x0000_s205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3335</Characters>
  <Lines>27</Lines>
  <Paragraphs>7</Paragraphs>
  <TotalTime>0</TotalTime>
  <ScaleCrop>false</ScaleCrop>
  <LinksUpToDate>false</LinksUpToDate>
  <CharactersWithSpaces>3913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2020-06-28T08:12:00Z</dcterms:created>
  <dc:creator>朱洁</dc:creator>
  <cp:lastModifiedBy>肖亮</cp:lastModifiedBy>
  <dcterms:modified xsi:type="dcterms:W3CDTF">2021-04-13T05:58:01Z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F5463E83362346B28229389A669117AE</vt:lpwstr>
  </property>
</Properties>
</file>