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28"/>
        </w:rPr>
      </w:pPr>
      <w:bookmarkStart w:id="0" w:name="_Toc360436831"/>
      <w:bookmarkStart w:id="1" w:name="_Toc462063249"/>
      <w:bookmarkStart w:id="2" w:name="_Toc360632419"/>
      <w:bookmarkStart w:id="3" w:name="_Toc396134026"/>
      <w:r>
        <w:pict>
          <v:shape id="_x0000_s2066" o:spid="_x0000_s2066" o:spt="202" type="#_x0000_t202" style="position:absolute;left:0pt;margin-left:-3.35pt;margin-top:8.5pt;height:42.1pt;width:99.5pt;mso-wrap-distance-bottom:3.6pt;mso-wrap-distance-left:9pt;mso-wrap-distance-right:9pt;mso-wrap-distance-top:3.6pt;z-index:251661312;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">
            <v:path/>
            <v:fill on="f" focussize="0,0"/>
            <v:stroke on="f"/>
            <v:imagedata o:title=""/>
            <o:lock v:ext="edit" aspectratio="f"/>
            <v:textbox>
              <w:txbxContent>
                <w:p>
                  <w:pPr>
                    <w:rPr>
                      <w:rFonts w:ascii="黑体" w:hAnsi="黑体" w:eastAsia="黑体"/>
                      <w:kern w:val="0"/>
                      <w:szCs w:val="21"/>
                    </w:rPr>
                  </w:pPr>
                  <w:r>
                    <w:rPr>
                      <w:rFonts w:hint="eastAsia" w:ascii="黑体" w:hAnsi="黑体" w:eastAsia="黑体"/>
                      <w:kern w:val="0"/>
                      <w:szCs w:val="21"/>
                    </w:rPr>
                    <w:t>ICS</w:t>
                  </w:r>
                </w:p>
                <w:p>
                  <w:pPr>
                    <w:rPr>
                      <w:rFonts w:ascii="黑体" w:hAnsi="黑体" w:eastAsia="黑体"/>
                      <w:szCs w:val="21"/>
                    </w:rPr>
                  </w:pPr>
                  <w:r>
                    <w:rPr>
                      <w:rFonts w:hint="eastAsia" w:ascii="黑体" w:hAnsi="黑体" w:eastAsia="黑体"/>
                      <w:kern w:val="0"/>
                      <w:szCs w:val="21"/>
                    </w:rPr>
                    <w:t>中国标准分类号</w:t>
                  </w:r>
                </w:p>
              </w:txbxContent>
            </v:textbox>
            <w10:wrap type="square"/>
          </v:shape>
        </w:pict>
      </w: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hint="eastAsia" w:ascii="黑体" w:hAnsi="黑体" w:eastAsia="黑体" w:cs="黑体"/>
          <w:kern w:val="0"/>
          <w:sz w:val="84"/>
        </w:rPr>
      </w:pPr>
      <w:r>
        <w:rPr>
          <w:rFonts w:hint="eastAsia" w:ascii="黑体" w:hAnsi="黑体" w:eastAsia="黑体" w:cs="黑体"/>
          <w:kern w:val="0"/>
          <w:sz w:val="84"/>
        </w:rPr>
        <w:t>团   体   标   准</w:t>
      </w:r>
    </w:p>
    <w:p>
      <w:pPr>
        <w:ind w:right="-50" w:rightChars="-24"/>
        <w:jc w:val="right"/>
        <w:rPr>
          <w:rFonts w:ascii="黑体" w:hAnsi="黑体" w:eastAsia="黑体" w:cs="Times New Roman"/>
          <w:kern w:val="0"/>
          <w:sz w:val="28"/>
          <w:szCs w:val="28"/>
        </w:rPr>
      </w:pPr>
    </w:p>
    <w:p>
      <w:pPr>
        <w:ind w:right="-50" w:rightChars="-24"/>
        <w:jc w:val="right"/>
        <w:rPr>
          <w:rFonts w:ascii="黑体" w:hAnsi="黑体" w:eastAsia="黑体" w:cs="Times New Roman"/>
          <w:kern w:val="0"/>
          <w:sz w:val="28"/>
          <w:szCs w:val="28"/>
        </w:rPr>
      </w:pPr>
      <w:r>
        <w:rPr>
          <w:rFonts w:ascii="黑体" w:hAnsi="黑体" w:eastAsia="黑体" w:cs="Times New Roman"/>
          <w:kern w:val="0"/>
          <w:sz w:val="28"/>
          <w:szCs w:val="28"/>
        </w:rPr>
        <w:t>T/C</w:t>
      </w:r>
      <w:r>
        <w:rPr>
          <w:rFonts w:hint="eastAsia" w:ascii="黑体" w:hAnsi="黑体" w:eastAsia="黑体" w:cs="Times New Roman"/>
          <w:kern w:val="0"/>
          <w:sz w:val="28"/>
          <w:szCs w:val="28"/>
          <w:lang w:val="en-US" w:eastAsia="zh-CN"/>
        </w:rPr>
        <w:t>BMF</w:t>
      </w:r>
      <w:r>
        <w:rPr>
          <w:rFonts w:ascii="黑体" w:hAnsi="黑体" w:eastAsia="黑体" w:cs="Times New Roman"/>
          <w:kern w:val="0"/>
          <w:sz w:val="28"/>
          <w:szCs w:val="28"/>
        </w:rPr>
        <w:t xml:space="preserve">  00XX—20XX</w:t>
      </w:r>
    </w:p>
    <w:p>
      <w:pPr>
        <w:ind w:right="-50" w:rightChars="-24" w:firstLine="7560" w:firstLineChars="2700"/>
        <w:jc w:val="left"/>
        <w:rPr>
          <w:rFonts w:ascii="黑体" w:hAnsi="黑体" w:eastAsia="黑体" w:cs="Times New Roman"/>
          <w:kern w:val="0"/>
          <w:sz w:val="28"/>
          <w:szCs w:val="28"/>
        </w:rPr>
      </w:pPr>
      <w:r>
        <w:rPr>
          <w:rFonts w:ascii="黑体" w:hAnsi="黑体" w:eastAsia="黑体" w:cs="Times New Roman"/>
          <w:kern w:val="0"/>
          <w:sz w:val="28"/>
          <w:szCs w:val="28"/>
        </w:rPr>
        <w:t>T/CSTE 00</w:t>
      </w:r>
      <w:r>
        <w:rPr>
          <w:rFonts w:hint="eastAsia" w:ascii="黑体" w:hAnsi="黑体" w:eastAsia="黑体" w:cs="Times New Roman"/>
          <w:kern w:val="0"/>
          <w:sz w:val="28"/>
          <w:szCs w:val="28"/>
        </w:rPr>
        <w:t>XX</w:t>
      </w:r>
      <w:r>
        <w:rPr>
          <w:rFonts w:ascii="黑体" w:hAnsi="黑体" w:eastAsia="黑体" w:cs="Times New Roman"/>
          <w:kern w:val="0"/>
          <w:sz w:val="28"/>
          <w:szCs w:val="28"/>
        </w:rPr>
        <w:t>—20</w:t>
      </w:r>
      <w:r>
        <w:rPr>
          <w:rFonts w:hint="eastAsia" w:ascii="黑体" w:hAnsi="黑体" w:eastAsia="黑体" w:cs="Times New Roman"/>
          <w:kern w:val="0"/>
          <w:sz w:val="28"/>
          <w:szCs w:val="28"/>
        </w:rPr>
        <w:t>XX</w:t>
      </w:r>
    </w:p>
    <w:p>
      <w:pPr>
        <w:rPr>
          <w:rFonts w:eastAsia="Times New Roman"/>
          <w:kern w:val="0"/>
        </w:rPr>
      </w:pPr>
    </w:p>
    <w:p>
      <w:pPr>
        <w:rPr>
          <w:kern w:val="0"/>
        </w:rPr>
      </w:pPr>
      <w:r>
        <w:rPr>
          <w:rFonts w:eastAsia="Times New Roman"/>
          <w:kern w:val="0"/>
        </w:rPr>
        <w:pict>
          <v:shape id="AutoShape 2" o:spid="_x0000_s2067" o:spt="34" type="#_x0000_t34" style="position:absolute;left:0pt;margin-left:2.5pt;margin-top:7pt;height:0.05pt;width:497.35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
            <v:path arrowok="t"/>
            <v:fill on="f" focussize="0,0"/>
            <v:stroke color="#000000" joinstyle="miter"/>
            <v:imagedata o:title=""/>
            <o:lock v:ext="edit" aspectratio="f"/>
          </v:shape>
        </w:pict>
      </w:r>
    </w:p>
    <w:p>
      <w:pPr>
        <w:rPr>
          <w:rFonts w:eastAsia="Times New Roman"/>
          <w:kern w:val="0"/>
        </w:rPr>
      </w:pPr>
    </w:p>
    <w:p>
      <w:pPr>
        <w:rPr>
          <w:rFonts w:eastAsia="Times New Roman"/>
          <w:kern w:val="0"/>
        </w:rPr>
      </w:pPr>
    </w:p>
    <w:p>
      <w:pPr>
        <w:rPr>
          <w:rFonts w:eastAsia="Times New Roman"/>
          <w:kern w:val="0"/>
        </w:rPr>
      </w:pPr>
    </w:p>
    <w:p>
      <w:pPr>
        <w:rPr>
          <w:rFonts w:eastAsia="Times New Roman"/>
          <w:kern w:val="0"/>
        </w:rPr>
      </w:pPr>
    </w:p>
    <w:p>
      <w:pPr>
        <w:rPr>
          <w:kern w:val="0"/>
        </w:rPr>
      </w:pPr>
    </w:p>
    <w:p>
      <w:pPr>
        <w:rPr>
          <w:kern w:val="0"/>
        </w:rPr>
      </w:pPr>
    </w:p>
    <w:p/>
    <w:p>
      <w:pPr>
        <w:rPr>
          <w:rFonts w:eastAsia="Times New Roman"/>
          <w:kern w:val="0"/>
        </w:rPr>
      </w:pPr>
      <w:r>
        <w:rPr>
          <w:rFonts w:eastAsia="Times New Roman"/>
          <w:kern w:val="0"/>
        </w:rPr>
        <w:pict>
          <v:shape id="_x0000_s2068" o:spid="_x0000_s2068" o:spt="202" type="#_x0000_t202" style="position:absolute;left:0pt;margin-left:8.1pt;margin-top:0.45pt;height:65.1pt;width:488.45pt;mso-wrap-distance-bottom:3.6pt;mso-wrap-distance-left:9pt;mso-wrap-distance-right:9pt;mso-wrap-distance-top:3.6pt;z-index:251663360;mso-width-relative:margin;mso-height-relative:margin;mso-height-percent:200;" filled="f" stroked="f" coordsize="21600,21600">
            <v:path/>
            <v:fill on="f" focussize="0,0"/>
            <v:stroke on="f"/>
            <v:imagedata o:title=""/>
            <o:lock v:ext="edit" aspectratio="f"/>
            <v:textbox style="mso-fit-shape-to-text:t;">
              <w:txbxContent>
                <w:p>
                  <w:pPr>
                    <w:pStyle w:val="33"/>
                    <w:rPr>
                      <w:sz w:val="44"/>
                      <w:szCs w:val="44"/>
                    </w:rPr>
                  </w:pPr>
                  <w:bookmarkStart w:id="78" w:name="StdEnglishName"/>
                  <w:r>
                    <w:rPr>
                      <w:rFonts w:hint="eastAsia"/>
                      <w:sz w:val="44"/>
                      <w:szCs w:val="44"/>
                    </w:rPr>
                    <w:t>“领跑者”标准评价要求 聚氯乙烯弹性地板</w:t>
                  </w:r>
                </w:p>
                <w:bookmarkEnd w:id="78"/>
                <w:p>
                  <w:pPr>
                    <w:pStyle w:val="7"/>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Assessment requirements for enterprise forerunner standards</w:t>
                  </w:r>
                  <w:r>
                    <w:rPr>
                      <w:rFonts w:hint="eastAsia" w:ascii="Times New Roman" w:hAnsi="Times New Roman" w:eastAsia="黑体" w:cs="Times New Roman"/>
                      <w:kern w:val="0"/>
                      <w:sz w:val="28"/>
                      <w:szCs w:val="28"/>
                    </w:rPr>
                    <w:t>—</w:t>
                  </w:r>
                  <w:r>
                    <w:rPr>
                      <w:rFonts w:ascii="Times New Roman" w:hAnsi="Times New Roman" w:eastAsia="黑体" w:cs="Times New Roman"/>
                      <w:kern w:val="0"/>
                      <w:sz w:val="28"/>
                      <w:szCs w:val="28"/>
                    </w:rPr>
                    <w:t xml:space="preserve">polyvinyl chloride </w:t>
                  </w:r>
                  <w:r>
                    <w:rPr>
                      <w:rFonts w:hint="eastAsia" w:ascii="Times New Roman" w:hAnsi="Times New Roman" w:eastAsia="黑体" w:cs="Times New Roman"/>
                      <w:kern w:val="0"/>
                      <w:sz w:val="28"/>
                      <w:szCs w:val="28"/>
                    </w:rPr>
                    <w:t>r</w:t>
                  </w:r>
                  <w:r>
                    <w:rPr>
                      <w:rFonts w:ascii="Times New Roman" w:hAnsi="Times New Roman" w:eastAsia="黑体" w:cs="Times New Roman"/>
                      <w:kern w:val="0"/>
                      <w:sz w:val="28"/>
                      <w:szCs w:val="28"/>
                    </w:rPr>
                    <w:t>esil</w:t>
                  </w:r>
                  <w:r>
                    <w:rPr>
                      <w:rFonts w:hint="eastAsia" w:ascii="Times New Roman" w:hAnsi="Times New Roman" w:eastAsia="黑体" w:cs="Times New Roman"/>
                      <w:kern w:val="0"/>
                      <w:sz w:val="28"/>
                      <w:szCs w:val="28"/>
                    </w:rPr>
                    <w:t>i</w:t>
                  </w:r>
                  <w:r>
                    <w:rPr>
                      <w:rFonts w:ascii="Times New Roman" w:hAnsi="Times New Roman" w:eastAsia="黑体" w:cs="Times New Roman"/>
                      <w:kern w:val="0"/>
                      <w:sz w:val="28"/>
                      <w:szCs w:val="28"/>
                    </w:rPr>
                    <w:t>ent floor</w:t>
                  </w:r>
                </w:p>
                <w:p>
                  <w:pPr>
                    <w:pStyle w:val="28"/>
                    <w:rPr>
                      <w:rFonts w:hAnsi="宋体"/>
                      <w:sz w:val="40"/>
                      <w:szCs w:val="40"/>
                    </w:rPr>
                  </w:pPr>
                  <w:r>
                    <w:rPr>
                      <w:rFonts w:hint="eastAsia" w:hAnsi="宋体"/>
                      <w:sz w:val="40"/>
                      <w:szCs w:val="40"/>
                    </w:rPr>
                    <w:t>（征求意见稿）</w:t>
                  </w:r>
                </w:p>
                <w:p/>
              </w:txbxContent>
            </v:textbox>
            <w10:wrap type="square"/>
          </v:shape>
        </w:pic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bookmarkStart w:id="79" w:name="_GoBack"/>
      <w:bookmarkEnd w:id="79"/>
    </w:p>
    <w:p>
      <w:pPr>
        <w:rPr>
          <w:kern w:val="0"/>
        </w:rPr>
      </w:pPr>
    </w:p>
    <w:p>
      <w:pPr>
        <w:rPr>
          <w:kern w:val="0"/>
        </w:rPr>
      </w:pPr>
    </w:p>
    <w:p>
      <w:pPr>
        <w:rPr>
          <w:kern w:val="0"/>
        </w:rPr>
      </w:pPr>
    </w:p>
    <w:p>
      <w:pPr>
        <w:ind w:left="-424" w:leftChars="-202"/>
        <w:jc w:val="right"/>
        <w:rPr>
          <w:rFonts w:ascii="黑体" w:hAnsi="微软雅黑" w:eastAsia="黑体"/>
          <w:kern w:val="0"/>
          <w:sz w:val="28"/>
        </w:rPr>
      </w:pPr>
      <w:r>
        <w:rPr>
          <w:rFonts w:hint="eastAsia" w:ascii="黑体" w:hAnsi="微软雅黑" w:eastAsia="黑体"/>
          <w:w w:val="99"/>
          <w:kern w:val="0"/>
          <w:sz w:val="28"/>
        </w:rPr>
        <w:t>202</w:t>
      </w:r>
      <w:r>
        <w:rPr>
          <w:rFonts w:hint="eastAsia" w:ascii="黑体" w:hAnsi="微软雅黑" w:eastAsia="黑体"/>
          <w:w w:val="99"/>
          <w:kern w:val="0"/>
          <w:sz w:val="28"/>
          <w:lang w:val="en-US" w:eastAsia="zh-CN"/>
        </w:rPr>
        <w:t>1</w:t>
      </w:r>
      <w:r>
        <w:rPr>
          <w:rFonts w:hint="eastAsia" w:ascii="黑体" w:hAnsi="微软雅黑" w:eastAsia="黑体"/>
          <w:w w:val="99"/>
          <w:kern w:val="0"/>
          <w:sz w:val="28"/>
        </w:rPr>
        <w:t xml:space="preserve">-XX-XX </w:t>
      </w:r>
      <w:r>
        <w:rPr>
          <w:rFonts w:hint="eastAsia" w:ascii="黑体" w:hAnsi="黑体" w:eastAsia="黑体"/>
          <w:w w:val="99"/>
          <w:kern w:val="0"/>
          <w:sz w:val="28"/>
        </w:rPr>
        <w:t xml:space="preserve">发布                                      </w:t>
      </w:r>
      <w:r>
        <w:rPr>
          <w:rFonts w:ascii="黑体" w:hAnsi="黑体" w:eastAsia="黑体"/>
          <w:w w:val="99"/>
          <w:kern w:val="0"/>
          <w:sz w:val="28"/>
        </w:rPr>
        <w:t xml:space="preserve"> </w:t>
      </w:r>
      <w:r>
        <w:rPr>
          <w:rFonts w:hint="eastAsia" w:ascii="黑体" w:hAnsi="黑体" w:eastAsia="黑体"/>
          <w:w w:val="99"/>
          <w:kern w:val="0"/>
          <w:sz w:val="28"/>
        </w:rPr>
        <w:t xml:space="preserve">   202</w:t>
      </w:r>
      <w:r>
        <w:rPr>
          <w:rFonts w:hint="eastAsia" w:ascii="黑体" w:hAnsi="黑体" w:eastAsia="黑体"/>
          <w:w w:val="99"/>
          <w:kern w:val="0"/>
          <w:sz w:val="28"/>
          <w:lang w:val="en-US" w:eastAsia="zh-CN"/>
        </w:rPr>
        <w:t>1</w:t>
      </w:r>
      <w:r>
        <w:rPr>
          <w:rFonts w:hint="eastAsia" w:ascii="黑体" w:hAnsi="微软雅黑" w:eastAsia="黑体"/>
          <w:w w:val="99"/>
          <w:kern w:val="0"/>
          <w:sz w:val="28"/>
        </w:rPr>
        <w:t xml:space="preserve">-XX-XX </w:t>
      </w:r>
      <w:r>
        <w:rPr>
          <w:rFonts w:hint="eastAsia" w:ascii="黑体" w:hAnsi="黑体" w:eastAsia="黑体"/>
          <w:w w:val="99"/>
          <w:kern w:val="0"/>
          <w:sz w:val="28"/>
        </w:rPr>
        <w:t>实施</w:t>
      </w:r>
    </w:p>
    <w:p>
      <w:pPr>
        <w:spacing w:line="560" w:lineRule="exact"/>
        <w:jc w:val="center"/>
        <w:rPr>
          <w:rFonts w:ascii="方正小标宋_GBK" w:eastAsia="方正小标宋_GBK"/>
          <w:kern w:val="0"/>
          <w:sz w:val="52"/>
        </w:rPr>
      </w:pPr>
      <w:r>
        <w:rPr>
          <w:kern w:val="0"/>
        </w:rPr>
        <w:pict>
          <v:group id="组合 14" o:spid="_x0000_s2069" o:spt="203" style="position:absolute;left:0pt;margin-left:49.6pt;margin-top:19.25pt;height:79.9pt;width:314.25pt;z-index:251664384;mso-width-relative:page;mso-height-relative:page;" coordorigin="1418,14227" coordsize="9638,1160">
            <o:lock v:ext="edit" aspectratio="f"/>
            <v:shape id="fmFrame7" o:spid="_x0000_s2070" o:spt="202" type="#_x0000_t202" style="position:absolute;left:1418;top:14295;height:1092;width:9638;" fillcolor="#FFFFFF" filled="t" stroked="f" coordsize="21600,21600">
              <v:path/>
              <v:fill on="t" color2="#FFFFFF" focussize="0,0"/>
              <v:stroke on="f"/>
              <v:imagedata o:title=""/>
              <o:lock v:ext="edit" aspectratio="f"/>
              <v:textbox inset="0mm,0mm,0mm,0mm">
                <w:txbxContent>
                  <w:p>
                    <w:pPr>
                      <w:pStyle w:val="64"/>
                      <w:spacing w:line="580" w:lineRule="exact"/>
                      <w:jc w:val="distribute"/>
                      <w:rPr>
                        <w:rFonts w:ascii="方正小标宋_GBK" w:eastAsia="方正小标宋_GBK" w:hAnsiTheme="minorHAnsi" w:cstheme="minorBidi"/>
                        <w:b w:val="0"/>
                        <w:spacing w:val="0"/>
                        <w:w w:val="100"/>
                        <w:sz w:val="52"/>
                        <w:szCs w:val="22"/>
                      </w:rPr>
                    </w:pPr>
                    <w:r>
                      <w:rPr>
                        <w:rFonts w:hint="eastAsia" w:ascii="方正小标宋_GBK" w:eastAsia="方正小标宋_GBK" w:hAnsiTheme="minorHAnsi" w:cstheme="minorBidi"/>
                        <w:b w:val="0"/>
                        <w:spacing w:val="0"/>
                        <w:w w:val="100"/>
                        <w:sz w:val="52"/>
                        <w:szCs w:val="22"/>
                      </w:rPr>
                      <w:t>中国建筑材料联合会</w:t>
                    </w:r>
                    <w:r>
                      <w:rPr>
                        <w:rFonts w:hint="eastAsia" w:ascii="方正小标宋_GBK" w:eastAsia="方正小标宋_GBK" w:hAnsiTheme="minorHAnsi" w:cstheme="minorBidi"/>
                        <w:b w:val="0"/>
                        <w:spacing w:val="0"/>
                        <w:w w:val="100"/>
                        <w:sz w:val="52"/>
                        <w:szCs w:val="22"/>
                        <w:lang w:val="en-US" w:eastAsia="zh-CN"/>
                      </w:rPr>
                      <w:t xml:space="preserve">     </w:t>
                    </w:r>
                    <w:r>
                      <w:rPr>
                        <w:rFonts w:hint="eastAsia" w:ascii="方正小标宋_GBK" w:eastAsia="方正小标宋_GBK" w:hAnsiTheme="minorHAnsi" w:cstheme="minorBidi"/>
                        <w:b w:val="0"/>
                        <w:spacing w:val="0"/>
                        <w:w w:val="100"/>
                        <w:sz w:val="52"/>
                        <w:szCs w:val="22"/>
                      </w:rPr>
                      <w:t>中国技术经济学会</w:t>
                    </w:r>
                  </w:p>
                </w:txbxContent>
              </v:textbox>
            </v:shape>
            <v:rect id="矩形 16" o:spid="_x0000_s2071" o:spt="1" style="position:absolute;left:8978;top:14227;height:624;width:1080;" filled="f" stroked="f" coordsize="21600,21600">
              <v:path/>
              <v:fill on="f" focussize="0,0"/>
              <v:stroke on="f"/>
              <v:imagedata o:title=""/>
              <o:lock v:ext="edit" aspectratio="f"/>
              <v:textbox>
                <w:txbxContent>
                  <w:p/>
                </w:txbxContent>
              </v:textbox>
            </v:rect>
          </v:group>
        </w:pict>
      </w:r>
      <w:r>
        <w:rPr>
          <w:rFonts w:ascii="方正小标宋_GBK" w:eastAsia="方正小标宋_GBK"/>
          <w:kern w:val="0"/>
        </w:rPr>
        <w:pict>
          <v:shape id="_x0000_s2072" o:spid="_x0000_s2072" o:spt="32" type="#_x0000_t32" style="position:absolute;left:0pt;margin-left:2.5pt;margin-top:11.95pt;height:0pt;width:493.15pt;z-index:25166233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">
            <v:path arrowok="t"/>
            <v:fill on="f" focussize="0,0"/>
            <v:stroke color="#000000"/>
            <v:imagedata o:title=""/>
            <o:lock v:ext="edit" aspectratio="f"/>
          </v:shape>
        </w:pict>
      </w:r>
    </w:p>
    <w:p>
      <w:pPr>
        <w:spacing w:line="560" w:lineRule="exact"/>
        <w:jc w:val="distribute"/>
        <w:rPr>
          <w:rFonts w:eastAsia="Times New Roman"/>
        </w:rPr>
      </w:pPr>
      <w:r>
        <w:pict>
          <v:rect id="矩形 21" o:spid="_x0000_s2073" o:spt="1" style="position:absolute;left:0pt;margin-left:386.1pt;margin-top:12.45pt;height:23.7pt;width:89.8pt;z-index:251665408;mso-width-relative:page;mso-height-relative:page;" fillcolor="#FFFFFF" filled="t" stroked="f" coordsize="21600,21600">
            <v:path/>
            <v:fill on="t" color2="#FFFFFF" focussize="0,0"/>
            <v:stroke on="f"/>
            <v:imagedata o:title=""/>
            <o:lock v:ext="edit" aspectratio="f"/>
            <v:textbox>
              <w:txbxContent>
                <w:p>
                  <w:pPr>
                    <w:rPr>
                      <w:rFonts w:hint="default"/>
                      <w:lang w:val="en-US" w:eastAsia="zh-CN"/>
                    </w:rPr>
                  </w:pPr>
                  <w:r>
                    <w:rPr>
                      <w:rStyle w:val="25"/>
                      <w:rFonts w:hint="eastAsia"/>
                    </w:rPr>
                    <w:t>发布</w:t>
                  </w:r>
                </w:p>
              </w:txbxContent>
            </v:textbox>
          </v:rect>
        </w:pict>
      </w:r>
      <w:r>
        <w:rPr>
          <w:rFonts w:hint="eastAsia" w:ascii="方正小标宋简体" w:eastAsia="方正小标宋简体"/>
          <w:kern w:val="0"/>
          <w:sz w:val="52"/>
        </w:rPr>
        <w:t xml:space="preserve">  </w:t>
      </w:r>
    </w:p>
    <w:p>
      <w:pPr>
        <w:jc w:val="left"/>
        <w:sectPr>
          <w:headerReference r:id="rId3" w:type="default"/>
          <w:headerReference r:id="rId4" w:type="even"/>
          <w:footerReference r:id="rId5" w:type="even"/>
          <w:pgSz w:w="11907" w:h="16839"/>
          <w:pgMar w:top="567" w:right="850" w:bottom="1134" w:left="1134" w:header="992" w:footer="851" w:gutter="0"/>
          <w:pgNumType w:fmt="upperRoman"/>
          <w:cols w:space="425" w:num="1"/>
          <w:titlePg/>
          <w:docGrid w:linePitch="312" w:charSpace="0"/>
        </w:sectPr>
      </w:pPr>
    </w:p>
    <w:p>
      <w:pPr>
        <w:jc w:val="left"/>
        <w:rPr>
          <w:rFonts w:ascii="Times New Roman"/>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rFonts w:hint="eastAsia"/>
          <w:sz w:val="52"/>
          <w:szCs w:val="56"/>
        </w:rPr>
      </w:pPr>
    </w:p>
    <w:p>
      <w:pPr>
        <w:rPr>
          <w:sz w:val="52"/>
          <w:szCs w:val="56"/>
        </w:rPr>
      </w:pPr>
      <w:r>
        <w:rPr>
          <w:rFonts w:hint="eastAsia"/>
          <w:sz w:val="52"/>
          <w:szCs w:val="56"/>
        </w:rPr>
        <w:t>版权保护文件</w:t>
      </w:r>
    </w:p>
    <w:p>
      <w:pPr>
        <w:rPr>
          <w:sz w:val="52"/>
          <w:szCs w:val="56"/>
        </w:rPr>
      </w:pPr>
      <w:r>
        <w:rPr>
          <w:rFonts w:hint="eastAsia" w:ascii="宋体" w:hAnsi="宋体"/>
          <w:szCs w:val="21"/>
        </w:rPr>
        <w:t>本文件规定了“领跑者”标准评价要求聚氯乙烯弹性地板的术语和定义、评价指标体系和评价方法，适用于</w:t>
      </w:r>
      <w:r>
        <w:rPr>
          <w:rFonts w:hint="eastAsia" w:ascii="宋体" w:hAnsi="宋体"/>
        </w:rPr>
        <w:t>建筑物内地面铺设的聚氯乙烯类弹性地板</w:t>
      </w:r>
      <w:r>
        <w:rPr>
          <w:rFonts w:hint="eastAsia" w:ascii="宋体" w:hAnsi="宋体"/>
          <w:szCs w:val="21"/>
        </w:rPr>
        <w:t>。请注意本文件的某些内容可能涉及专利。本文件发布机构不承担识别这些专利的责任。本文件版权所有归属于该文件的发布机构。除非有其他规定，否则未得许可，此发行物及其中章节不得以其他形式或任何手段进行生产和使用，包括电子版、影印件，或发布在互联网及内部网络等，使用许可可于发布机构获取。</w:t>
      </w:r>
    </w:p>
    <w:p>
      <w:pPr>
        <w:pStyle w:val="36"/>
      </w:pPr>
      <w:r>
        <w:rPr>
          <w:rFonts w:hint="eastAsia"/>
          <w:color w:val="000000"/>
        </w:rPr>
        <w:t>前</w:t>
      </w:r>
      <w:bookmarkStart w:id="4" w:name="BKQY"/>
      <w:r>
        <w:rPr>
          <w:rFonts w:hint="eastAsia"/>
          <w:color w:val="000000"/>
        </w:rPr>
        <w:t>  言</w:t>
      </w:r>
      <w:bookmarkEnd w:id="0"/>
      <w:bookmarkEnd w:id="1"/>
      <w:bookmarkEnd w:id="2"/>
      <w:bookmarkEnd w:id="3"/>
      <w:bookmarkEnd w:id="4"/>
    </w:p>
    <w:p>
      <w:pPr>
        <w:pStyle w:val="27"/>
        <w:rPr>
          <w:rFonts w:hAnsi="Times New Roman" w:eastAsia="宋体" w:cs="Times New Roman"/>
          <w:kern w:val="0"/>
          <w:szCs w:val="20"/>
        </w:rPr>
      </w:pPr>
      <w:r>
        <w:rPr>
          <w:rFonts w:hint="eastAsia" w:ascii="Times New Roman" w:hAnsi="Times New Roman" w:eastAsia="宋体" w:cs="宋体"/>
          <w:color w:val="000000" w:themeColor="text1"/>
          <w:kern w:val="0"/>
          <w:szCs w:val="21"/>
        </w:rPr>
        <w:t>本文件依据GB/T 1.1-2020</w:t>
      </w:r>
      <w:r>
        <w:rPr>
          <w:rFonts w:hint="eastAsia" w:hAnsi="Times New Roman" w:eastAsia="宋体" w:cs="Times New Roman"/>
          <w:kern w:val="0"/>
          <w:szCs w:val="20"/>
        </w:rPr>
        <w:t>《标准化工作导则 第1部分：标准化文件的结构和起草规则》的规则起草。</w:t>
      </w:r>
    </w:p>
    <w:p>
      <w:pPr>
        <w:pStyle w:val="27"/>
        <w:rPr>
          <w:rFonts w:hAnsi="Times New Roman" w:eastAsia="宋体" w:cs="Times New Roman"/>
          <w:kern w:val="0"/>
          <w:szCs w:val="20"/>
        </w:rPr>
      </w:pPr>
      <w:r>
        <w:rPr>
          <w:rFonts w:hint="eastAsia" w:hAnsi="Times New Roman" w:eastAsia="宋体" w:cs="Times New Roman"/>
          <w:kern w:val="0"/>
          <w:szCs w:val="20"/>
        </w:rPr>
        <w:t>请注意本文件的某些内容可能直接或间接涉及专利。本文件的发布机构不承担识别这些专利的责任。</w:t>
      </w:r>
    </w:p>
    <w:p>
      <w:pPr>
        <w:pStyle w:val="27"/>
        <w:spacing w:line="300" w:lineRule="auto"/>
        <w:rPr>
          <w:rFonts w:ascii="Times New Roman" w:hAnsi="Times New Roman" w:eastAsia="宋体" w:cs="宋体"/>
          <w:color w:val="000000" w:themeColor="text1"/>
          <w:kern w:val="0"/>
          <w:szCs w:val="21"/>
        </w:rPr>
      </w:pPr>
      <w:bookmarkStart w:id="5" w:name="_Hlk38245198"/>
      <w:r>
        <w:rPr>
          <w:rFonts w:hint="eastAsia" w:ascii="Times New Roman" w:hAnsi="Times New Roman" w:eastAsia="宋体" w:cs="宋体"/>
          <w:color w:val="000000" w:themeColor="text1"/>
          <w:kern w:val="0"/>
          <w:szCs w:val="21"/>
        </w:rPr>
        <w:t>本文件由中国建筑材料联合会</w:t>
      </w:r>
      <w:r>
        <w:rPr>
          <w:rFonts w:hint="eastAsia" w:ascii="Times New Roman" w:hAnsi="Times New Roman" w:eastAsia="宋体" w:cs="宋体"/>
          <w:color w:val="000000" w:themeColor="text1"/>
          <w:kern w:val="0"/>
          <w:szCs w:val="21"/>
          <w:lang w:val="en-US" w:eastAsia="zh-CN"/>
        </w:rPr>
        <w:t>和中国技术经济学会</w:t>
      </w:r>
      <w:r>
        <w:rPr>
          <w:rFonts w:hint="eastAsia" w:ascii="Times New Roman" w:hAnsi="Times New Roman" w:eastAsia="宋体" w:cs="宋体"/>
          <w:color w:val="000000" w:themeColor="text1"/>
          <w:kern w:val="0"/>
          <w:szCs w:val="21"/>
        </w:rPr>
        <w:t>提出并归口</w:t>
      </w:r>
      <w:bookmarkEnd w:id="5"/>
      <w:r>
        <w:rPr>
          <w:rFonts w:hint="eastAsia" w:ascii="Times New Roman" w:hAnsi="Times New Roman" w:eastAsia="宋体" w:cs="宋体"/>
          <w:color w:val="000000" w:themeColor="text1"/>
          <w:kern w:val="0"/>
          <w:szCs w:val="21"/>
        </w:rPr>
        <w:t>。</w:t>
      </w:r>
    </w:p>
    <w:p>
      <w:pPr>
        <w:pStyle w:val="27"/>
        <w:spacing w:line="300" w:lineRule="auto"/>
        <w:rPr>
          <w:rFonts w:ascii="Times New Roman" w:hAnsi="Times New Roman" w:eastAsia="宋体" w:cs="宋体"/>
          <w:color w:val="000000" w:themeColor="text1"/>
          <w:kern w:val="0"/>
          <w:szCs w:val="21"/>
        </w:rPr>
      </w:pPr>
      <w:r>
        <w:rPr>
          <w:rFonts w:hint="eastAsia" w:ascii="Times New Roman" w:hAnsi="Times New Roman" w:eastAsia="宋体" w:cs="宋体"/>
          <w:color w:val="000000" w:themeColor="text1"/>
          <w:kern w:val="0"/>
          <w:szCs w:val="21"/>
        </w:rPr>
        <w:t>本文件主要起草单位：中国建材检验认证集团股份有限公司</w:t>
      </w:r>
    </w:p>
    <w:p>
      <w:pPr>
        <w:pStyle w:val="27"/>
        <w:spacing w:line="300" w:lineRule="auto"/>
        <w:rPr>
          <w:rFonts w:ascii="Times New Roman" w:hAnsi="Times New Roman" w:eastAsia="宋体" w:cs="宋体"/>
          <w:color w:val="000000" w:themeColor="text1"/>
          <w:kern w:val="0"/>
          <w:szCs w:val="21"/>
        </w:rPr>
      </w:pPr>
      <w:r>
        <w:rPr>
          <w:rFonts w:hint="eastAsia" w:ascii="Times New Roman" w:hAnsi="Times New Roman" w:eastAsia="宋体" w:cs="宋体"/>
          <w:color w:val="000000" w:themeColor="text1"/>
          <w:kern w:val="0"/>
          <w:szCs w:val="21"/>
        </w:rPr>
        <w:t>本文件主要起草人：</w:t>
      </w:r>
    </w:p>
    <w:p>
      <w:pPr>
        <w:pStyle w:val="27"/>
        <w:spacing w:line="300" w:lineRule="auto"/>
        <w:rPr>
          <w:rFonts w:ascii="Times New Roman" w:hAnsi="Times New Roman" w:eastAsia="宋体" w:cs="宋体"/>
          <w:color w:val="000000" w:themeColor="text1"/>
          <w:kern w:val="0"/>
          <w:szCs w:val="21"/>
        </w:rPr>
      </w:pPr>
      <w:r>
        <w:rPr>
          <w:rFonts w:hint="eastAsia" w:ascii="Times New Roman" w:hAnsi="Times New Roman" w:eastAsia="宋体" w:cs="宋体"/>
          <w:color w:val="000000" w:themeColor="text1"/>
          <w:kern w:val="0"/>
          <w:szCs w:val="21"/>
        </w:rPr>
        <w:t>本文件为首次发布。</w:t>
      </w:r>
    </w:p>
    <w:p>
      <w:pPr>
        <w:pStyle w:val="27"/>
        <w:sectPr>
          <w:headerReference r:id="rId6" w:type="default"/>
          <w:footerReference r:id="rId7" w:type="default"/>
          <w:pgSz w:w="11906" w:h="16838"/>
          <w:pgMar w:top="567" w:right="1134" w:bottom="1134" w:left="1418" w:header="1418" w:footer="1134" w:gutter="0"/>
          <w:pgNumType w:fmt="upperRoman" w:start="1"/>
          <w:cols w:space="720" w:num="1"/>
          <w:formProt w:val="0"/>
          <w:docGrid w:type="lines" w:linePitch="312" w:charSpace="0"/>
        </w:sectPr>
      </w:pPr>
    </w:p>
    <w:p>
      <w:pPr>
        <w:pStyle w:val="66"/>
      </w:pPr>
      <w:bookmarkStart w:id="6" w:name="_Toc65687977"/>
      <w:r>
        <w:rPr>
          <w:rFonts w:hint="eastAsia"/>
        </w:rPr>
        <w:t>引</w:t>
      </w:r>
      <w:r>
        <w:rPr>
          <w:rFonts w:hint="eastAsia" w:ascii="MS Mincho" w:hAnsi="MS Mincho" w:eastAsia="MS Mincho" w:cs="MS Mincho"/>
        </w:rPr>
        <w:t>  </w:t>
      </w:r>
      <w:r>
        <w:rPr>
          <w:rFonts w:hint="eastAsia"/>
        </w:rPr>
        <w:t>言</w:t>
      </w:r>
      <w:bookmarkEnd w:id="6"/>
    </w:p>
    <w:p>
      <w:pPr>
        <w:pStyle w:val="27"/>
        <w:spacing w:line="360" w:lineRule="auto"/>
        <w:rPr>
          <w:rFonts w:hAnsi="宋体" w:eastAsia="宋体" w:cs="Times New Roman"/>
        </w:rPr>
      </w:pPr>
      <w:r>
        <w:rPr>
          <w:rFonts w:hint="eastAsia" w:hAnsi="宋体" w:eastAsia="宋体" w:cs="Times New Roman"/>
        </w:rPr>
        <w:t>放开搞活企业标准是标准化改革的重大举措。在新型标准化体系中，企业标准定位为先进引领性的标准。《标准化法》要求企业标准不得低于强制性标准，鼓励企业制定高于推荐性标准的企业标准，并提出支持利用自主创新技术制定企业标准。但企业在指标选取和指标值确定方面缺乏参考，因此企业标准的先进引领作用未能充分体现。</w:t>
      </w:r>
    </w:p>
    <w:p>
      <w:pPr>
        <w:pStyle w:val="27"/>
        <w:spacing w:line="360" w:lineRule="auto"/>
        <w:rPr>
          <w:rFonts w:hAnsi="宋体" w:eastAsia="宋体" w:cs="Times New Roman"/>
        </w:rPr>
      </w:pPr>
      <w:r>
        <w:rPr>
          <w:rFonts w:hint="eastAsia" w:hAnsi="宋体" w:eastAsia="宋体" w:cs="Times New Roman"/>
        </w:rPr>
        <w:t>2</w:t>
      </w:r>
      <w:r>
        <w:rPr>
          <w:rFonts w:hAnsi="宋体" w:eastAsia="宋体" w:cs="Times New Roman"/>
        </w:rPr>
        <w:t>018</w:t>
      </w:r>
      <w:r>
        <w:rPr>
          <w:rFonts w:hint="eastAsia" w:hAnsi="宋体" w:eastAsia="宋体" w:cs="Times New Roman"/>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pPr>
        <w:pStyle w:val="27"/>
        <w:spacing w:line="360" w:lineRule="auto"/>
        <w:rPr>
          <w:rFonts w:hAnsi="宋体" w:eastAsia="宋体" w:cs="Times New Roman"/>
        </w:rPr>
      </w:pPr>
      <w:bookmarkStart w:id="7" w:name="OLE_LINK28"/>
      <w:bookmarkStart w:id="8" w:name="OLE_LINK27"/>
      <w:r>
        <w:rPr>
          <w:rFonts w:hint="eastAsia" w:hAnsi="宋体" w:eastAsia="宋体" w:cs="Times New Roman"/>
        </w:rPr>
        <w:t>通过建立聚氯乙烯弹性地板“领跑者”标准，一方面可为行业实施企业标准“领跑者”评价提供技术支撑，另一方面，通过建立“领跑者”</w:t>
      </w:r>
      <w:r>
        <w:rPr>
          <w:rFonts w:hAnsi="宋体" w:eastAsia="宋体" w:cs="Times New Roman"/>
        </w:rPr>
        <w:t>指标</w:t>
      </w:r>
      <w:r>
        <w:rPr>
          <w:rFonts w:hint="eastAsia" w:hAnsi="宋体" w:eastAsia="宋体" w:cs="Times New Roman"/>
        </w:rPr>
        <w:t>，挖掘、体现产品及行业的技术先进性，有利于树立行业标杆，引导企业设计开发更加优质、安全、环保的聚氯乙烯弹性地板产品，支撑行业高速高质发展的市场消费需求，提高行业整体的质量安全和绿色化水平，增强国际市场竞争力。</w:t>
      </w:r>
      <w:bookmarkEnd w:id="7"/>
      <w:bookmarkEnd w:id="8"/>
    </w:p>
    <w:p>
      <w:pPr>
        <w:pStyle w:val="36"/>
        <w:rPr>
          <w:rFonts w:cs="黑体"/>
          <w:szCs w:val="32"/>
        </w:rPr>
      </w:pPr>
      <w:r>
        <w:rPr>
          <w:rFonts w:hint="eastAsia" w:cs="黑体"/>
          <w:szCs w:val="32"/>
        </w:rPr>
        <w:t>“领跑者”标准评价要求聚氯乙烯弹性地板</w:t>
      </w:r>
    </w:p>
    <w:p>
      <w:pPr>
        <w:pStyle w:val="38"/>
        <w:numPr>
          <w:ilvl w:val="0"/>
          <w:numId w:val="1"/>
        </w:numPr>
        <w:spacing w:before="312" w:after="312"/>
        <w:rPr>
          <w:bCs/>
          <w:color w:val="000000"/>
          <w:sz w:val="24"/>
          <w:szCs w:val="24"/>
        </w:rPr>
      </w:pPr>
      <w:bookmarkStart w:id="9" w:name="_Toc462063250"/>
      <w:bookmarkStart w:id="10" w:name="_Toc406486337"/>
      <w:bookmarkStart w:id="11" w:name="_Toc360436746"/>
      <w:bookmarkStart w:id="12" w:name="_Toc396134027"/>
      <w:bookmarkStart w:id="13" w:name="_Toc350863984"/>
      <w:bookmarkStart w:id="14" w:name="_Toc360632420"/>
      <w:bookmarkStart w:id="15" w:name="_Toc360436832"/>
      <w:r>
        <w:rPr>
          <w:rFonts w:hint="eastAsia"/>
          <w:bCs/>
          <w:color w:val="000000"/>
          <w:sz w:val="24"/>
          <w:szCs w:val="24"/>
        </w:rPr>
        <w:t>范围</w:t>
      </w:r>
      <w:bookmarkEnd w:id="9"/>
      <w:bookmarkEnd w:id="10"/>
      <w:bookmarkEnd w:id="11"/>
      <w:bookmarkEnd w:id="12"/>
      <w:bookmarkEnd w:id="13"/>
      <w:bookmarkEnd w:id="14"/>
      <w:bookmarkEnd w:id="15"/>
    </w:p>
    <w:p>
      <w:pPr>
        <w:pStyle w:val="27"/>
        <w:rPr>
          <w:rFonts w:hAnsi="宋体" w:eastAsia="宋体"/>
        </w:rPr>
      </w:pPr>
      <w:r>
        <w:rPr>
          <w:rFonts w:hAnsi="宋体" w:eastAsia="宋体"/>
        </w:rPr>
        <w:t>本</w:t>
      </w:r>
      <w:r>
        <w:rPr>
          <w:rFonts w:hint="eastAsia" w:hAnsi="宋体" w:eastAsia="宋体"/>
        </w:rPr>
        <w:t>文件</w:t>
      </w:r>
      <w:r>
        <w:rPr>
          <w:rFonts w:hAnsi="宋体" w:eastAsia="宋体"/>
        </w:rPr>
        <w:t>规定了</w:t>
      </w:r>
      <w:r>
        <w:rPr>
          <w:rFonts w:hint="eastAsia" w:hAnsi="宋体" w:eastAsia="宋体"/>
        </w:rPr>
        <w:t>聚氯乙烯弹性地板的“领跑者”标准评价的术语定义、基本要求、评价指标体系和评价方法。</w:t>
      </w:r>
    </w:p>
    <w:p>
      <w:pPr>
        <w:ind w:firstLine="420" w:firstLineChars="200"/>
        <w:jc w:val="left"/>
        <w:rPr>
          <w:rFonts w:ascii="宋体" w:hAnsi="宋体"/>
        </w:rPr>
      </w:pPr>
      <w:r>
        <w:rPr>
          <w:rFonts w:hint="eastAsia" w:ascii="宋体" w:hAnsi="宋体"/>
        </w:rPr>
        <w:t>本</w:t>
      </w:r>
      <w:r>
        <w:rPr>
          <w:rFonts w:hint="eastAsia" w:hAnsi="宋体"/>
        </w:rPr>
        <w:t>文件</w:t>
      </w:r>
      <w:r>
        <w:rPr>
          <w:rFonts w:hint="eastAsia" w:ascii="宋体" w:hAnsi="宋体"/>
        </w:rPr>
        <w:t>适用于建筑物内地面铺设的聚氯乙烯类弹性地板。</w:t>
      </w:r>
    </w:p>
    <w:p>
      <w:pPr>
        <w:pStyle w:val="38"/>
        <w:numPr>
          <w:ilvl w:val="0"/>
          <w:numId w:val="1"/>
        </w:numPr>
        <w:spacing w:before="312" w:after="312"/>
        <w:rPr>
          <w:bCs/>
          <w:color w:val="000000"/>
          <w:sz w:val="24"/>
          <w:szCs w:val="24"/>
        </w:rPr>
      </w:pPr>
      <w:bookmarkStart w:id="16" w:name="_Toc533518555"/>
      <w:r>
        <w:rPr>
          <w:rFonts w:hint="eastAsia"/>
          <w:bCs/>
          <w:color w:val="000000"/>
          <w:sz w:val="24"/>
          <w:szCs w:val="24"/>
        </w:rPr>
        <w:t>规范性引用文件</w:t>
      </w:r>
      <w:bookmarkEnd w:id="16"/>
    </w:p>
    <w:p>
      <w:pPr>
        <w:pStyle w:val="27"/>
        <w:rPr>
          <w:rFonts w:ascii="Times New Roman" w:hAnsi="Times New Roman" w:eastAsia="宋体" w:cs="Times New Roman"/>
        </w:rPr>
      </w:pPr>
      <w:r>
        <w:rPr>
          <w:rFonts w:ascii="Times New Roman" w:hAnsi="Times New Roman" w:eastAsia="宋体" w:cs="Times New Roman"/>
        </w:rPr>
        <w:t>下列文件对于本文件的应用是必不可少的。凡是注日期的引用文件，仅注日期的版本适用于本文件。凡是不注日期的引用文件，其最新版本（包括所有的修改单）适用于本文件。</w:t>
      </w:r>
    </w:p>
    <w:p>
      <w:pPr>
        <w:pStyle w:val="43"/>
        <w:ind w:firstLine="420"/>
        <w:rPr>
          <w:szCs w:val="21"/>
        </w:rPr>
      </w:pPr>
      <w:r>
        <w:rPr>
          <w:szCs w:val="21"/>
        </w:rPr>
        <w:t>GB/T 4085 半硬质聚氯乙烯块状地板</w:t>
      </w:r>
    </w:p>
    <w:p>
      <w:pPr>
        <w:pStyle w:val="43"/>
        <w:ind w:firstLine="420"/>
        <w:rPr>
          <w:szCs w:val="22"/>
        </w:rPr>
      </w:pPr>
      <w:r>
        <w:rPr>
          <w:szCs w:val="21"/>
        </w:rPr>
        <w:t>GB 8</w:t>
      </w:r>
      <w:r>
        <w:rPr>
          <w:szCs w:val="22"/>
        </w:rPr>
        <w:t>624 建筑材料及制品燃烧性能分级</w:t>
      </w:r>
    </w:p>
    <w:p>
      <w:pPr>
        <w:pStyle w:val="43"/>
        <w:ind w:firstLine="420"/>
        <w:rPr>
          <w:szCs w:val="22"/>
        </w:rPr>
      </w:pPr>
      <w:r>
        <w:rPr>
          <w:szCs w:val="22"/>
        </w:rPr>
        <w:t>GB/T 11982.1 非同质聚氯乙烯卷材地板</w:t>
      </w:r>
    </w:p>
    <w:p>
      <w:pPr>
        <w:pStyle w:val="43"/>
        <w:ind w:firstLine="420"/>
        <w:rPr>
          <w:szCs w:val="22"/>
        </w:rPr>
      </w:pPr>
      <w:r>
        <w:rPr>
          <w:szCs w:val="22"/>
        </w:rPr>
        <w:t>GB/T 11982.2 同质聚氯乙烯卷材地板</w:t>
      </w:r>
    </w:p>
    <w:p>
      <w:pPr>
        <w:pStyle w:val="43"/>
        <w:ind w:firstLine="420"/>
        <w:rPr>
          <w:szCs w:val="21"/>
        </w:rPr>
      </w:pPr>
      <w:r>
        <w:rPr>
          <w:rFonts w:hint="eastAsia"/>
          <w:szCs w:val="21"/>
        </w:rPr>
        <w:t>G</w:t>
      </w:r>
      <w:r>
        <w:rPr>
          <w:szCs w:val="21"/>
        </w:rPr>
        <w:t>B18580</w:t>
      </w:r>
      <w:r>
        <w:rPr>
          <w:rFonts w:hint="eastAsia"/>
          <w:szCs w:val="21"/>
        </w:rPr>
        <w:t>室内装饰装修材料人造板及其制品中甲醛释放限量</w:t>
      </w:r>
    </w:p>
    <w:p>
      <w:pPr>
        <w:pStyle w:val="43"/>
        <w:ind w:firstLine="420"/>
        <w:rPr>
          <w:szCs w:val="22"/>
        </w:rPr>
      </w:pPr>
      <w:r>
        <w:rPr>
          <w:szCs w:val="22"/>
        </w:rPr>
        <w:t>GB 18586 室内装饰装修材料聚氯乙烯卷材地板中有害物质限量</w:t>
      </w:r>
    </w:p>
    <w:p>
      <w:pPr>
        <w:pStyle w:val="27"/>
        <w:rPr>
          <w:rFonts w:ascii="Times New Roman" w:hAnsi="Times New Roman" w:eastAsia="宋体" w:cs="Times New Roman"/>
        </w:rPr>
      </w:pPr>
      <w:r>
        <w:rPr>
          <w:rFonts w:ascii="Times New Roman" w:hAnsi="Times New Roman" w:eastAsia="宋体" w:cs="Times New Roman"/>
        </w:rPr>
        <w:t>GB/T 24025 环境标志和声明 Ⅲ型环境声明原则和程序</w:t>
      </w:r>
    </w:p>
    <w:p>
      <w:pPr>
        <w:pStyle w:val="27"/>
        <w:rPr>
          <w:rFonts w:ascii="Times New Roman" w:hAnsi="Times New Roman" w:eastAsia="宋体" w:cs="Times New Roman"/>
        </w:rPr>
      </w:pPr>
      <w:r>
        <w:rPr>
          <w:rFonts w:ascii="Times New Roman" w:hAnsi="Times New Roman" w:eastAsia="宋体" w:cs="Times New Roman"/>
        </w:rPr>
        <w:t>GB/T 34440 硬质聚氯乙烯地板</w:t>
      </w:r>
    </w:p>
    <w:p>
      <w:pPr>
        <w:pStyle w:val="38"/>
        <w:numPr>
          <w:ilvl w:val="0"/>
          <w:numId w:val="1"/>
        </w:numPr>
        <w:spacing w:before="312" w:after="312"/>
        <w:rPr>
          <w:bCs/>
          <w:color w:val="000000"/>
          <w:sz w:val="24"/>
          <w:szCs w:val="24"/>
        </w:rPr>
      </w:pPr>
      <w:bookmarkStart w:id="17" w:name="_Toc533518556"/>
      <w:r>
        <w:rPr>
          <w:rFonts w:hint="eastAsia"/>
          <w:bCs/>
          <w:color w:val="000000"/>
          <w:sz w:val="24"/>
          <w:szCs w:val="24"/>
        </w:rPr>
        <w:t>术语和定义</w:t>
      </w:r>
      <w:bookmarkEnd w:id="17"/>
    </w:p>
    <w:p>
      <w:pPr>
        <w:pStyle w:val="27"/>
        <w:rPr>
          <w:rFonts w:hAnsi="宋体" w:eastAsia="宋体"/>
        </w:rPr>
      </w:pPr>
      <w:r>
        <w:rPr>
          <w:rFonts w:hint="eastAsia" w:hAnsi="宋体" w:eastAsia="宋体"/>
        </w:rPr>
        <w:t>下列术语和定义适用于本文件。</w:t>
      </w:r>
    </w:p>
    <w:p>
      <w:pPr>
        <w:pStyle w:val="38"/>
        <w:tabs>
          <w:tab w:val="left" w:pos="0"/>
        </w:tabs>
        <w:spacing w:before="312" w:after="312"/>
        <w:outlineLvl w:val="2"/>
        <w:rPr>
          <w:color w:val="000000"/>
        </w:rPr>
      </w:pPr>
      <w:bookmarkStart w:id="18" w:name="_Toc519084144"/>
      <w:bookmarkEnd w:id="18"/>
      <w:bookmarkStart w:id="19" w:name="_Toc509139384"/>
      <w:bookmarkEnd w:id="19"/>
      <w:bookmarkStart w:id="20" w:name="_Toc511069682"/>
      <w:bookmarkEnd w:id="20"/>
      <w:bookmarkStart w:id="21" w:name="_Toc521666153"/>
      <w:bookmarkEnd w:id="21"/>
      <w:bookmarkStart w:id="22" w:name="_Toc524004774"/>
      <w:bookmarkEnd w:id="22"/>
      <w:bookmarkStart w:id="23" w:name="_Toc509984955"/>
      <w:bookmarkEnd w:id="23"/>
      <w:bookmarkStart w:id="24" w:name="_Toc360632654"/>
      <w:bookmarkStart w:id="25" w:name="_Toc406486340"/>
      <w:bookmarkStart w:id="26" w:name="_Toc396118199"/>
      <w:bookmarkStart w:id="27" w:name="_Toc350863987"/>
      <w:bookmarkStart w:id="28" w:name="_Toc397348586"/>
      <w:bookmarkStart w:id="29" w:name="_Toc360436749"/>
      <w:bookmarkStart w:id="30" w:name="_Toc408495873"/>
      <w:bookmarkStart w:id="31" w:name="_Toc397433558"/>
      <w:bookmarkStart w:id="32" w:name="_Toc406143963"/>
      <w:bookmarkStart w:id="33" w:name="_Toc360632423"/>
      <w:bookmarkStart w:id="34" w:name="_Toc396134030"/>
      <w:bookmarkStart w:id="35" w:name="_Toc462063253"/>
      <w:bookmarkStart w:id="36" w:name="_Toc533510791"/>
      <w:bookmarkStart w:id="37" w:name="_Toc384816546"/>
      <w:bookmarkStart w:id="38" w:name="_Toc360436835"/>
      <w:bookmarkStart w:id="39" w:name="_Toc533518557"/>
      <w:bookmarkStart w:id="40" w:name="_Toc533510664"/>
      <w:r>
        <w:rPr>
          <w:rFonts w:hint="eastAsia"/>
          <w:color w:val="000000"/>
        </w:rPr>
        <w:t>3.1</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widowControl/>
        <w:tabs>
          <w:tab w:val="center" w:pos="4201"/>
          <w:tab w:val="right" w:leader="dot" w:pos="9298"/>
        </w:tabs>
        <w:autoSpaceDE w:val="0"/>
        <w:autoSpaceDN w:val="0"/>
        <w:ind w:firstLine="420" w:firstLineChars="200"/>
        <w:rPr>
          <w:rFonts w:eastAsia="黑体"/>
        </w:rPr>
      </w:pPr>
      <w:bookmarkStart w:id="41" w:name="_Toc382580630"/>
      <w:bookmarkStart w:id="42" w:name="_Toc397433562"/>
      <w:bookmarkStart w:id="43" w:name="_Toc396118203"/>
      <w:bookmarkStart w:id="44" w:name="_Toc363024794"/>
      <w:bookmarkStart w:id="45" w:name="OLE_LINK5"/>
      <w:bookmarkStart w:id="46" w:name="_Toc406143967"/>
      <w:bookmarkStart w:id="47" w:name="OLE_LINK6"/>
      <w:bookmarkStart w:id="48" w:name="_Toc384816550"/>
      <w:bookmarkStart w:id="49" w:name="_Toc397348590"/>
      <w:bookmarkStart w:id="50" w:name="_Toc350863991"/>
      <w:bookmarkStart w:id="51" w:name="_Toc396134034"/>
      <w:r>
        <w:rPr>
          <w:rFonts w:eastAsia="黑体"/>
        </w:rPr>
        <w:t>环境产品声明environmental product declaration</w:t>
      </w:r>
    </w:p>
    <w:p>
      <w:pPr>
        <w:pStyle w:val="27"/>
        <w:rPr>
          <w:rFonts w:hAnsi="宋体" w:eastAsia="宋体"/>
        </w:rPr>
      </w:pPr>
      <w:r>
        <w:rPr>
          <w:rFonts w:hAnsi="宋体" w:eastAsia="宋体"/>
        </w:rPr>
        <w:t>提供基于预设参数的量化环境数据的环境声明，必要时包括附加环境信息。</w:t>
      </w:r>
    </w:p>
    <w:p>
      <w:pPr>
        <w:pStyle w:val="38"/>
        <w:tabs>
          <w:tab w:val="left" w:pos="0"/>
        </w:tabs>
        <w:spacing w:before="312" w:after="312"/>
        <w:outlineLvl w:val="2"/>
        <w:rPr>
          <w:color w:val="000000"/>
        </w:rPr>
      </w:pPr>
      <w:bookmarkStart w:id="52" w:name="_Toc462063256"/>
      <w:bookmarkStart w:id="53" w:name="_Toc408495875"/>
      <w:bookmarkStart w:id="54" w:name="_Toc30452"/>
      <w:r>
        <w:rPr>
          <w:rFonts w:hint="eastAsia"/>
          <w:color w:val="000000"/>
        </w:rPr>
        <w:t>3.</w:t>
      </w:r>
      <w:bookmarkEnd w:id="52"/>
      <w:bookmarkEnd w:id="53"/>
      <w:r>
        <w:rPr>
          <w:color w:val="000000"/>
        </w:rPr>
        <w:t>2</w:t>
      </w:r>
    </w:p>
    <w:bookmarkEnd w:id="54"/>
    <w:p>
      <w:pPr>
        <w:widowControl/>
        <w:tabs>
          <w:tab w:val="center" w:pos="4201"/>
          <w:tab w:val="right" w:leader="dot" w:pos="9298"/>
        </w:tabs>
        <w:autoSpaceDE w:val="0"/>
        <w:autoSpaceDN w:val="0"/>
        <w:ind w:firstLine="420" w:firstLineChars="200"/>
        <w:rPr>
          <w:rFonts w:eastAsia="黑体"/>
        </w:rPr>
      </w:pPr>
      <w:r>
        <w:rPr>
          <w:rFonts w:eastAsia="黑体"/>
        </w:rPr>
        <w:t>碳足迹</w:t>
      </w:r>
      <w:r>
        <w:fldChar w:fldCharType="begin"/>
      </w:r>
      <w:r>
        <w:instrText xml:space="preserve"> HYPERLINK "http://www.baidu.com/link?url=NM-sDc8vF8f6LBJJjre3x3OgH29MNSR7nUOi6mno3-iVlHb3Zlvs9wTbxnKcKC6gPud9_XI7Qg3qobY6J2p3_MuxwSugBbZWQE3OggbMvUq" \t "https://www.baidu.com/_blank" </w:instrText>
      </w:r>
      <w:r>
        <w:fldChar w:fldCharType="separate"/>
      </w:r>
      <w:r>
        <w:rPr>
          <w:rFonts w:eastAsia="黑体"/>
        </w:rPr>
        <w:t>carbon footprint</w:t>
      </w:r>
      <w:r>
        <w:rPr>
          <w:rFonts w:eastAsia="黑体"/>
        </w:rPr>
        <w:fldChar w:fldCharType="end"/>
      </w:r>
    </w:p>
    <w:p>
      <w:pPr>
        <w:spacing w:line="300" w:lineRule="auto"/>
        <w:ind w:firstLine="420" w:firstLineChars="200"/>
        <w:rPr>
          <w:kern w:val="0"/>
          <w:szCs w:val="20"/>
        </w:rPr>
      </w:pPr>
      <w:r>
        <w:rPr>
          <w:kern w:val="0"/>
          <w:szCs w:val="20"/>
        </w:rPr>
        <w:t>用以量化过程、过程系统或产品系统温室气体排放的参数，以表现它们对气候变化的贡献。</w:t>
      </w:r>
    </w:p>
    <w:p>
      <w:pPr>
        <w:pStyle w:val="38"/>
        <w:tabs>
          <w:tab w:val="left" w:pos="0"/>
        </w:tabs>
        <w:spacing w:before="312" w:after="312"/>
        <w:outlineLvl w:val="2"/>
        <w:rPr>
          <w:color w:val="000000"/>
        </w:rPr>
      </w:pPr>
      <w:r>
        <w:rPr>
          <w:rFonts w:hint="eastAsia"/>
          <w:color w:val="000000"/>
        </w:rPr>
        <w:t>3</w:t>
      </w:r>
      <w:r>
        <w:rPr>
          <w:color w:val="000000"/>
        </w:rPr>
        <w:t>.3</w:t>
      </w:r>
    </w:p>
    <w:p>
      <w:pPr>
        <w:spacing w:line="300" w:lineRule="auto"/>
        <w:ind w:firstLine="420" w:firstLineChars="200"/>
        <w:rPr>
          <w:kern w:val="0"/>
          <w:szCs w:val="20"/>
        </w:rPr>
      </w:pPr>
      <w:r>
        <w:rPr>
          <w:rFonts w:hint="eastAsia" w:eastAsia="黑体"/>
        </w:rPr>
        <w:t>弹性地板</w:t>
      </w:r>
      <w:r>
        <w:rPr>
          <w:rFonts w:eastAsia="黑体"/>
        </w:rPr>
        <w:t>resilient floor</w:t>
      </w:r>
    </w:p>
    <w:p>
      <w:pPr>
        <w:spacing w:line="300" w:lineRule="auto"/>
        <w:ind w:firstLine="420" w:firstLineChars="200"/>
        <w:rPr>
          <w:kern w:val="0"/>
          <w:szCs w:val="20"/>
        </w:rPr>
      </w:pPr>
      <w:r>
        <w:rPr>
          <w:rFonts w:hint="eastAsia"/>
          <w:kern w:val="0"/>
          <w:szCs w:val="20"/>
        </w:rPr>
        <w:t>地板在外力作用下发生形变，当外力解除后，能完全恢复到变形前形状的地板。</w:t>
      </w:r>
    </w:p>
    <w:bookmarkEnd w:id="41"/>
    <w:bookmarkEnd w:id="42"/>
    <w:bookmarkEnd w:id="43"/>
    <w:bookmarkEnd w:id="44"/>
    <w:bookmarkEnd w:id="45"/>
    <w:bookmarkEnd w:id="46"/>
    <w:bookmarkEnd w:id="47"/>
    <w:bookmarkEnd w:id="48"/>
    <w:bookmarkEnd w:id="49"/>
    <w:bookmarkEnd w:id="50"/>
    <w:bookmarkEnd w:id="51"/>
    <w:p>
      <w:pPr>
        <w:pStyle w:val="38"/>
        <w:numPr>
          <w:ilvl w:val="0"/>
          <w:numId w:val="1"/>
        </w:numPr>
        <w:spacing w:before="312" w:after="312"/>
        <w:rPr>
          <w:bCs/>
          <w:color w:val="000000"/>
          <w:sz w:val="24"/>
          <w:szCs w:val="24"/>
        </w:rPr>
      </w:pPr>
      <w:bookmarkStart w:id="55" w:name="_Toc406486353"/>
      <w:bookmarkStart w:id="56" w:name="_Toc462063257"/>
      <w:r>
        <w:rPr>
          <w:rFonts w:hint="eastAsia"/>
          <w:bCs/>
          <w:color w:val="000000"/>
          <w:sz w:val="24"/>
          <w:szCs w:val="24"/>
        </w:rPr>
        <w:t>评价指标体系</w:t>
      </w:r>
    </w:p>
    <w:p>
      <w:pPr>
        <w:pStyle w:val="2"/>
        <w:tabs>
          <w:tab w:val="center" w:pos="4819"/>
        </w:tabs>
        <w:spacing w:before="200" w:after="200" w:line="360" w:lineRule="auto"/>
        <w:rPr>
          <w:rFonts w:ascii="黑体" w:hAnsi="黑体" w:eastAsia="黑体"/>
          <w:b w:val="0"/>
          <w:sz w:val="21"/>
          <w:szCs w:val="21"/>
        </w:rPr>
      </w:pPr>
      <w:r>
        <w:rPr>
          <w:rFonts w:hint="eastAsia" w:ascii="黑体" w:hAnsi="黑体" w:eastAsia="黑体"/>
          <w:b w:val="0"/>
          <w:sz w:val="21"/>
          <w:szCs w:val="21"/>
        </w:rPr>
        <w:t>4</w:t>
      </w:r>
      <w:r>
        <w:rPr>
          <w:rFonts w:ascii="黑体" w:hAnsi="黑体" w:eastAsia="黑体"/>
          <w:b w:val="0"/>
          <w:sz w:val="21"/>
          <w:szCs w:val="21"/>
        </w:rPr>
        <w:t>.1</w:t>
      </w:r>
      <w:r>
        <w:rPr>
          <w:rFonts w:hint="eastAsia" w:ascii="黑体" w:hAnsi="黑体" w:eastAsia="黑体"/>
          <w:b w:val="0"/>
          <w:sz w:val="21"/>
          <w:szCs w:val="21"/>
        </w:rPr>
        <w:t>基本要求</w:t>
      </w:r>
      <w:bookmarkEnd w:id="55"/>
      <w:bookmarkEnd w:id="56"/>
    </w:p>
    <w:p>
      <w:pPr>
        <w:spacing w:line="300" w:lineRule="auto"/>
        <w:rPr>
          <w:rFonts w:ascii="宋体" w:hAnsi="宋体"/>
          <w:bCs/>
          <w:szCs w:val="22"/>
        </w:rPr>
      </w:pPr>
      <w:bookmarkStart w:id="57" w:name="_Hlk44344734"/>
      <w:r>
        <w:rPr>
          <w:rFonts w:hint="eastAsia" w:ascii="宋体" w:hAnsi="宋体"/>
          <w:bCs/>
          <w:szCs w:val="22"/>
        </w:rPr>
        <w:t>4</w:t>
      </w:r>
      <w:r>
        <w:rPr>
          <w:rFonts w:ascii="宋体" w:hAnsi="宋体"/>
          <w:bCs/>
          <w:szCs w:val="22"/>
        </w:rPr>
        <w:t>.1.1近三年，企业无环境、安全、质量事故；</w:t>
      </w:r>
    </w:p>
    <w:p>
      <w:pPr>
        <w:spacing w:line="300" w:lineRule="auto"/>
        <w:rPr>
          <w:rFonts w:ascii="宋体" w:hAnsi="宋体"/>
          <w:bCs/>
          <w:szCs w:val="22"/>
        </w:rPr>
      </w:pPr>
      <w:r>
        <w:rPr>
          <w:rFonts w:ascii="宋体" w:hAnsi="宋体"/>
          <w:bCs/>
          <w:szCs w:val="22"/>
        </w:rPr>
        <w:t>4.1.2</w:t>
      </w:r>
      <w:r>
        <w:rPr>
          <w:rFonts w:hint="eastAsia" w:ascii="宋体" w:hAnsi="宋体"/>
          <w:bCs/>
        </w:rPr>
        <w:t>企业应未被列入国家信用信息严重失信主体相关名录。</w:t>
      </w:r>
    </w:p>
    <w:p>
      <w:pPr>
        <w:spacing w:line="300" w:lineRule="auto"/>
        <w:rPr>
          <w:rFonts w:ascii="宋体" w:hAnsi="宋体"/>
          <w:bCs/>
          <w:szCs w:val="22"/>
        </w:rPr>
      </w:pPr>
      <w:r>
        <w:rPr>
          <w:rFonts w:ascii="宋体" w:hAnsi="宋体"/>
          <w:bCs/>
          <w:szCs w:val="22"/>
        </w:rPr>
        <w:t>4.1.3</w:t>
      </w:r>
      <w:r>
        <w:rPr>
          <w:rFonts w:hint="eastAsia"/>
          <w:bCs/>
        </w:rPr>
        <w:t>企业应建立并运行质量和环境管理体系。</w:t>
      </w:r>
    </w:p>
    <w:p>
      <w:pPr>
        <w:spacing w:line="300" w:lineRule="auto"/>
        <w:rPr>
          <w:rFonts w:ascii="宋体" w:hAnsi="宋体"/>
          <w:bCs/>
          <w:szCs w:val="22"/>
        </w:rPr>
      </w:pPr>
      <w:r>
        <w:rPr>
          <w:rFonts w:ascii="宋体" w:hAnsi="宋体"/>
          <w:bCs/>
          <w:szCs w:val="22"/>
        </w:rPr>
        <w:t>4.1.4产品应为</w:t>
      </w:r>
      <w:r>
        <w:rPr>
          <w:rFonts w:hint="eastAsia" w:ascii="宋体" w:hAnsi="宋体"/>
          <w:bCs/>
          <w:szCs w:val="22"/>
        </w:rPr>
        <w:t>量产</w:t>
      </w:r>
      <w:r>
        <w:rPr>
          <w:rFonts w:ascii="宋体" w:hAnsi="宋体"/>
          <w:bCs/>
          <w:szCs w:val="22"/>
        </w:rPr>
        <w:t>产品；</w:t>
      </w:r>
    </w:p>
    <w:p>
      <w:pPr>
        <w:spacing w:line="300" w:lineRule="auto"/>
        <w:rPr>
          <w:rFonts w:ascii="宋体" w:hAnsi="宋体"/>
          <w:bCs/>
          <w:szCs w:val="22"/>
        </w:rPr>
      </w:pPr>
      <w:r>
        <w:rPr>
          <w:rFonts w:ascii="宋体" w:hAnsi="宋体"/>
          <w:bCs/>
          <w:szCs w:val="22"/>
        </w:rPr>
        <w:t>4.1.5产品在近一年的产品质量国家监督抽查中无不合格情况。</w:t>
      </w:r>
    </w:p>
    <w:p>
      <w:pPr>
        <w:pStyle w:val="2"/>
        <w:tabs>
          <w:tab w:val="center" w:pos="4819"/>
        </w:tabs>
        <w:spacing w:before="200" w:after="200" w:line="360" w:lineRule="auto"/>
        <w:rPr>
          <w:rFonts w:ascii="黑体" w:hAnsi="黑体" w:eastAsia="黑体"/>
          <w:b w:val="0"/>
          <w:sz w:val="21"/>
          <w:szCs w:val="21"/>
        </w:rPr>
      </w:pPr>
      <w:r>
        <w:rPr>
          <w:rFonts w:ascii="黑体" w:hAnsi="黑体" w:eastAsia="黑体"/>
          <w:b w:val="0"/>
          <w:sz w:val="21"/>
          <w:szCs w:val="21"/>
        </w:rPr>
        <w:t>4.2</w:t>
      </w:r>
      <w:r>
        <w:rPr>
          <w:rFonts w:hint="eastAsia" w:ascii="黑体" w:hAnsi="黑体" w:eastAsia="黑体"/>
          <w:b w:val="0"/>
          <w:sz w:val="21"/>
          <w:szCs w:val="21"/>
        </w:rPr>
        <w:t>评价指标分类</w:t>
      </w:r>
    </w:p>
    <w:bookmarkEnd w:id="57"/>
    <w:p>
      <w:pPr>
        <w:spacing w:line="300" w:lineRule="auto"/>
        <w:rPr>
          <w:rFonts w:ascii="宋体" w:hAnsi="宋体"/>
          <w:bCs/>
          <w:szCs w:val="22"/>
        </w:rPr>
      </w:pPr>
      <w:bookmarkStart w:id="58" w:name="_Toc397348606"/>
      <w:bookmarkStart w:id="59" w:name="_Toc350864007"/>
      <w:bookmarkStart w:id="60" w:name="_Toc462063261"/>
      <w:bookmarkStart w:id="61" w:name="_Toc397433577"/>
      <w:bookmarkStart w:id="62" w:name="_Toc360436855"/>
      <w:bookmarkStart w:id="63" w:name="_Toc396134054"/>
      <w:bookmarkStart w:id="64" w:name="_Toc360436768"/>
      <w:bookmarkStart w:id="65" w:name="_Toc360632446"/>
      <w:bookmarkStart w:id="66" w:name="_Toc31213"/>
      <w:bookmarkStart w:id="67" w:name="_Toc384816569"/>
      <w:bookmarkStart w:id="68" w:name="_Toc406486359"/>
      <w:r>
        <w:rPr>
          <w:rFonts w:ascii="宋体" w:hAnsi="宋体"/>
          <w:bCs/>
          <w:szCs w:val="22"/>
        </w:rPr>
        <w:t>4.2.1</w:t>
      </w:r>
      <w:r>
        <w:rPr>
          <w:rFonts w:hint="eastAsia" w:ascii="宋体" w:hAnsi="宋体"/>
          <w:bCs/>
          <w:szCs w:val="22"/>
        </w:rPr>
        <w:t>聚氯乙烯弹性地板“领跑者”标准</w:t>
      </w:r>
      <w:r>
        <w:rPr>
          <w:rFonts w:ascii="宋体" w:hAnsi="宋体"/>
          <w:bCs/>
          <w:szCs w:val="22"/>
        </w:rPr>
        <w:t>的</w:t>
      </w:r>
      <w:r>
        <w:rPr>
          <w:rFonts w:hint="eastAsia" w:ascii="宋体" w:hAnsi="宋体"/>
          <w:bCs/>
          <w:szCs w:val="22"/>
        </w:rPr>
        <w:t>评价指标主要包括：基础指标、核心指标和创新性指标。</w:t>
      </w:r>
    </w:p>
    <w:p>
      <w:pPr>
        <w:spacing w:line="300" w:lineRule="auto"/>
        <w:rPr>
          <w:rFonts w:ascii="宋体" w:hAnsi="宋体"/>
          <w:bCs/>
          <w:szCs w:val="22"/>
        </w:rPr>
      </w:pPr>
      <w:bookmarkStart w:id="69" w:name="_Hlk44344814"/>
      <w:r>
        <w:rPr>
          <w:rFonts w:ascii="宋体" w:hAnsi="宋体"/>
          <w:bCs/>
          <w:szCs w:val="22"/>
        </w:rPr>
        <w:t>4.2.2</w:t>
      </w:r>
      <w:r>
        <w:rPr>
          <w:rFonts w:hint="eastAsia" w:ascii="宋体" w:hAnsi="宋体"/>
          <w:bCs/>
          <w:szCs w:val="22"/>
        </w:rPr>
        <w:t>基础指标包括：甲醛释放量、氯乙烯单体含量、T</w:t>
      </w:r>
      <w:r>
        <w:rPr>
          <w:rFonts w:ascii="宋体" w:hAnsi="宋体"/>
          <w:bCs/>
          <w:szCs w:val="22"/>
        </w:rPr>
        <w:t>VOC</w:t>
      </w:r>
      <w:r>
        <w:rPr>
          <w:rFonts w:hint="eastAsia" w:ascii="宋体" w:hAnsi="宋体"/>
          <w:bCs/>
          <w:szCs w:val="22"/>
        </w:rPr>
        <w:t>释放量、可溶性重金属含量和阻燃性能；</w:t>
      </w:r>
    </w:p>
    <w:p>
      <w:pPr>
        <w:spacing w:line="300" w:lineRule="auto"/>
        <w:rPr>
          <w:rFonts w:ascii="宋体" w:hAnsi="宋体"/>
          <w:bCs/>
          <w:szCs w:val="22"/>
        </w:rPr>
      </w:pPr>
      <w:r>
        <w:rPr>
          <w:rFonts w:ascii="宋体" w:hAnsi="宋体"/>
          <w:bCs/>
          <w:szCs w:val="22"/>
        </w:rPr>
        <w:t>4.2.3</w:t>
      </w:r>
      <w:r>
        <w:rPr>
          <w:rFonts w:hint="eastAsia" w:ascii="宋体" w:hAnsi="宋体"/>
          <w:bCs/>
          <w:szCs w:val="22"/>
        </w:rPr>
        <w:t>核心指标包括：耐磨性（体积损失）、残余凹陷、加热翘曲、色牢度；</w:t>
      </w:r>
    </w:p>
    <w:p>
      <w:pPr>
        <w:spacing w:line="300" w:lineRule="auto"/>
        <w:rPr>
          <w:rFonts w:ascii="宋体" w:hAnsi="宋体"/>
          <w:bCs/>
          <w:szCs w:val="22"/>
        </w:rPr>
      </w:pPr>
      <w:r>
        <w:rPr>
          <w:rFonts w:ascii="宋体" w:hAnsi="宋体"/>
          <w:bCs/>
          <w:szCs w:val="22"/>
        </w:rPr>
        <w:t>4.2.4</w:t>
      </w:r>
      <w:r>
        <w:rPr>
          <w:rFonts w:hint="eastAsia" w:ascii="宋体" w:hAnsi="宋体"/>
          <w:bCs/>
          <w:szCs w:val="22"/>
        </w:rPr>
        <w:t>核心指标分为先进水平、平均水平和基准水平共三个等级，先进水平相当于企业标准排行榜中</w:t>
      </w:r>
      <w:r>
        <w:rPr>
          <w:rFonts w:ascii="宋体" w:hAnsi="宋体"/>
          <w:bCs/>
          <w:szCs w:val="22"/>
        </w:rPr>
        <w:t>5</w:t>
      </w:r>
      <w:r>
        <w:rPr>
          <w:rFonts w:hint="eastAsia" w:ascii="宋体" w:hAnsi="宋体"/>
          <w:bCs/>
          <w:szCs w:val="22"/>
        </w:rPr>
        <w:t>星级水平；平均水平相当于企业标准排行榜中</w:t>
      </w:r>
      <w:r>
        <w:rPr>
          <w:rFonts w:ascii="宋体" w:hAnsi="宋体"/>
          <w:bCs/>
          <w:szCs w:val="22"/>
        </w:rPr>
        <w:t>4</w:t>
      </w:r>
      <w:r>
        <w:rPr>
          <w:rFonts w:hint="eastAsia" w:ascii="宋体" w:hAnsi="宋体"/>
          <w:bCs/>
          <w:szCs w:val="22"/>
        </w:rPr>
        <w:t>星级水平；基准水平相当于企业标准排行榜中</w:t>
      </w:r>
      <w:r>
        <w:rPr>
          <w:rFonts w:ascii="宋体" w:hAnsi="宋体"/>
          <w:bCs/>
          <w:szCs w:val="22"/>
        </w:rPr>
        <w:t>3</w:t>
      </w:r>
      <w:r>
        <w:rPr>
          <w:rFonts w:hint="eastAsia" w:ascii="宋体" w:hAnsi="宋体"/>
          <w:bCs/>
          <w:szCs w:val="22"/>
        </w:rPr>
        <w:t>星级水平。</w:t>
      </w:r>
    </w:p>
    <w:p>
      <w:pPr>
        <w:spacing w:line="300" w:lineRule="auto"/>
        <w:rPr>
          <w:rFonts w:ascii="宋体" w:hAnsi="宋体"/>
          <w:bCs/>
          <w:szCs w:val="22"/>
        </w:rPr>
      </w:pPr>
      <w:r>
        <w:rPr>
          <w:rFonts w:ascii="宋体" w:hAnsi="宋体"/>
          <w:bCs/>
          <w:szCs w:val="22"/>
        </w:rPr>
        <w:t>4.2.5</w:t>
      </w:r>
      <w:r>
        <w:rPr>
          <w:rFonts w:hint="eastAsia" w:ascii="宋体" w:hAnsi="宋体"/>
          <w:bCs/>
          <w:szCs w:val="22"/>
        </w:rPr>
        <w:t>核心指标包括：耐磨性（体积损失）、残余凹陷、加热翘曲、色牢度；</w:t>
      </w:r>
    </w:p>
    <w:p>
      <w:pPr>
        <w:spacing w:line="300" w:lineRule="auto"/>
        <w:rPr>
          <w:rFonts w:ascii="宋体" w:hAnsi="宋体"/>
          <w:bCs/>
          <w:szCs w:val="22"/>
        </w:rPr>
      </w:pPr>
      <w:r>
        <w:rPr>
          <w:rFonts w:ascii="宋体" w:hAnsi="宋体"/>
          <w:bCs/>
          <w:szCs w:val="22"/>
        </w:rPr>
        <w:t>4.2.6</w:t>
      </w:r>
      <w:r>
        <w:rPr>
          <w:rFonts w:hint="eastAsia" w:ascii="宋体" w:hAnsi="宋体"/>
          <w:bCs/>
          <w:szCs w:val="22"/>
        </w:rPr>
        <w:t>创新性指标包括：产品生命周期环境影响、发泡剂、稳定剂和阻燃剂。</w:t>
      </w:r>
    </w:p>
    <w:bookmarkEnd w:id="69"/>
    <w:p>
      <w:pPr>
        <w:pStyle w:val="27"/>
        <w:spacing w:beforeLines="50" w:afterLines="50"/>
        <w:ind w:firstLine="0" w:firstLineChars="0"/>
        <w:rPr>
          <w:rFonts w:ascii="黑体" w:hAnsi="黑体" w:eastAsia="黑体" w:cs="Times New Roman"/>
          <w:kern w:val="0"/>
          <w:szCs w:val="21"/>
        </w:rPr>
      </w:pPr>
      <w:r>
        <w:rPr>
          <w:rFonts w:hint="eastAsia" w:ascii="黑体" w:hAnsi="黑体" w:eastAsia="黑体" w:cs="Times New Roman"/>
          <w:kern w:val="0"/>
          <w:szCs w:val="21"/>
        </w:rPr>
        <w:t>5</w:t>
      </w:r>
      <w:r>
        <w:rPr>
          <w:rFonts w:ascii="黑体" w:hAnsi="黑体" w:eastAsia="黑体" w:cs="Times New Roman"/>
          <w:kern w:val="0"/>
          <w:szCs w:val="21"/>
        </w:rPr>
        <w:t xml:space="preserve">.2 </w:t>
      </w:r>
      <w:r>
        <w:rPr>
          <w:rFonts w:hint="eastAsia" w:ascii="黑体" w:hAnsi="黑体" w:eastAsia="黑体" w:cs="Times New Roman"/>
          <w:kern w:val="0"/>
          <w:szCs w:val="21"/>
        </w:rPr>
        <w:t>评价指标要求</w:t>
      </w:r>
    </w:p>
    <w:p>
      <w:pPr>
        <w:pStyle w:val="27"/>
        <w:rPr>
          <w:rFonts w:ascii="黑体" w:hAnsi="黑体" w:eastAsia="黑体" w:cs="Times New Roman"/>
          <w:kern w:val="0"/>
          <w:szCs w:val="21"/>
        </w:rPr>
      </w:pPr>
      <w:r>
        <w:rPr>
          <w:rFonts w:hint="eastAsia" w:ascii="Times New Roman" w:hAnsi="Times New Roman" w:eastAsia="宋体" w:cs="Times New Roman"/>
          <w:kern w:val="0"/>
          <w:szCs w:val="21"/>
        </w:rPr>
        <w:t>聚氯乙烯弹性地板“领跑者”标准评价指标要求见表</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w:t>
      </w:r>
    </w:p>
    <w:p>
      <w:pPr>
        <w:pStyle w:val="38"/>
        <w:spacing w:beforeLines="50" w:afterLines="0"/>
        <w:jc w:val="center"/>
        <w:outlineLvl w:val="9"/>
        <w:rPr>
          <w:rFonts w:ascii="Times New Roman"/>
          <w:szCs w:val="21"/>
        </w:rPr>
      </w:pPr>
      <w:r>
        <w:rPr>
          <w:rFonts w:hint="eastAsia" w:ascii="Times New Roman"/>
          <w:szCs w:val="21"/>
        </w:rPr>
        <w:t>表</w:t>
      </w:r>
      <w:r>
        <w:rPr>
          <w:rFonts w:ascii="Times New Roman"/>
          <w:szCs w:val="21"/>
        </w:rPr>
        <w:t>1</w:t>
      </w:r>
      <w:r>
        <w:rPr>
          <w:rFonts w:hint="eastAsia" w:ascii="Times New Roman"/>
          <w:szCs w:val="21"/>
        </w:rPr>
        <w:t>聚氯乙烯类弹性地板“领跑者”标准评价指标要求</w:t>
      </w:r>
    </w:p>
    <w:tbl>
      <w:tblPr>
        <w:tblStyle w:val="13"/>
        <w:tblpPr w:leftFromText="180" w:rightFromText="180" w:vertAnchor="text" w:tblpXSpec="center" w:tblpY="1"/>
        <w:tblOverlap w:val="never"/>
        <w:tblW w:w="46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2"/>
        <w:gridCol w:w="1796"/>
        <w:gridCol w:w="568"/>
        <w:gridCol w:w="708"/>
        <w:gridCol w:w="1132"/>
        <w:gridCol w:w="1134"/>
        <w:gridCol w:w="1135"/>
        <w:gridCol w:w="19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trPr>
        <w:tc>
          <w:tcPr>
            <w:tcW w:w="324" w:type="pct"/>
            <w:vMerge w:val="restart"/>
            <w:vAlign w:val="center"/>
          </w:tcPr>
          <w:p>
            <w:pPr>
              <w:widowControl/>
              <w:jc w:val="center"/>
              <w:rPr>
                <w:color w:val="000000"/>
                <w:kern w:val="0"/>
                <w:sz w:val="18"/>
                <w:szCs w:val="18"/>
              </w:rPr>
            </w:pPr>
            <w:r>
              <w:rPr>
                <w:rFonts w:hint="eastAsia"/>
                <w:color w:val="000000"/>
                <w:kern w:val="0"/>
                <w:sz w:val="18"/>
                <w:szCs w:val="18"/>
              </w:rPr>
              <w:t>指标类型</w:t>
            </w:r>
          </w:p>
        </w:tc>
        <w:tc>
          <w:tcPr>
            <w:tcW w:w="1315" w:type="pct"/>
            <w:gridSpan w:val="2"/>
            <w:vMerge w:val="restart"/>
            <w:vAlign w:val="center"/>
          </w:tcPr>
          <w:p>
            <w:pPr>
              <w:widowControl/>
              <w:jc w:val="center"/>
              <w:rPr>
                <w:color w:val="000000"/>
                <w:kern w:val="0"/>
                <w:sz w:val="18"/>
                <w:szCs w:val="18"/>
              </w:rPr>
            </w:pPr>
            <w:r>
              <w:rPr>
                <w:rFonts w:hint="eastAsia" w:hAnsi="宋体"/>
                <w:color w:val="000000"/>
                <w:kern w:val="0"/>
                <w:sz w:val="18"/>
                <w:szCs w:val="18"/>
              </w:rPr>
              <w:t>评价指标</w:t>
            </w:r>
          </w:p>
        </w:tc>
        <w:tc>
          <w:tcPr>
            <w:tcW w:w="394" w:type="pct"/>
            <w:vMerge w:val="restart"/>
            <w:vAlign w:val="center"/>
          </w:tcPr>
          <w:p>
            <w:pPr>
              <w:widowControl/>
              <w:jc w:val="center"/>
              <w:rPr>
                <w:color w:val="000000"/>
                <w:kern w:val="0"/>
                <w:sz w:val="18"/>
                <w:szCs w:val="18"/>
              </w:rPr>
            </w:pPr>
            <w:r>
              <w:rPr>
                <w:rFonts w:hint="eastAsia"/>
                <w:color w:val="000000"/>
                <w:kern w:val="0"/>
                <w:sz w:val="18"/>
                <w:szCs w:val="18"/>
              </w:rPr>
              <w:t>单位</w:t>
            </w:r>
          </w:p>
        </w:tc>
        <w:tc>
          <w:tcPr>
            <w:tcW w:w="1891" w:type="pct"/>
            <w:gridSpan w:val="3"/>
            <w:vAlign w:val="center"/>
          </w:tcPr>
          <w:p>
            <w:pPr>
              <w:widowControl/>
              <w:jc w:val="center"/>
              <w:rPr>
                <w:rFonts w:hAnsi="宋体"/>
                <w:color w:val="000000"/>
                <w:kern w:val="0"/>
                <w:sz w:val="18"/>
                <w:szCs w:val="18"/>
              </w:rPr>
            </w:pPr>
            <w:r>
              <w:rPr>
                <w:rFonts w:hint="eastAsia" w:hAnsi="宋体"/>
                <w:color w:val="000000"/>
                <w:kern w:val="0"/>
                <w:sz w:val="18"/>
                <w:szCs w:val="18"/>
              </w:rPr>
              <w:t>指标要求（实测值）</w:t>
            </w:r>
          </w:p>
        </w:tc>
        <w:tc>
          <w:tcPr>
            <w:tcW w:w="1076" w:type="pct"/>
            <w:vMerge w:val="restart"/>
            <w:vAlign w:val="center"/>
          </w:tcPr>
          <w:p>
            <w:pPr>
              <w:snapToGrid w:val="0"/>
              <w:jc w:val="center"/>
              <w:rPr>
                <w:color w:val="000000"/>
                <w:kern w:val="0"/>
                <w:sz w:val="18"/>
                <w:szCs w:val="18"/>
              </w:rPr>
            </w:pPr>
            <w:r>
              <w:rPr>
                <w:rFonts w:hint="eastAsia" w:asciiTheme="minorEastAsia" w:hAnsiTheme="minorEastAsia"/>
                <w:sz w:val="18"/>
                <w:szCs w:val="18"/>
              </w:rPr>
              <w:t>指标来源及</w:t>
            </w:r>
            <w:r>
              <w:rPr>
                <w:rFonts w:asciiTheme="minorEastAsia" w:hAnsiTheme="minorEastAsia"/>
                <w:sz w:val="18"/>
                <w:szCs w:val="18"/>
              </w:rPr>
              <w:t>判断依据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trPr>
        <w:tc>
          <w:tcPr>
            <w:tcW w:w="324" w:type="pct"/>
            <w:vMerge w:val="continue"/>
            <w:vAlign w:val="center"/>
          </w:tcPr>
          <w:p>
            <w:pPr>
              <w:widowControl/>
              <w:jc w:val="left"/>
              <w:rPr>
                <w:color w:val="000000"/>
                <w:kern w:val="0"/>
                <w:sz w:val="18"/>
                <w:szCs w:val="18"/>
              </w:rPr>
            </w:pPr>
          </w:p>
        </w:tc>
        <w:tc>
          <w:tcPr>
            <w:tcW w:w="1315" w:type="pct"/>
            <w:gridSpan w:val="2"/>
            <w:vMerge w:val="continue"/>
            <w:vAlign w:val="center"/>
          </w:tcPr>
          <w:p>
            <w:pPr>
              <w:widowControl/>
              <w:jc w:val="left"/>
              <w:rPr>
                <w:color w:val="000000"/>
                <w:kern w:val="0"/>
                <w:sz w:val="18"/>
                <w:szCs w:val="18"/>
              </w:rPr>
            </w:pPr>
          </w:p>
        </w:tc>
        <w:tc>
          <w:tcPr>
            <w:tcW w:w="394" w:type="pct"/>
            <w:vMerge w:val="continue"/>
            <w:vAlign w:val="center"/>
          </w:tcPr>
          <w:p>
            <w:pPr>
              <w:widowControl/>
              <w:jc w:val="left"/>
              <w:rPr>
                <w:color w:val="000000"/>
                <w:kern w:val="0"/>
                <w:sz w:val="18"/>
                <w:szCs w:val="18"/>
              </w:rPr>
            </w:pPr>
          </w:p>
        </w:tc>
        <w:tc>
          <w:tcPr>
            <w:tcW w:w="630" w:type="pct"/>
            <w:vAlign w:val="center"/>
          </w:tcPr>
          <w:p>
            <w:pPr>
              <w:widowControl/>
              <w:jc w:val="center"/>
              <w:rPr>
                <w:rFonts w:hAnsi="宋体"/>
                <w:color w:val="000000"/>
                <w:kern w:val="0"/>
                <w:sz w:val="18"/>
                <w:szCs w:val="18"/>
              </w:rPr>
            </w:pPr>
            <w:r>
              <w:rPr>
                <w:rFonts w:hint="eastAsia" w:hAnsi="宋体"/>
                <w:color w:val="000000"/>
                <w:kern w:val="0"/>
                <w:sz w:val="18"/>
                <w:szCs w:val="18"/>
              </w:rPr>
              <w:t>先进水平</w:t>
            </w:r>
          </w:p>
        </w:tc>
        <w:tc>
          <w:tcPr>
            <w:tcW w:w="631" w:type="pct"/>
          </w:tcPr>
          <w:p>
            <w:pPr>
              <w:widowControl/>
              <w:jc w:val="center"/>
              <w:rPr>
                <w:rFonts w:hAnsi="宋体"/>
                <w:color w:val="000000"/>
                <w:kern w:val="0"/>
                <w:sz w:val="18"/>
                <w:szCs w:val="18"/>
              </w:rPr>
            </w:pPr>
            <w:r>
              <w:rPr>
                <w:rFonts w:hint="eastAsia" w:hAnsi="宋体"/>
                <w:color w:val="000000"/>
                <w:kern w:val="0"/>
                <w:sz w:val="18"/>
                <w:szCs w:val="18"/>
              </w:rPr>
              <w:t>平均水平</w:t>
            </w:r>
          </w:p>
        </w:tc>
        <w:tc>
          <w:tcPr>
            <w:tcW w:w="631" w:type="pct"/>
          </w:tcPr>
          <w:p>
            <w:pPr>
              <w:widowControl/>
              <w:jc w:val="center"/>
              <w:rPr>
                <w:rFonts w:hAnsi="宋体"/>
                <w:color w:val="000000"/>
                <w:kern w:val="0"/>
                <w:sz w:val="18"/>
                <w:szCs w:val="18"/>
              </w:rPr>
            </w:pPr>
            <w:r>
              <w:rPr>
                <w:rFonts w:hint="eastAsia" w:hAnsi="宋体"/>
                <w:color w:val="000000"/>
                <w:kern w:val="0"/>
                <w:sz w:val="18"/>
                <w:szCs w:val="18"/>
              </w:rPr>
              <w:t>基准水平</w:t>
            </w:r>
          </w:p>
        </w:tc>
        <w:tc>
          <w:tcPr>
            <w:tcW w:w="1076" w:type="pct"/>
            <w:vMerge w:val="continue"/>
            <w:vAlign w:val="center"/>
          </w:tcPr>
          <w:p>
            <w:pPr>
              <w:widowControl/>
              <w:jc w:val="left"/>
              <w:rPr>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24" w:type="pct"/>
            <w:vMerge w:val="restart"/>
            <w:vAlign w:val="center"/>
          </w:tcPr>
          <w:p>
            <w:pPr>
              <w:jc w:val="left"/>
              <w:rPr>
                <w:rFonts w:hAnsi="宋体"/>
                <w:color w:val="000000"/>
                <w:kern w:val="0"/>
                <w:sz w:val="18"/>
                <w:szCs w:val="18"/>
              </w:rPr>
            </w:pPr>
            <w:r>
              <w:rPr>
                <w:rFonts w:hint="eastAsia" w:hAnsi="宋体"/>
                <w:color w:val="000000"/>
                <w:kern w:val="0"/>
                <w:sz w:val="18"/>
                <w:szCs w:val="18"/>
              </w:rPr>
              <w:t>基础指标</w:t>
            </w:r>
          </w:p>
        </w:tc>
        <w:tc>
          <w:tcPr>
            <w:tcW w:w="1315" w:type="pct"/>
            <w:gridSpan w:val="2"/>
            <w:vAlign w:val="center"/>
          </w:tcPr>
          <w:p>
            <w:pPr>
              <w:widowControl/>
              <w:rPr>
                <w:rFonts w:hAnsi="宋体"/>
                <w:color w:val="000000"/>
                <w:kern w:val="0"/>
                <w:sz w:val="18"/>
                <w:szCs w:val="18"/>
              </w:rPr>
            </w:pPr>
            <w:r>
              <w:rPr>
                <w:rFonts w:hint="eastAsia"/>
                <w:sz w:val="18"/>
                <w:szCs w:val="18"/>
              </w:rPr>
              <w:t>甲醛释放量</w:t>
            </w:r>
          </w:p>
        </w:tc>
        <w:tc>
          <w:tcPr>
            <w:tcW w:w="394" w:type="pct"/>
            <w:vMerge w:val="restart"/>
            <w:vAlign w:val="center"/>
          </w:tcPr>
          <w:p>
            <w:pPr>
              <w:widowControl/>
              <w:jc w:val="center"/>
              <w:rPr>
                <w:color w:val="000000"/>
                <w:kern w:val="0"/>
                <w:sz w:val="18"/>
                <w:szCs w:val="18"/>
              </w:rPr>
            </w:pPr>
            <w:r>
              <w:rPr>
                <w:rFonts w:hint="eastAsia"/>
                <w:sz w:val="18"/>
                <w:szCs w:val="18"/>
              </w:rPr>
              <w:t>——</w:t>
            </w:r>
          </w:p>
        </w:tc>
        <w:tc>
          <w:tcPr>
            <w:tcW w:w="1891" w:type="pct"/>
            <w:gridSpan w:val="3"/>
            <w:vMerge w:val="restart"/>
            <w:vAlign w:val="center"/>
          </w:tcPr>
          <w:p>
            <w:pPr>
              <w:widowControl/>
              <w:jc w:val="center"/>
              <w:rPr>
                <w:kern w:val="0"/>
                <w:sz w:val="18"/>
                <w:szCs w:val="18"/>
              </w:rPr>
            </w:pPr>
            <w:r>
              <w:rPr>
                <w:rFonts w:hint="eastAsia"/>
                <w:kern w:val="0"/>
                <w:sz w:val="18"/>
                <w:szCs w:val="18"/>
              </w:rPr>
              <w:t>符合标准要求</w:t>
            </w:r>
          </w:p>
        </w:tc>
        <w:tc>
          <w:tcPr>
            <w:tcW w:w="1076" w:type="pct"/>
            <w:vAlign w:val="center"/>
          </w:tcPr>
          <w:p>
            <w:pPr>
              <w:widowControl/>
              <w:jc w:val="center"/>
              <w:rPr>
                <w:sz w:val="18"/>
                <w:szCs w:val="18"/>
              </w:rPr>
            </w:pPr>
            <w:r>
              <w:rPr>
                <w:rFonts w:hint="eastAsia"/>
                <w:sz w:val="18"/>
                <w:szCs w:val="18"/>
              </w:rPr>
              <w:t>G</w:t>
            </w:r>
            <w:r>
              <w:rPr>
                <w:sz w:val="18"/>
                <w:szCs w:val="18"/>
              </w:rPr>
              <w:t>B18580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24" w:type="pct"/>
            <w:vMerge w:val="continue"/>
            <w:vAlign w:val="center"/>
          </w:tcPr>
          <w:p>
            <w:pPr>
              <w:jc w:val="left"/>
              <w:rPr>
                <w:rFonts w:hAnsi="宋体"/>
                <w:color w:val="000000"/>
                <w:kern w:val="0"/>
                <w:sz w:val="18"/>
                <w:szCs w:val="18"/>
              </w:rPr>
            </w:pPr>
          </w:p>
        </w:tc>
        <w:tc>
          <w:tcPr>
            <w:tcW w:w="1315" w:type="pct"/>
            <w:gridSpan w:val="2"/>
            <w:vAlign w:val="center"/>
          </w:tcPr>
          <w:p>
            <w:pPr>
              <w:widowControl/>
              <w:jc w:val="left"/>
              <w:rPr>
                <w:sz w:val="18"/>
                <w:szCs w:val="18"/>
              </w:rPr>
            </w:pPr>
            <w:r>
              <w:rPr>
                <w:rFonts w:hint="eastAsia"/>
                <w:sz w:val="18"/>
                <w:szCs w:val="18"/>
              </w:rPr>
              <w:t>氯乙烯单体含量</w:t>
            </w:r>
          </w:p>
        </w:tc>
        <w:tc>
          <w:tcPr>
            <w:tcW w:w="394" w:type="pct"/>
            <w:vMerge w:val="continue"/>
            <w:vAlign w:val="center"/>
          </w:tcPr>
          <w:p>
            <w:pPr>
              <w:widowControl/>
              <w:jc w:val="center"/>
              <w:rPr>
                <w:color w:val="000000"/>
                <w:kern w:val="0"/>
                <w:sz w:val="18"/>
                <w:szCs w:val="18"/>
              </w:rPr>
            </w:pPr>
          </w:p>
        </w:tc>
        <w:tc>
          <w:tcPr>
            <w:tcW w:w="1891" w:type="pct"/>
            <w:gridSpan w:val="3"/>
            <w:vMerge w:val="continue"/>
            <w:vAlign w:val="center"/>
          </w:tcPr>
          <w:p>
            <w:pPr>
              <w:widowControl/>
              <w:jc w:val="center"/>
              <w:rPr>
                <w:kern w:val="0"/>
                <w:sz w:val="18"/>
                <w:szCs w:val="18"/>
              </w:rPr>
            </w:pPr>
          </w:p>
        </w:tc>
        <w:tc>
          <w:tcPr>
            <w:tcW w:w="1076" w:type="pct"/>
            <w:vMerge w:val="restart"/>
            <w:vAlign w:val="center"/>
          </w:tcPr>
          <w:p>
            <w:pPr>
              <w:widowControl/>
              <w:jc w:val="center"/>
              <w:rPr>
                <w:sz w:val="18"/>
                <w:szCs w:val="18"/>
              </w:rPr>
            </w:pPr>
            <w:r>
              <w:rPr>
                <w:sz w:val="18"/>
                <w:szCs w:val="18"/>
              </w:rPr>
              <w:t>GB 18586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24" w:type="pct"/>
            <w:vMerge w:val="continue"/>
            <w:vAlign w:val="center"/>
          </w:tcPr>
          <w:p>
            <w:pPr>
              <w:jc w:val="left"/>
              <w:rPr>
                <w:rFonts w:hAnsi="宋体"/>
                <w:color w:val="000000"/>
                <w:kern w:val="0"/>
                <w:sz w:val="18"/>
                <w:szCs w:val="18"/>
              </w:rPr>
            </w:pPr>
          </w:p>
        </w:tc>
        <w:tc>
          <w:tcPr>
            <w:tcW w:w="1315" w:type="pct"/>
            <w:gridSpan w:val="2"/>
            <w:vAlign w:val="center"/>
          </w:tcPr>
          <w:p>
            <w:pPr>
              <w:widowControl/>
              <w:jc w:val="left"/>
              <w:rPr>
                <w:sz w:val="18"/>
                <w:szCs w:val="18"/>
              </w:rPr>
            </w:pPr>
            <w:r>
              <w:rPr>
                <w:sz w:val="18"/>
                <w:szCs w:val="18"/>
              </w:rPr>
              <w:t>TVOC</w:t>
            </w:r>
            <w:r>
              <w:rPr>
                <w:rFonts w:hint="eastAsia"/>
                <w:sz w:val="18"/>
                <w:szCs w:val="18"/>
              </w:rPr>
              <w:t>释放量（</w:t>
            </w:r>
            <w:r>
              <w:rPr>
                <w:sz w:val="18"/>
                <w:szCs w:val="18"/>
              </w:rPr>
              <w:t>3d</w:t>
            </w:r>
            <w:r>
              <w:rPr>
                <w:rFonts w:hint="eastAsia"/>
                <w:sz w:val="18"/>
                <w:szCs w:val="18"/>
              </w:rPr>
              <w:t>）</w:t>
            </w:r>
          </w:p>
        </w:tc>
        <w:tc>
          <w:tcPr>
            <w:tcW w:w="394" w:type="pct"/>
            <w:vMerge w:val="continue"/>
            <w:vAlign w:val="center"/>
          </w:tcPr>
          <w:p>
            <w:pPr>
              <w:widowControl/>
              <w:jc w:val="center"/>
              <w:rPr>
                <w:color w:val="000000"/>
                <w:kern w:val="0"/>
                <w:sz w:val="18"/>
                <w:szCs w:val="18"/>
              </w:rPr>
            </w:pPr>
          </w:p>
        </w:tc>
        <w:tc>
          <w:tcPr>
            <w:tcW w:w="1891" w:type="pct"/>
            <w:gridSpan w:val="3"/>
            <w:vMerge w:val="continue"/>
            <w:vAlign w:val="center"/>
          </w:tcPr>
          <w:p>
            <w:pPr>
              <w:widowControl/>
              <w:jc w:val="center"/>
              <w:rPr>
                <w:kern w:val="0"/>
                <w:sz w:val="18"/>
                <w:szCs w:val="18"/>
              </w:rPr>
            </w:pPr>
          </w:p>
        </w:tc>
        <w:tc>
          <w:tcPr>
            <w:tcW w:w="1076" w:type="pct"/>
            <w:vMerge w:val="continue"/>
            <w:vAlign w:val="center"/>
          </w:tcPr>
          <w:p>
            <w:pPr>
              <w:widowControl/>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24" w:type="pct"/>
            <w:vMerge w:val="continue"/>
            <w:vAlign w:val="center"/>
          </w:tcPr>
          <w:p>
            <w:pPr>
              <w:jc w:val="left"/>
              <w:rPr>
                <w:rFonts w:hAnsi="宋体"/>
                <w:color w:val="000000"/>
                <w:kern w:val="0"/>
                <w:sz w:val="18"/>
                <w:szCs w:val="18"/>
              </w:rPr>
            </w:pPr>
          </w:p>
        </w:tc>
        <w:tc>
          <w:tcPr>
            <w:tcW w:w="999" w:type="pct"/>
            <w:vMerge w:val="restart"/>
            <w:vAlign w:val="center"/>
          </w:tcPr>
          <w:p>
            <w:pPr>
              <w:widowControl/>
              <w:rPr>
                <w:rFonts w:hAnsi="宋体"/>
                <w:color w:val="000000"/>
                <w:kern w:val="0"/>
                <w:sz w:val="18"/>
                <w:szCs w:val="18"/>
              </w:rPr>
            </w:pPr>
            <w:r>
              <w:rPr>
                <w:rFonts w:hint="eastAsia"/>
                <w:sz w:val="18"/>
                <w:szCs w:val="18"/>
              </w:rPr>
              <w:t>可溶性重金属含量</w:t>
            </w:r>
          </w:p>
        </w:tc>
        <w:tc>
          <w:tcPr>
            <w:tcW w:w="316" w:type="pct"/>
            <w:vAlign w:val="center"/>
          </w:tcPr>
          <w:p>
            <w:pPr>
              <w:widowControl/>
              <w:rPr>
                <w:rFonts w:hAnsi="宋体"/>
                <w:color w:val="000000"/>
                <w:kern w:val="0"/>
                <w:sz w:val="18"/>
                <w:szCs w:val="18"/>
              </w:rPr>
            </w:pPr>
            <w:r>
              <w:rPr>
                <w:rFonts w:hint="eastAsia" w:hAnsi="宋体"/>
                <w:color w:val="000000"/>
                <w:kern w:val="0"/>
                <w:sz w:val="18"/>
                <w:szCs w:val="18"/>
              </w:rPr>
              <w:t>铅</w:t>
            </w:r>
          </w:p>
        </w:tc>
        <w:tc>
          <w:tcPr>
            <w:tcW w:w="394" w:type="pct"/>
            <w:vMerge w:val="continue"/>
            <w:vAlign w:val="center"/>
          </w:tcPr>
          <w:p>
            <w:pPr>
              <w:widowControl/>
              <w:jc w:val="center"/>
              <w:rPr>
                <w:color w:val="000000"/>
                <w:kern w:val="0"/>
                <w:sz w:val="18"/>
                <w:szCs w:val="18"/>
              </w:rPr>
            </w:pPr>
          </w:p>
        </w:tc>
        <w:tc>
          <w:tcPr>
            <w:tcW w:w="1891" w:type="pct"/>
            <w:gridSpan w:val="3"/>
            <w:vMerge w:val="continue"/>
            <w:vAlign w:val="center"/>
          </w:tcPr>
          <w:p>
            <w:pPr>
              <w:widowControl/>
              <w:jc w:val="center"/>
              <w:rPr>
                <w:kern w:val="0"/>
                <w:sz w:val="18"/>
                <w:szCs w:val="18"/>
              </w:rPr>
            </w:pPr>
          </w:p>
        </w:tc>
        <w:tc>
          <w:tcPr>
            <w:tcW w:w="1076" w:type="pct"/>
            <w:vMerge w:val="continue"/>
            <w:vAlign w:val="center"/>
          </w:tcPr>
          <w:p>
            <w:pPr>
              <w:widowControl/>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24" w:type="pct"/>
            <w:vMerge w:val="continue"/>
            <w:vAlign w:val="center"/>
          </w:tcPr>
          <w:p>
            <w:pPr>
              <w:jc w:val="left"/>
              <w:rPr>
                <w:rFonts w:hAnsi="宋体"/>
                <w:color w:val="000000"/>
                <w:kern w:val="0"/>
                <w:sz w:val="18"/>
                <w:szCs w:val="18"/>
              </w:rPr>
            </w:pPr>
          </w:p>
        </w:tc>
        <w:tc>
          <w:tcPr>
            <w:tcW w:w="999" w:type="pct"/>
            <w:vMerge w:val="continue"/>
            <w:vAlign w:val="center"/>
          </w:tcPr>
          <w:p>
            <w:pPr>
              <w:widowControl/>
              <w:rPr>
                <w:sz w:val="18"/>
                <w:szCs w:val="18"/>
              </w:rPr>
            </w:pPr>
          </w:p>
        </w:tc>
        <w:tc>
          <w:tcPr>
            <w:tcW w:w="316" w:type="pct"/>
            <w:vAlign w:val="center"/>
          </w:tcPr>
          <w:p>
            <w:pPr>
              <w:widowControl/>
              <w:rPr>
                <w:sz w:val="18"/>
                <w:szCs w:val="18"/>
              </w:rPr>
            </w:pPr>
            <w:r>
              <w:rPr>
                <w:rFonts w:hint="eastAsia"/>
                <w:sz w:val="18"/>
                <w:szCs w:val="18"/>
              </w:rPr>
              <w:t>镉</w:t>
            </w:r>
          </w:p>
        </w:tc>
        <w:tc>
          <w:tcPr>
            <w:tcW w:w="394" w:type="pct"/>
            <w:vMerge w:val="continue"/>
            <w:vAlign w:val="center"/>
          </w:tcPr>
          <w:p>
            <w:pPr>
              <w:widowControl/>
              <w:jc w:val="center"/>
              <w:rPr>
                <w:color w:val="000000"/>
                <w:kern w:val="0"/>
                <w:sz w:val="18"/>
                <w:szCs w:val="18"/>
              </w:rPr>
            </w:pPr>
          </w:p>
        </w:tc>
        <w:tc>
          <w:tcPr>
            <w:tcW w:w="1891" w:type="pct"/>
            <w:gridSpan w:val="3"/>
            <w:vMerge w:val="continue"/>
            <w:vAlign w:val="center"/>
          </w:tcPr>
          <w:p>
            <w:pPr>
              <w:widowControl/>
              <w:jc w:val="center"/>
              <w:rPr>
                <w:kern w:val="0"/>
                <w:sz w:val="18"/>
                <w:szCs w:val="18"/>
              </w:rPr>
            </w:pPr>
          </w:p>
        </w:tc>
        <w:tc>
          <w:tcPr>
            <w:tcW w:w="1076" w:type="pct"/>
            <w:vMerge w:val="continue"/>
            <w:vAlign w:val="center"/>
          </w:tcPr>
          <w:p>
            <w:pPr>
              <w:widowControl/>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24" w:type="pct"/>
            <w:vMerge w:val="continue"/>
            <w:vAlign w:val="center"/>
          </w:tcPr>
          <w:p>
            <w:pPr>
              <w:jc w:val="left"/>
              <w:rPr>
                <w:rFonts w:hAnsi="宋体"/>
                <w:color w:val="000000"/>
                <w:kern w:val="0"/>
                <w:sz w:val="18"/>
                <w:szCs w:val="18"/>
              </w:rPr>
            </w:pPr>
          </w:p>
        </w:tc>
        <w:tc>
          <w:tcPr>
            <w:tcW w:w="1315" w:type="pct"/>
            <w:gridSpan w:val="2"/>
            <w:vAlign w:val="center"/>
          </w:tcPr>
          <w:p>
            <w:pPr>
              <w:widowControl/>
              <w:jc w:val="left"/>
              <w:rPr>
                <w:sz w:val="18"/>
                <w:szCs w:val="18"/>
              </w:rPr>
            </w:pPr>
            <w:r>
              <w:rPr>
                <w:rFonts w:hint="eastAsia"/>
                <w:sz w:val="18"/>
                <w:szCs w:val="18"/>
              </w:rPr>
              <w:t>阻燃性能</w:t>
            </w:r>
          </w:p>
        </w:tc>
        <w:tc>
          <w:tcPr>
            <w:tcW w:w="394" w:type="pct"/>
            <w:vMerge w:val="continue"/>
            <w:vAlign w:val="center"/>
          </w:tcPr>
          <w:p>
            <w:pPr>
              <w:widowControl/>
              <w:jc w:val="center"/>
              <w:rPr>
                <w:color w:val="000000"/>
                <w:kern w:val="0"/>
                <w:sz w:val="18"/>
                <w:szCs w:val="18"/>
              </w:rPr>
            </w:pPr>
          </w:p>
        </w:tc>
        <w:tc>
          <w:tcPr>
            <w:tcW w:w="1891" w:type="pct"/>
            <w:gridSpan w:val="3"/>
            <w:vMerge w:val="continue"/>
            <w:vAlign w:val="center"/>
          </w:tcPr>
          <w:p>
            <w:pPr>
              <w:jc w:val="center"/>
              <w:rPr>
                <w:color w:val="000000"/>
                <w:kern w:val="0"/>
                <w:sz w:val="18"/>
                <w:szCs w:val="18"/>
              </w:rPr>
            </w:pPr>
          </w:p>
        </w:tc>
        <w:tc>
          <w:tcPr>
            <w:tcW w:w="1076" w:type="pct"/>
            <w:vAlign w:val="center"/>
          </w:tcPr>
          <w:p>
            <w:pPr>
              <w:widowControl/>
              <w:jc w:val="center"/>
              <w:rPr>
                <w:sz w:val="18"/>
                <w:szCs w:val="18"/>
              </w:rPr>
            </w:pPr>
            <w:r>
              <w:rPr>
                <w:sz w:val="18"/>
                <w:szCs w:val="18"/>
              </w:rPr>
              <w:t>GB 8624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 w:hRule="atLeast"/>
        </w:trPr>
        <w:tc>
          <w:tcPr>
            <w:tcW w:w="324" w:type="pct"/>
            <w:vMerge w:val="restart"/>
            <w:vAlign w:val="center"/>
          </w:tcPr>
          <w:p>
            <w:pPr>
              <w:widowControl/>
              <w:jc w:val="left"/>
              <w:rPr>
                <w:rFonts w:hAnsi="宋体"/>
                <w:color w:val="000000"/>
                <w:kern w:val="0"/>
                <w:sz w:val="18"/>
                <w:szCs w:val="18"/>
              </w:rPr>
            </w:pPr>
            <w:r>
              <w:rPr>
                <w:rFonts w:hint="eastAsia" w:hAnsi="宋体"/>
                <w:color w:val="000000"/>
                <w:kern w:val="0"/>
                <w:sz w:val="18"/>
                <w:szCs w:val="18"/>
              </w:rPr>
              <w:t>核心指标</w:t>
            </w:r>
          </w:p>
        </w:tc>
        <w:tc>
          <w:tcPr>
            <w:tcW w:w="1315" w:type="pct"/>
            <w:gridSpan w:val="2"/>
            <w:vAlign w:val="center"/>
          </w:tcPr>
          <w:p>
            <w:pPr>
              <w:widowControl/>
              <w:rPr>
                <w:sz w:val="18"/>
                <w:szCs w:val="18"/>
              </w:rPr>
            </w:pPr>
            <w:r>
              <w:rPr>
                <w:rFonts w:hint="eastAsia"/>
                <w:sz w:val="18"/>
                <w:szCs w:val="18"/>
              </w:rPr>
              <w:t>耐磨性（体积损失）</w:t>
            </w:r>
          </w:p>
        </w:tc>
        <w:tc>
          <w:tcPr>
            <w:tcW w:w="394" w:type="pct"/>
            <w:vAlign w:val="center"/>
          </w:tcPr>
          <w:p>
            <w:pPr>
              <w:widowControl/>
              <w:jc w:val="center"/>
              <w:rPr>
                <w:color w:val="000000"/>
                <w:kern w:val="0"/>
                <w:sz w:val="18"/>
                <w:szCs w:val="18"/>
              </w:rPr>
            </w:pPr>
            <w:r>
              <w:rPr>
                <w:color w:val="000000"/>
                <w:kern w:val="0"/>
                <w:sz w:val="18"/>
                <w:szCs w:val="18"/>
              </w:rPr>
              <w:t>mm</w:t>
            </w:r>
            <w:r>
              <w:rPr>
                <w:color w:val="000000"/>
                <w:kern w:val="0"/>
                <w:sz w:val="18"/>
                <w:szCs w:val="18"/>
                <w:vertAlign w:val="superscript"/>
              </w:rPr>
              <w:t>3</w:t>
            </w:r>
          </w:p>
        </w:tc>
        <w:tc>
          <w:tcPr>
            <w:tcW w:w="630" w:type="pct"/>
            <w:vAlign w:val="center"/>
          </w:tcPr>
          <w:p>
            <w:pPr>
              <w:jc w:val="center"/>
              <w:rPr>
                <w:sz w:val="18"/>
                <w:szCs w:val="18"/>
              </w:rPr>
            </w:pPr>
            <w:r>
              <w:rPr>
                <w:rFonts w:hint="eastAsia"/>
                <w:kern w:val="0"/>
                <w:sz w:val="18"/>
                <w:szCs w:val="18"/>
              </w:rPr>
              <w:t>≤</w:t>
            </w:r>
            <w:r>
              <w:rPr>
                <w:kern w:val="0"/>
                <w:sz w:val="18"/>
                <w:szCs w:val="18"/>
              </w:rPr>
              <w:t>2.0</w:t>
            </w:r>
          </w:p>
        </w:tc>
        <w:tc>
          <w:tcPr>
            <w:tcW w:w="630" w:type="pct"/>
            <w:vAlign w:val="center"/>
          </w:tcPr>
          <w:p>
            <w:pPr>
              <w:jc w:val="center"/>
              <w:rPr>
                <w:sz w:val="18"/>
                <w:szCs w:val="18"/>
              </w:rPr>
            </w:pPr>
            <w:r>
              <w:rPr>
                <w:rFonts w:hint="eastAsia"/>
                <w:kern w:val="0"/>
                <w:sz w:val="18"/>
                <w:szCs w:val="18"/>
              </w:rPr>
              <w:t>≤</w:t>
            </w:r>
            <w:r>
              <w:rPr>
                <w:kern w:val="0"/>
                <w:sz w:val="18"/>
                <w:szCs w:val="18"/>
              </w:rPr>
              <w:t>3.0</w:t>
            </w:r>
          </w:p>
        </w:tc>
        <w:tc>
          <w:tcPr>
            <w:tcW w:w="631" w:type="pct"/>
            <w:vAlign w:val="center"/>
          </w:tcPr>
          <w:p>
            <w:pPr>
              <w:widowControl/>
              <w:jc w:val="center"/>
              <w:rPr>
                <w:rFonts w:ascii="宋体" w:cs="宋体"/>
                <w:color w:val="000000"/>
                <w:kern w:val="0"/>
                <w:sz w:val="18"/>
                <w:szCs w:val="18"/>
              </w:rPr>
            </w:pPr>
            <w:r>
              <w:rPr>
                <w:rFonts w:hint="eastAsia"/>
                <w:kern w:val="0"/>
                <w:sz w:val="18"/>
                <w:szCs w:val="18"/>
              </w:rPr>
              <w:t>≤4</w:t>
            </w:r>
            <w:r>
              <w:rPr>
                <w:kern w:val="0"/>
                <w:sz w:val="18"/>
                <w:szCs w:val="18"/>
              </w:rPr>
              <w:t>.0</w:t>
            </w:r>
          </w:p>
        </w:tc>
        <w:tc>
          <w:tcPr>
            <w:tcW w:w="1076" w:type="pct"/>
            <w:vMerge w:val="restart"/>
            <w:vAlign w:val="center"/>
          </w:tcPr>
          <w:p>
            <w:pPr>
              <w:jc w:val="center"/>
              <w:rPr>
                <w:sz w:val="18"/>
                <w:szCs w:val="18"/>
              </w:rPr>
            </w:pPr>
            <w:r>
              <w:rPr>
                <w:rFonts w:hint="eastAsia"/>
                <w:sz w:val="18"/>
                <w:szCs w:val="18"/>
              </w:rPr>
              <w:t>GB∕T 34440、</w:t>
            </w:r>
            <w:r>
              <w:rPr>
                <w:sz w:val="18"/>
                <w:szCs w:val="18"/>
              </w:rPr>
              <w:t>GB/T 4085</w:t>
            </w:r>
            <w:r>
              <w:rPr>
                <w:rFonts w:hint="eastAsia"/>
                <w:sz w:val="18"/>
                <w:szCs w:val="18"/>
              </w:rPr>
              <w:t>、GB∕T 11982.1、GB∕T 11982.2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 w:hRule="atLeast"/>
        </w:trPr>
        <w:tc>
          <w:tcPr>
            <w:tcW w:w="324" w:type="pct"/>
            <w:vMerge w:val="continue"/>
            <w:vAlign w:val="center"/>
          </w:tcPr>
          <w:p>
            <w:pPr>
              <w:widowControl/>
              <w:jc w:val="left"/>
              <w:rPr>
                <w:rFonts w:hAnsi="宋体"/>
                <w:color w:val="000000"/>
                <w:kern w:val="0"/>
                <w:sz w:val="18"/>
                <w:szCs w:val="18"/>
              </w:rPr>
            </w:pPr>
          </w:p>
        </w:tc>
        <w:tc>
          <w:tcPr>
            <w:tcW w:w="1315" w:type="pct"/>
            <w:gridSpan w:val="2"/>
            <w:vAlign w:val="center"/>
          </w:tcPr>
          <w:p>
            <w:pPr>
              <w:widowControl/>
              <w:rPr>
                <w:sz w:val="18"/>
                <w:szCs w:val="18"/>
              </w:rPr>
            </w:pPr>
            <w:r>
              <w:rPr>
                <w:rFonts w:hint="eastAsia"/>
                <w:sz w:val="18"/>
                <w:szCs w:val="18"/>
              </w:rPr>
              <w:t>残余凹陷</w:t>
            </w:r>
          </w:p>
        </w:tc>
        <w:tc>
          <w:tcPr>
            <w:tcW w:w="394" w:type="pct"/>
            <w:vAlign w:val="center"/>
          </w:tcPr>
          <w:p>
            <w:pPr>
              <w:widowControl/>
              <w:jc w:val="center"/>
              <w:rPr>
                <w:color w:val="000000"/>
                <w:kern w:val="0"/>
                <w:sz w:val="18"/>
                <w:szCs w:val="18"/>
              </w:rPr>
            </w:pPr>
            <w:r>
              <w:rPr>
                <w:color w:val="000000"/>
                <w:kern w:val="0"/>
                <w:sz w:val="18"/>
                <w:szCs w:val="18"/>
              </w:rPr>
              <w:t>mm</w:t>
            </w:r>
          </w:p>
        </w:tc>
        <w:tc>
          <w:tcPr>
            <w:tcW w:w="630" w:type="pct"/>
            <w:vAlign w:val="center"/>
          </w:tcPr>
          <w:p>
            <w:pPr>
              <w:jc w:val="center"/>
              <w:rPr>
                <w:sz w:val="18"/>
                <w:szCs w:val="18"/>
              </w:rPr>
            </w:pPr>
            <w:r>
              <w:rPr>
                <w:rFonts w:hint="eastAsia"/>
                <w:kern w:val="0"/>
                <w:sz w:val="18"/>
                <w:szCs w:val="18"/>
              </w:rPr>
              <w:t>≤0</w:t>
            </w:r>
            <w:r>
              <w:rPr>
                <w:kern w:val="0"/>
                <w:sz w:val="18"/>
                <w:szCs w:val="18"/>
              </w:rPr>
              <w:t>.10</w:t>
            </w:r>
          </w:p>
        </w:tc>
        <w:tc>
          <w:tcPr>
            <w:tcW w:w="630" w:type="pct"/>
            <w:vAlign w:val="center"/>
          </w:tcPr>
          <w:p>
            <w:pPr>
              <w:widowControl/>
              <w:jc w:val="center"/>
              <w:rPr>
                <w:rFonts w:ascii="宋体" w:cs="宋体"/>
                <w:color w:val="000000"/>
                <w:kern w:val="0"/>
                <w:sz w:val="18"/>
                <w:szCs w:val="18"/>
              </w:rPr>
            </w:pPr>
            <w:r>
              <w:rPr>
                <w:rFonts w:hint="eastAsia"/>
                <w:kern w:val="0"/>
                <w:sz w:val="18"/>
                <w:szCs w:val="18"/>
              </w:rPr>
              <w:t>≤0</w:t>
            </w:r>
            <w:r>
              <w:rPr>
                <w:kern w:val="0"/>
                <w:sz w:val="18"/>
                <w:szCs w:val="18"/>
              </w:rPr>
              <w:t>.20</w:t>
            </w:r>
          </w:p>
        </w:tc>
        <w:tc>
          <w:tcPr>
            <w:tcW w:w="631" w:type="pct"/>
            <w:vAlign w:val="center"/>
          </w:tcPr>
          <w:p>
            <w:pPr>
              <w:widowControl/>
              <w:jc w:val="center"/>
              <w:rPr>
                <w:rFonts w:ascii="宋体" w:cs="宋体"/>
                <w:color w:val="000000"/>
                <w:kern w:val="0"/>
                <w:sz w:val="18"/>
                <w:szCs w:val="18"/>
              </w:rPr>
            </w:pPr>
            <w:r>
              <w:rPr>
                <w:rFonts w:hint="eastAsia"/>
                <w:kern w:val="0"/>
                <w:sz w:val="18"/>
                <w:szCs w:val="18"/>
              </w:rPr>
              <w:t>≤0</w:t>
            </w:r>
            <w:r>
              <w:rPr>
                <w:kern w:val="0"/>
                <w:sz w:val="18"/>
                <w:szCs w:val="18"/>
              </w:rPr>
              <w:t>.40</w:t>
            </w:r>
          </w:p>
        </w:tc>
        <w:tc>
          <w:tcPr>
            <w:tcW w:w="1076" w:type="pct"/>
            <w:vMerge w:val="continue"/>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 w:hRule="atLeast"/>
        </w:trPr>
        <w:tc>
          <w:tcPr>
            <w:tcW w:w="324" w:type="pct"/>
            <w:vMerge w:val="continue"/>
            <w:vAlign w:val="center"/>
          </w:tcPr>
          <w:p>
            <w:pPr>
              <w:widowControl/>
              <w:jc w:val="left"/>
              <w:rPr>
                <w:rFonts w:hAnsi="宋体"/>
                <w:color w:val="000000"/>
                <w:kern w:val="0"/>
                <w:sz w:val="18"/>
                <w:szCs w:val="18"/>
              </w:rPr>
            </w:pPr>
          </w:p>
        </w:tc>
        <w:tc>
          <w:tcPr>
            <w:tcW w:w="1315" w:type="pct"/>
            <w:gridSpan w:val="2"/>
            <w:vAlign w:val="center"/>
          </w:tcPr>
          <w:p>
            <w:pPr>
              <w:widowControl/>
              <w:rPr>
                <w:sz w:val="18"/>
                <w:szCs w:val="18"/>
              </w:rPr>
            </w:pPr>
            <w:r>
              <w:rPr>
                <w:rFonts w:hint="eastAsia"/>
                <w:sz w:val="18"/>
                <w:szCs w:val="18"/>
              </w:rPr>
              <w:t>加热翘曲</w:t>
            </w:r>
          </w:p>
        </w:tc>
        <w:tc>
          <w:tcPr>
            <w:tcW w:w="394" w:type="pct"/>
            <w:vAlign w:val="center"/>
          </w:tcPr>
          <w:p>
            <w:pPr>
              <w:widowControl/>
              <w:jc w:val="center"/>
              <w:rPr>
                <w:color w:val="000000"/>
                <w:kern w:val="0"/>
                <w:sz w:val="18"/>
                <w:szCs w:val="18"/>
              </w:rPr>
            </w:pPr>
            <w:r>
              <w:rPr>
                <w:rFonts w:hint="eastAsia"/>
                <w:color w:val="000000"/>
                <w:kern w:val="0"/>
                <w:sz w:val="18"/>
                <w:szCs w:val="18"/>
              </w:rPr>
              <w:t>m</w:t>
            </w:r>
            <w:r>
              <w:rPr>
                <w:color w:val="000000"/>
                <w:kern w:val="0"/>
                <w:sz w:val="18"/>
                <w:szCs w:val="18"/>
              </w:rPr>
              <w:t>m</w:t>
            </w:r>
          </w:p>
        </w:tc>
        <w:tc>
          <w:tcPr>
            <w:tcW w:w="630" w:type="pct"/>
            <w:vAlign w:val="center"/>
          </w:tcPr>
          <w:p>
            <w:pPr>
              <w:jc w:val="center"/>
              <w:rPr>
                <w:kern w:val="0"/>
                <w:sz w:val="18"/>
                <w:szCs w:val="18"/>
              </w:rPr>
            </w:pPr>
            <w:r>
              <w:rPr>
                <w:rFonts w:hint="eastAsia"/>
                <w:kern w:val="0"/>
                <w:sz w:val="18"/>
                <w:szCs w:val="18"/>
              </w:rPr>
              <w:t>≤1</w:t>
            </w:r>
            <w:r>
              <w:rPr>
                <w:kern w:val="0"/>
                <w:sz w:val="18"/>
                <w:szCs w:val="18"/>
              </w:rPr>
              <w:t>.0</w:t>
            </w:r>
          </w:p>
        </w:tc>
        <w:tc>
          <w:tcPr>
            <w:tcW w:w="630" w:type="pct"/>
            <w:vAlign w:val="center"/>
          </w:tcPr>
          <w:p>
            <w:pPr>
              <w:widowControl/>
              <w:jc w:val="center"/>
              <w:rPr>
                <w:sz w:val="18"/>
                <w:szCs w:val="18"/>
              </w:rPr>
            </w:pPr>
            <w:r>
              <w:rPr>
                <w:rFonts w:hint="eastAsia"/>
                <w:kern w:val="0"/>
                <w:sz w:val="18"/>
                <w:szCs w:val="18"/>
              </w:rPr>
              <w:t>≤1</w:t>
            </w:r>
            <w:r>
              <w:rPr>
                <w:kern w:val="0"/>
                <w:sz w:val="18"/>
                <w:szCs w:val="18"/>
              </w:rPr>
              <w:t>.5</w:t>
            </w:r>
          </w:p>
        </w:tc>
        <w:tc>
          <w:tcPr>
            <w:tcW w:w="631" w:type="pct"/>
            <w:vAlign w:val="center"/>
          </w:tcPr>
          <w:p>
            <w:pPr>
              <w:widowControl/>
              <w:jc w:val="center"/>
              <w:rPr>
                <w:sz w:val="18"/>
                <w:szCs w:val="18"/>
              </w:rPr>
            </w:pPr>
            <w:r>
              <w:rPr>
                <w:rFonts w:hint="eastAsia"/>
                <w:kern w:val="0"/>
                <w:sz w:val="18"/>
                <w:szCs w:val="18"/>
              </w:rPr>
              <w:t>≤2</w:t>
            </w:r>
            <w:r>
              <w:rPr>
                <w:kern w:val="0"/>
                <w:sz w:val="18"/>
                <w:szCs w:val="18"/>
              </w:rPr>
              <w:t>.0</w:t>
            </w:r>
          </w:p>
        </w:tc>
        <w:tc>
          <w:tcPr>
            <w:tcW w:w="1076" w:type="pct"/>
            <w:vMerge w:val="continue"/>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 w:hRule="atLeast"/>
        </w:trPr>
        <w:tc>
          <w:tcPr>
            <w:tcW w:w="324" w:type="pct"/>
            <w:vMerge w:val="continue"/>
            <w:vAlign w:val="center"/>
          </w:tcPr>
          <w:p>
            <w:pPr>
              <w:widowControl/>
              <w:jc w:val="left"/>
              <w:rPr>
                <w:rFonts w:hAnsi="宋体"/>
                <w:color w:val="000000"/>
                <w:kern w:val="0"/>
                <w:sz w:val="18"/>
                <w:szCs w:val="18"/>
              </w:rPr>
            </w:pPr>
          </w:p>
        </w:tc>
        <w:tc>
          <w:tcPr>
            <w:tcW w:w="1315" w:type="pct"/>
            <w:gridSpan w:val="2"/>
            <w:vAlign w:val="center"/>
          </w:tcPr>
          <w:p>
            <w:pPr>
              <w:widowControl/>
              <w:rPr>
                <w:sz w:val="18"/>
                <w:szCs w:val="18"/>
              </w:rPr>
            </w:pPr>
            <w:r>
              <w:rPr>
                <w:rFonts w:hint="eastAsia"/>
                <w:sz w:val="18"/>
                <w:szCs w:val="18"/>
              </w:rPr>
              <w:t>色牢度</w:t>
            </w:r>
          </w:p>
        </w:tc>
        <w:tc>
          <w:tcPr>
            <w:tcW w:w="394" w:type="pct"/>
            <w:vAlign w:val="center"/>
          </w:tcPr>
          <w:p>
            <w:pPr>
              <w:widowControl/>
              <w:jc w:val="center"/>
              <w:rPr>
                <w:color w:val="000000"/>
                <w:kern w:val="0"/>
                <w:sz w:val="18"/>
                <w:szCs w:val="18"/>
              </w:rPr>
            </w:pPr>
            <w:r>
              <w:rPr>
                <w:rFonts w:hint="eastAsia"/>
                <w:color w:val="000000"/>
                <w:kern w:val="0"/>
                <w:sz w:val="18"/>
                <w:szCs w:val="18"/>
              </w:rPr>
              <w:t>级</w:t>
            </w:r>
          </w:p>
        </w:tc>
        <w:tc>
          <w:tcPr>
            <w:tcW w:w="1891" w:type="pct"/>
            <w:gridSpan w:val="3"/>
            <w:tcBorders>
              <w:bottom w:val="single" w:color="auto" w:sz="4" w:space="0"/>
            </w:tcBorders>
            <w:vAlign w:val="center"/>
          </w:tcPr>
          <w:p>
            <w:pPr>
              <w:widowControl/>
              <w:jc w:val="center"/>
              <w:rPr>
                <w:rFonts w:ascii="宋体" w:cs="宋体"/>
                <w:color w:val="000000"/>
                <w:kern w:val="0"/>
                <w:sz w:val="18"/>
                <w:szCs w:val="18"/>
              </w:rPr>
            </w:pPr>
            <w:r>
              <w:rPr>
                <w:rFonts w:hint="eastAsia"/>
                <w:color w:val="000000"/>
                <w:kern w:val="0"/>
                <w:sz w:val="18"/>
                <w:szCs w:val="18"/>
              </w:rPr>
              <w:t>≥6</w:t>
            </w:r>
          </w:p>
        </w:tc>
        <w:tc>
          <w:tcPr>
            <w:tcW w:w="1076" w:type="pct"/>
            <w:vMerge w:val="continue"/>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24" w:type="pct"/>
            <w:vMerge w:val="restart"/>
            <w:vAlign w:val="center"/>
          </w:tcPr>
          <w:p>
            <w:pPr>
              <w:jc w:val="left"/>
              <w:rPr>
                <w:rFonts w:hAnsi="宋体"/>
                <w:color w:val="000000"/>
                <w:kern w:val="0"/>
                <w:sz w:val="18"/>
                <w:szCs w:val="18"/>
              </w:rPr>
            </w:pPr>
            <w:r>
              <w:rPr>
                <w:rFonts w:hint="eastAsia" w:hAnsi="宋体"/>
                <w:color w:val="000000"/>
                <w:kern w:val="0"/>
                <w:sz w:val="18"/>
                <w:szCs w:val="18"/>
              </w:rPr>
              <w:t>创新性指标</w:t>
            </w:r>
          </w:p>
        </w:tc>
        <w:tc>
          <w:tcPr>
            <w:tcW w:w="1315" w:type="pct"/>
            <w:gridSpan w:val="2"/>
            <w:vAlign w:val="center"/>
          </w:tcPr>
          <w:p>
            <w:pPr>
              <w:widowControl/>
              <w:rPr>
                <w:rFonts w:hAnsi="宋体"/>
                <w:color w:val="000000"/>
                <w:kern w:val="0"/>
                <w:sz w:val="18"/>
                <w:szCs w:val="18"/>
              </w:rPr>
            </w:pPr>
            <w:r>
              <w:rPr>
                <w:rFonts w:hint="eastAsia" w:hAnsi="宋体"/>
                <w:color w:val="000000"/>
                <w:kern w:val="0"/>
                <w:sz w:val="18"/>
                <w:szCs w:val="18"/>
              </w:rPr>
              <w:t>产品生命周期环境影响</w:t>
            </w:r>
          </w:p>
        </w:tc>
        <w:tc>
          <w:tcPr>
            <w:tcW w:w="394" w:type="pct"/>
            <w:vAlign w:val="center"/>
          </w:tcPr>
          <w:p>
            <w:pPr>
              <w:widowControl/>
              <w:jc w:val="center"/>
              <w:rPr>
                <w:color w:val="000000"/>
                <w:kern w:val="0"/>
                <w:sz w:val="18"/>
                <w:szCs w:val="18"/>
              </w:rPr>
            </w:pPr>
            <w:r>
              <w:rPr>
                <w:rFonts w:hint="eastAsia"/>
                <w:sz w:val="18"/>
                <w:szCs w:val="18"/>
              </w:rPr>
              <w:t>——</w:t>
            </w:r>
          </w:p>
        </w:tc>
        <w:tc>
          <w:tcPr>
            <w:tcW w:w="1891" w:type="pct"/>
            <w:gridSpan w:val="3"/>
            <w:vAlign w:val="center"/>
          </w:tcPr>
          <w:p>
            <w:pPr>
              <w:widowControl/>
              <w:jc w:val="center"/>
              <w:rPr>
                <w:kern w:val="0"/>
                <w:sz w:val="18"/>
                <w:szCs w:val="18"/>
              </w:rPr>
            </w:pPr>
            <w:r>
              <w:rPr>
                <w:rFonts w:hint="eastAsia"/>
                <w:kern w:val="0"/>
                <w:sz w:val="18"/>
                <w:szCs w:val="18"/>
              </w:rPr>
              <w:t>进行环境产品声明（EPD）和碳足迹分析</w:t>
            </w:r>
          </w:p>
        </w:tc>
        <w:tc>
          <w:tcPr>
            <w:tcW w:w="1076" w:type="pct"/>
            <w:tcBorders>
              <w:top w:val="single" w:color="auto" w:sz="4" w:space="0"/>
            </w:tcBorders>
            <w:vAlign w:val="center"/>
          </w:tcPr>
          <w:p>
            <w:pPr>
              <w:widowControl/>
              <w:jc w:val="center"/>
              <w:rPr>
                <w:sz w:val="18"/>
                <w:szCs w:val="18"/>
              </w:rPr>
            </w:pPr>
            <w:r>
              <w:rPr>
                <w:rFonts w:hint="eastAsia"/>
                <w:sz w:val="18"/>
                <w:szCs w:val="18"/>
              </w:rPr>
              <w:t>GB/T 24025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24" w:type="pct"/>
            <w:vMerge w:val="continue"/>
            <w:vAlign w:val="center"/>
          </w:tcPr>
          <w:p>
            <w:pPr>
              <w:jc w:val="left"/>
              <w:rPr>
                <w:rFonts w:hAnsi="宋体"/>
                <w:color w:val="000000"/>
                <w:kern w:val="0"/>
                <w:sz w:val="18"/>
                <w:szCs w:val="18"/>
              </w:rPr>
            </w:pPr>
          </w:p>
        </w:tc>
        <w:tc>
          <w:tcPr>
            <w:tcW w:w="1315" w:type="pct"/>
            <w:gridSpan w:val="2"/>
            <w:vAlign w:val="center"/>
          </w:tcPr>
          <w:p>
            <w:pPr>
              <w:widowControl/>
              <w:rPr>
                <w:rFonts w:hAnsi="宋体"/>
                <w:color w:val="000000"/>
                <w:kern w:val="0"/>
                <w:sz w:val="18"/>
                <w:szCs w:val="18"/>
              </w:rPr>
            </w:pPr>
            <w:r>
              <w:rPr>
                <w:rFonts w:hint="eastAsia" w:hAnsi="宋体"/>
                <w:color w:val="000000"/>
                <w:kern w:val="0"/>
                <w:sz w:val="18"/>
                <w:szCs w:val="18"/>
              </w:rPr>
              <w:t>发泡剂</w:t>
            </w:r>
          </w:p>
        </w:tc>
        <w:tc>
          <w:tcPr>
            <w:tcW w:w="394" w:type="pct"/>
            <w:vAlign w:val="center"/>
          </w:tcPr>
          <w:p>
            <w:pPr>
              <w:widowControl/>
              <w:jc w:val="center"/>
              <w:rPr>
                <w:sz w:val="18"/>
                <w:szCs w:val="18"/>
              </w:rPr>
            </w:pPr>
            <w:r>
              <w:rPr>
                <w:rFonts w:hint="eastAsia"/>
                <w:sz w:val="18"/>
                <w:szCs w:val="18"/>
              </w:rPr>
              <w:t>——</w:t>
            </w:r>
          </w:p>
        </w:tc>
        <w:tc>
          <w:tcPr>
            <w:tcW w:w="1891" w:type="pct"/>
            <w:gridSpan w:val="3"/>
            <w:vAlign w:val="center"/>
          </w:tcPr>
          <w:p>
            <w:pPr>
              <w:widowControl/>
              <w:jc w:val="center"/>
              <w:rPr>
                <w:kern w:val="0"/>
                <w:sz w:val="18"/>
                <w:szCs w:val="18"/>
              </w:rPr>
            </w:pPr>
            <w:r>
              <w:rPr>
                <w:rFonts w:hint="eastAsia"/>
                <w:kern w:val="0"/>
                <w:sz w:val="18"/>
                <w:szCs w:val="18"/>
              </w:rPr>
              <w:t>不得使用氟氯烃发泡剂</w:t>
            </w:r>
          </w:p>
        </w:tc>
        <w:tc>
          <w:tcPr>
            <w:tcW w:w="1076" w:type="pct"/>
            <w:tcBorders>
              <w:top w:val="single" w:color="auto" w:sz="4" w:space="0"/>
            </w:tcBorders>
            <w:vAlign w:val="center"/>
          </w:tcPr>
          <w:p>
            <w:pPr>
              <w:widowControl/>
              <w:jc w:val="center"/>
              <w:rPr>
                <w:sz w:val="18"/>
                <w:szCs w:val="18"/>
              </w:rPr>
            </w:pPr>
            <w:r>
              <w:rPr>
                <w:rFonts w:hint="eastAsia"/>
                <w:sz w:val="18"/>
                <w:szCs w:val="18"/>
              </w:rPr>
              <w:t>提供证明材料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24" w:type="pct"/>
            <w:vMerge w:val="continue"/>
            <w:vAlign w:val="center"/>
          </w:tcPr>
          <w:p>
            <w:pPr>
              <w:jc w:val="left"/>
              <w:rPr>
                <w:rFonts w:hAnsi="宋体"/>
                <w:color w:val="000000"/>
                <w:kern w:val="0"/>
                <w:sz w:val="18"/>
                <w:szCs w:val="18"/>
              </w:rPr>
            </w:pPr>
          </w:p>
        </w:tc>
        <w:tc>
          <w:tcPr>
            <w:tcW w:w="1315" w:type="pct"/>
            <w:gridSpan w:val="2"/>
            <w:vAlign w:val="center"/>
          </w:tcPr>
          <w:p>
            <w:pPr>
              <w:widowControl/>
              <w:rPr>
                <w:rFonts w:hAnsi="宋体"/>
                <w:color w:val="000000"/>
                <w:kern w:val="0"/>
                <w:sz w:val="18"/>
                <w:szCs w:val="18"/>
              </w:rPr>
            </w:pPr>
            <w:r>
              <w:rPr>
                <w:rFonts w:hint="eastAsia" w:hAnsi="宋体"/>
                <w:color w:val="000000"/>
                <w:kern w:val="0"/>
                <w:sz w:val="18"/>
                <w:szCs w:val="18"/>
              </w:rPr>
              <w:t>稳定剂</w:t>
            </w:r>
          </w:p>
        </w:tc>
        <w:tc>
          <w:tcPr>
            <w:tcW w:w="394" w:type="pct"/>
            <w:vAlign w:val="center"/>
          </w:tcPr>
          <w:p>
            <w:pPr>
              <w:widowControl/>
              <w:jc w:val="center"/>
              <w:rPr>
                <w:sz w:val="18"/>
                <w:szCs w:val="18"/>
              </w:rPr>
            </w:pPr>
            <w:r>
              <w:rPr>
                <w:rFonts w:hint="eastAsia"/>
                <w:sz w:val="18"/>
                <w:szCs w:val="18"/>
              </w:rPr>
              <w:t>——</w:t>
            </w:r>
          </w:p>
        </w:tc>
        <w:tc>
          <w:tcPr>
            <w:tcW w:w="1891" w:type="pct"/>
            <w:gridSpan w:val="3"/>
            <w:vAlign w:val="center"/>
          </w:tcPr>
          <w:p>
            <w:pPr>
              <w:widowControl/>
              <w:jc w:val="center"/>
              <w:rPr>
                <w:kern w:val="0"/>
                <w:sz w:val="18"/>
                <w:szCs w:val="18"/>
              </w:rPr>
            </w:pPr>
            <w:r>
              <w:rPr>
                <w:rFonts w:hint="eastAsia"/>
                <w:kern w:val="0"/>
                <w:sz w:val="18"/>
                <w:szCs w:val="18"/>
              </w:rPr>
              <w:t>不得使用铅、镉盐稳定剂</w:t>
            </w:r>
          </w:p>
        </w:tc>
        <w:tc>
          <w:tcPr>
            <w:tcW w:w="1076" w:type="pct"/>
            <w:tcBorders>
              <w:top w:val="single" w:color="auto" w:sz="4" w:space="0"/>
            </w:tcBorders>
            <w:vAlign w:val="center"/>
          </w:tcPr>
          <w:p>
            <w:pPr>
              <w:widowControl/>
              <w:jc w:val="center"/>
              <w:rPr>
                <w:sz w:val="18"/>
                <w:szCs w:val="18"/>
              </w:rPr>
            </w:pPr>
            <w:r>
              <w:rPr>
                <w:rFonts w:hint="eastAsia"/>
                <w:sz w:val="18"/>
                <w:szCs w:val="18"/>
              </w:rPr>
              <w:t>提供证明材料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24" w:type="pct"/>
            <w:vMerge w:val="continue"/>
            <w:vAlign w:val="center"/>
          </w:tcPr>
          <w:p>
            <w:pPr>
              <w:jc w:val="left"/>
              <w:rPr>
                <w:rFonts w:hAnsi="宋体"/>
                <w:color w:val="000000"/>
                <w:kern w:val="0"/>
                <w:sz w:val="18"/>
                <w:szCs w:val="18"/>
              </w:rPr>
            </w:pPr>
          </w:p>
        </w:tc>
        <w:tc>
          <w:tcPr>
            <w:tcW w:w="1315" w:type="pct"/>
            <w:gridSpan w:val="2"/>
            <w:vAlign w:val="center"/>
          </w:tcPr>
          <w:p>
            <w:pPr>
              <w:widowControl/>
              <w:rPr>
                <w:rFonts w:hAnsi="宋体"/>
                <w:color w:val="000000"/>
                <w:kern w:val="0"/>
                <w:sz w:val="18"/>
                <w:szCs w:val="18"/>
              </w:rPr>
            </w:pPr>
            <w:r>
              <w:rPr>
                <w:rFonts w:hint="eastAsia" w:hAnsi="宋体"/>
                <w:color w:val="000000"/>
                <w:kern w:val="0"/>
                <w:sz w:val="18"/>
                <w:szCs w:val="18"/>
              </w:rPr>
              <w:t>阻燃剂</w:t>
            </w:r>
          </w:p>
        </w:tc>
        <w:tc>
          <w:tcPr>
            <w:tcW w:w="394" w:type="pct"/>
            <w:vAlign w:val="center"/>
          </w:tcPr>
          <w:p>
            <w:pPr>
              <w:widowControl/>
              <w:jc w:val="center"/>
              <w:rPr>
                <w:sz w:val="18"/>
                <w:szCs w:val="18"/>
              </w:rPr>
            </w:pPr>
            <w:r>
              <w:rPr>
                <w:rFonts w:hint="eastAsia"/>
                <w:sz w:val="18"/>
                <w:szCs w:val="18"/>
              </w:rPr>
              <w:t>——</w:t>
            </w:r>
          </w:p>
        </w:tc>
        <w:tc>
          <w:tcPr>
            <w:tcW w:w="1891" w:type="pct"/>
            <w:gridSpan w:val="3"/>
            <w:vAlign w:val="center"/>
          </w:tcPr>
          <w:p>
            <w:pPr>
              <w:widowControl/>
              <w:jc w:val="center"/>
              <w:rPr>
                <w:kern w:val="0"/>
                <w:sz w:val="18"/>
                <w:szCs w:val="18"/>
              </w:rPr>
            </w:pPr>
            <w:r>
              <w:rPr>
                <w:rFonts w:hint="eastAsia"/>
                <w:kern w:val="0"/>
                <w:sz w:val="18"/>
                <w:szCs w:val="18"/>
              </w:rPr>
              <w:t>不得使用含有多溴联苯、三-（2，</w:t>
            </w:r>
            <w:r>
              <w:rPr>
                <w:kern w:val="0"/>
                <w:sz w:val="18"/>
                <w:szCs w:val="18"/>
              </w:rPr>
              <w:t>3</w:t>
            </w:r>
            <w:r>
              <w:rPr>
                <w:rFonts w:hint="eastAsia"/>
                <w:kern w:val="0"/>
                <w:sz w:val="18"/>
                <w:szCs w:val="18"/>
              </w:rPr>
              <w:t>-二溴丙基）-磷酸酯-二溴二苯醚、八溴联苯醚、六溴环十二烷的阻燃剂</w:t>
            </w:r>
          </w:p>
        </w:tc>
        <w:tc>
          <w:tcPr>
            <w:tcW w:w="1076" w:type="pct"/>
            <w:tcBorders>
              <w:top w:val="single" w:color="auto" w:sz="4" w:space="0"/>
            </w:tcBorders>
            <w:vAlign w:val="center"/>
          </w:tcPr>
          <w:p>
            <w:pPr>
              <w:widowControl/>
              <w:jc w:val="center"/>
              <w:rPr>
                <w:sz w:val="18"/>
                <w:szCs w:val="18"/>
              </w:rPr>
            </w:pPr>
            <w:r>
              <w:rPr>
                <w:rFonts w:hint="eastAsia"/>
                <w:sz w:val="18"/>
                <w:szCs w:val="18"/>
              </w:rPr>
              <w:t>提供证明材料</w:t>
            </w:r>
          </w:p>
        </w:tc>
      </w:tr>
      <w:bookmarkEnd w:id="58"/>
      <w:bookmarkEnd w:id="59"/>
      <w:bookmarkEnd w:id="60"/>
      <w:bookmarkEnd w:id="61"/>
      <w:bookmarkEnd w:id="62"/>
      <w:bookmarkEnd w:id="63"/>
      <w:bookmarkEnd w:id="64"/>
      <w:bookmarkEnd w:id="65"/>
      <w:bookmarkEnd w:id="66"/>
      <w:bookmarkEnd w:id="67"/>
      <w:bookmarkEnd w:id="68"/>
    </w:tbl>
    <w:p>
      <w:pPr>
        <w:pStyle w:val="38"/>
        <w:numPr>
          <w:ilvl w:val="0"/>
          <w:numId w:val="1"/>
        </w:numPr>
        <w:spacing w:before="312" w:after="312"/>
        <w:rPr>
          <w:bCs/>
          <w:color w:val="000000"/>
          <w:sz w:val="24"/>
          <w:szCs w:val="24"/>
        </w:rPr>
      </w:pPr>
      <w:r>
        <w:rPr>
          <w:rFonts w:hint="eastAsia"/>
          <w:bCs/>
          <w:color w:val="000000"/>
          <w:sz w:val="24"/>
          <w:szCs w:val="24"/>
        </w:rPr>
        <w:t>评价方法</w:t>
      </w:r>
      <w:bookmarkStart w:id="70" w:name="_Toc360436771"/>
      <w:bookmarkStart w:id="71" w:name="_Toc360436858"/>
      <w:bookmarkStart w:id="72" w:name="_Toc384816571"/>
      <w:bookmarkStart w:id="73" w:name="_Toc396134056"/>
      <w:bookmarkStart w:id="74" w:name="_Toc360632449"/>
      <w:bookmarkStart w:id="75" w:name="_Toc350864010"/>
      <w:r>
        <w:rPr>
          <w:rFonts w:hint="eastAsia"/>
          <w:bCs/>
          <w:color w:val="000000"/>
          <w:sz w:val="24"/>
          <w:szCs w:val="24"/>
        </w:rPr>
        <w:t>及等级划分</w:t>
      </w:r>
    </w:p>
    <w:p>
      <w:pPr>
        <w:pStyle w:val="37"/>
        <w:spacing w:before="156" w:after="156"/>
        <w:rPr>
          <w:rFonts w:hAnsi="黑体"/>
        </w:rPr>
      </w:pPr>
      <w:bookmarkStart w:id="76" w:name="_Hlk44344955"/>
      <w:r>
        <w:rPr>
          <w:rFonts w:hAnsi="黑体"/>
        </w:rPr>
        <w:t>5.1</w:t>
      </w:r>
      <w:r>
        <w:rPr>
          <w:rFonts w:hint="eastAsia" w:hAnsi="黑体"/>
        </w:rPr>
        <w:t>评价方法</w:t>
      </w:r>
    </w:p>
    <w:bookmarkEnd w:id="76"/>
    <w:p>
      <w:pPr>
        <w:spacing w:line="300" w:lineRule="auto"/>
        <w:rPr>
          <w:rFonts w:ascii="宋体" w:hAnsi="宋体"/>
          <w:bCs/>
          <w:szCs w:val="22"/>
        </w:rPr>
      </w:pPr>
      <w:r>
        <w:rPr>
          <w:rFonts w:ascii="宋体" w:hAnsi="宋体"/>
          <w:bCs/>
          <w:szCs w:val="22"/>
        </w:rPr>
        <w:t>5.1.1</w:t>
      </w:r>
      <w:r>
        <w:rPr>
          <w:rFonts w:hint="eastAsia" w:ascii="宋体" w:hAnsi="宋体"/>
          <w:bCs/>
          <w:szCs w:val="22"/>
        </w:rPr>
        <w:t>企业应按照第4章的规定提供相关证明文件。</w:t>
      </w:r>
    </w:p>
    <w:p>
      <w:pPr>
        <w:spacing w:line="300" w:lineRule="auto"/>
        <w:rPr>
          <w:rFonts w:ascii="宋体" w:hAnsi="宋体"/>
          <w:bCs/>
          <w:szCs w:val="22"/>
        </w:rPr>
      </w:pPr>
      <w:r>
        <w:rPr>
          <w:rFonts w:ascii="宋体" w:hAnsi="宋体"/>
          <w:bCs/>
          <w:szCs w:val="22"/>
        </w:rPr>
        <w:t>5.1.2</w:t>
      </w:r>
      <w:r>
        <w:rPr>
          <w:rFonts w:hint="eastAsia" w:ascii="宋体" w:hAnsi="宋体"/>
          <w:bCs/>
          <w:szCs w:val="22"/>
        </w:rPr>
        <w:t>基础指标中甲醛释放量依据</w:t>
      </w:r>
      <w:r>
        <w:rPr>
          <w:rFonts w:ascii="宋体" w:hAnsi="宋体"/>
          <w:bCs/>
          <w:szCs w:val="22"/>
        </w:rPr>
        <w:t>GB 18580</w:t>
      </w:r>
      <w:r>
        <w:rPr>
          <w:rFonts w:hint="eastAsia" w:ascii="宋体" w:hAnsi="宋体"/>
          <w:bCs/>
          <w:szCs w:val="22"/>
        </w:rPr>
        <w:t>的规定进行；氯乙烯单体含量、</w:t>
      </w:r>
      <w:r>
        <w:rPr>
          <w:rFonts w:ascii="宋体" w:hAnsi="宋体"/>
          <w:bCs/>
          <w:szCs w:val="22"/>
        </w:rPr>
        <w:t>TVOC</w:t>
      </w:r>
      <w:r>
        <w:rPr>
          <w:rFonts w:hint="eastAsia" w:ascii="宋体" w:hAnsi="宋体"/>
          <w:bCs/>
          <w:szCs w:val="22"/>
        </w:rPr>
        <w:t>释放量（</w:t>
      </w:r>
      <w:r>
        <w:rPr>
          <w:rFonts w:ascii="宋体" w:hAnsi="宋体"/>
          <w:bCs/>
          <w:szCs w:val="22"/>
        </w:rPr>
        <w:t>3d</w:t>
      </w:r>
      <w:r>
        <w:rPr>
          <w:rFonts w:hint="eastAsia" w:ascii="宋体" w:hAnsi="宋体"/>
          <w:bCs/>
          <w:szCs w:val="22"/>
        </w:rPr>
        <w:t>）、可溶性重金属含量依据</w:t>
      </w:r>
      <w:r>
        <w:rPr>
          <w:rFonts w:ascii="宋体" w:hAnsi="宋体"/>
          <w:bCs/>
          <w:szCs w:val="22"/>
        </w:rPr>
        <w:t>GB 18586</w:t>
      </w:r>
      <w:r>
        <w:rPr>
          <w:rFonts w:hint="eastAsia" w:ascii="宋体" w:hAnsi="宋体"/>
          <w:bCs/>
          <w:szCs w:val="22"/>
        </w:rPr>
        <w:t>的规定进行；燃烧性能依据G</w:t>
      </w:r>
      <w:r>
        <w:rPr>
          <w:rFonts w:ascii="宋体" w:hAnsi="宋体"/>
          <w:bCs/>
          <w:szCs w:val="22"/>
        </w:rPr>
        <w:t>B8624</w:t>
      </w:r>
      <w:r>
        <w:rPr>
          <w:rFonts w:hint="eastAsia" w:ascii="宋体" w:hAnsi="宋体"/>
          <w:bCs/>
          <w:szCs w:val="22"/>
        </w:rPr>
        <w:t>的规定进行。</w:t>
      </w:r>
    </w:p>
    <w:p>
      <w:pPr>
        <w:spacing w:line="300" w:lineRule="auto"/>
        <w:rPr>
          <w:rFonts w:ascii="宋体" w:hAnsi="宋体"/>
          <w:bCs/>
          <w:szCs w:val="22"/>
        </w:rPr>
      </w:pPr>
      <w:r>
        <w:rPr>
          <w:rFonts w:ascii="宋体" w:hAnsi="宋体"/>
          <w:bCs/>
          <w:szCs w:val="22"/>
        </w:rPr>
        <w:t>5.1.3</w:t>
      </w:r>
      <w:r>
        <w:rPr>
          <w:rFonts w:hint="eastAsia" w:ascii="宋体" w:hAnsi="宋体"/>
          <w:bCs/>
          <w:szCs w:val="22"/>
        </w:rPr>
        <w:t>核心指标中耐磨性（体积损失）、残余凹陷、色牢度、加热翘曲分别依据GB∕T 34440、</w:t>
      </w:r>
      <w:r>
        <w:rPr>
          <w:rFonts w:ascii="宋体" w:hAnsi="宋体"/>
          <w:bCs/>
          <w:szCs w:val="22"/>
        </w:rPr>
        <w:t>GB/T 4085</w:t>
      </w:r>
      <w:r>
        <w:rPr>
          <w:rFonts w:hint="eastAsia" w:ascii="宋体" w:hAnsi="宋体"/>
          <w:bCs/>
          <w:szCs w:val="22"/>
        </w:rPr>
        <w:t>、GB∕T 11982.1、GB∕T 11982.2的规定进行。</w:t>
      </w:r>
    </w:p>
    <w:p>
      <w:pPr>
        <w:spacing w:line="300" w:lineRule="auto"/>
        <w:rPr>
          <w:rFonts w:ascii="宋体" w:hAnsi="宋体"/>
          <w:bCs/>
          <w:szCs w:val="22"/>
        </w:rPr>
      </w:pPr>
      <w:r>
        <w:rPr>
          <w:rFonts w:ascii="宋体" w:hAnsi="宋体"/>
          <w:bCs/>
          <w:szCs w:val="22"/>
        </w:rPr>
        <w:t>5.1.</w:t>
      </w:r>
      <w:bookmarkStart w:id="77" w:name="_Hlk44345036"/>
      <w:r>
        <w:rPr>
          <w:rFonts w:ascii="宋体" w:hAnsi="宋体"/>
          <w:bCs/>
          <w:szCs w:val="22"/>
        </w:rPr>
        <w:t>4</w:t>
      </w:r>
      <w:r>
        <w:rPr>
          <w:rFonts w:hint="eastAsia" w:ascii="宋体" w:hAnsi="宋体"/>
          <w:bCs/>
          <w:szCs w:val="22"/>
        </w:rPr>
        <w:t>创新性指标中产品生命周期环境影响依据GB/T 24025的规定进行，发泡剂、稳定剂和阻燃剂分别提供证明材料。</w:t>
      </w:r>
    </w:p>
    <w:p>
      <w:pPr>
        <w:pStyle w:val="37"/>
        <w:spacing w:before="156" w:after="156"/>
        <w:rPr>
          <w:rFonts w:hAnsi="黑体"/>
        </w:rPr>
      </w:pPr>
      <w:r>
        <w:rPr>
          <w:rFonts w:hAnsi="黑体"/>
        </w:rPr>
        <w:t>5.2</w:t>
      </w:r>
      <w:r>
        <w:rPr>
          <w:rFonts w:hint="eastAsia" w:hAnsi="黑体"/>
        </w:rPr>
        <w:t>等级划分</w:t>
      </w:r>
    </w:p>
    <w:p>
      <w:pPr>
        <w:pStyle w:val="27"/>
        <w:rPr>
          <w:rFonts w:ascii="Times New Roman" w:hAnsi="Times New Roman" w:eastAsia="宋体" w:cs="Times New Roman"/>
          <w:kern w:val="0"/>
          <w:szCs w:val="21"/>
        </w:rPr>
      </w:pPr>
      <w:r>
        <w:rPr>
          <w:rFonts w:ascii="Times New Roman" w:hAnsi="Times New Roman" w:eastAsia="宋体" w:cs="Times New Roman"/>
          <w:kern w:val="0"/>
          <w:szCs w:val="21"/>
        </w:rPr>
        <w:t>评价结果划分为一级、二级和三级，各等级所对应的划分依据见表2。达到三级要求及以上的企业标准并按照有关要求进行自我声明公开后均可进入聚氯乙烯弹性地板企业标准排行榜。达到一级要求的企业标准，且按照有关要求进行自我声明公开后，其标准和符合标准的产品或服务可以直接进入聚氯乙烯弹性地板企业标准“领跑者”候选名单。</w:t>
      </w:r>
    </w:p>
    <w:p>
      <w:pPr>
        <w:pStyle w:val="27"/>
        <w:jc w:val="center"/>
        <w:rPr>
          <w:rFonts w:ascii="Times New Roman" w:hAnsi="Times New Roman" w:eastAsia="宋体" w:cs="Times New Roman"/>
          <w:kern w:val="0"/>
          <w:szCs w:val="21"/>
        </w:rPr>
      </w:pPr>
      <w:r>
        <w:rPr>
          <w:rFonts w:ascii="Times New Roman" w:hAnsi="Times New Roman" w:eastAsia="宋体" w:cs="Times New Roman"/>
          <w:kern w:val="0"/>
          <w:szCs w:val="21"/>
        </w:rPr>
        <w:t>表2 指标评价要求及等级划分</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96"/>
        <w:gridCol w:w="1418"/>
        <w:gridCol w:w="1417"/>
        <w:gridCol w:w="2268"/>
        <w:gridCol w:w="25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6" w:type="dxa"/>
            <w:vAlign w:val="center"/>
          </w:tcPr>
          <w:p>
            <w:pPr>
              <w:pStyle w:val="27"/>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评价等级</w:t>
            </w:r>
          </w:p>
        </w:tc>
        <w:tc>
          <w:tcPr>
            <w:tcW w:w="7648" w:type="dxa"/>
            <w:gridSpan w:val="4"/>
            <w:vAlign w:val="center"/>
          </w:tcPr>
          <w:p>
            <w:pPr>
              <w:pStyle w:val="27"/>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满足条件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6" w:type="dxa"/>
            <w:vAlign w:val="center"/>
          </w:tcPr>
          <w:p>
            <w:pPr>
              <w:pStyle w:val="27"/>
              <w:ind w:firstLine="0" w:firstLineChars="0"/>
              <w:jc w:val="center"/>
              <w:rPr>
                <w:rFonts w:hAnsi="宋体" w:eastAsia="宋体" w:cs="Times New Roman"/>
                <w:kern w:val="0"/>
                <w:sz w:val="20"/>
                <w:szCs w:val="21"/>
              </w:rPr>
            </w:pPr>
            <w:r>
              <w:rPr>
                <w:rFonts w:hint="eastAsia" w:hAnsi="宋体" w:eastAsia="宋体" w:cs="Times New Roman"/>
                <w:kern w:val="0"/>
                <w:sz w:val="20"/>
                <w:szCs w:val="21"/>
              </w:rPr>
              <w:t>一级应同时满足</w:t>
            </w:r>
          </w:p>
        </w:tc>
        <w:tc>
          <w:tcPr>
            <w:tcW w:w="1418" w:type="dxa"/>
            <w:vMerge w:val="restart"/>
            <w:vAlign w:val="center"/>
          </w:tcPr>
          <w:p>
            <w:pPr>
              <w:pStyle w:val="27"/>
              <w:ind w:firstLine="0" w:firstLineChars="0"/>
              <w:jc w:val="center"/>
              <w:rPr>
                <w:rFonts w:hAnsi="宋体" w:eastAsia="宋体" w:cs="Times New Roman"/>
                <w:kern w:val="0"/>
                <w:sz w:val="20"/>
                <w:szCs w:val="21"/>
              </w:rPr>
            </w:pPr>
            <w:r>
              <w:rPr>
                <w:rFonts w:hint="eastAsia" w:hAnsi="宋体" w:eastAsia="宋体" w:cs="Times New Roman"/>
                <w:kern w:val="0"/>
                <w:sz w:val="20"/>
                <w:szCs w:val="21"/>
              </w:rPr>
              <w:t>基本要求</w:t>
            </w:r>
          </w:p>
        </w:tc>
        <w:tc>
          <w:tcPr>
            <w:tcW w:w="1417" w:type="dxa"/>
            <w:vMerge w:val="restart"/>
            <w:vAlign w:val="center"/>
          </w:tcPr>
          <w:p>
            <w:pPr>
              <w:pStyle w:val="27"/>
              <w:ind w:firstLine="0" w:firstLineChars="0"/>
              <w:jc w:val="center"/>
              <w:rPr>
                <w:rFonts w:hAnsi="宋体" w:eastAsia="宋体" w:cs="Times New Roman"/>
                <w:kern w:val="0"/>
                <w:sz w:val="20"/>
                <w:szCs w:val="21"/>
              </w:rPr>
            </w:pPr>
            <w:r>
              <w:rPr>
                <w:rFonts w:hint="eastAsia" w:hAnsi="宋体" w:eastAsia="宋体" w:cs="Times New Roman"/>
                <w:kern w:val="0"/>
                <w:sz w:val="20"/>
                <w:szCs w:val="21"/>
              </w:rPr>
              <w:t>基础指标要求</w:t>
            </w:r>
          </w:p>
        </w:tc>
        <w:tc>
          <w:tcPr>
            <w:tcW w:w="2268" w:type="dxa"/>
            <w:vAlign w:val="center"/>
          </w:tcPr>
          <w:p>
            <w:pPr>
              <w:pStyle w:val="27"/>
              <w:ind w:firstLine="0" w:firstLineChars="0"/>
              <w:jc w:val="center"/>
              <w:rPr>
                <w:rFonts w:hAnsi="宋体" w:eastAsia="宋体" w:cs="Times New Roman"/>
                <w:kern w:val="0"/>
                <w:sz w:val="20"/>
                <w:szCs w:val="21"/>
              </w:rPr>
            </w:pPr>
            <w:r>
              <w:rPr>
                <w:rFonts w:hint="eastAsia" w:hAnsi="宋体" w:eastAsia="宋体" w:cs="Times New Roman"/>
                <w:kern w:val="0"/>
                <w:sz w:val="20"/>
                <w:szCs w:val="21"/>
              </w:rPr>
              <w:t>核心指标先进水平要求</w:t>
            </w:r>
          </w:p>
        </w:tc>
        <w:tc>
          <w:tcPr>
            <w:tcW w:w="2545" w:type="dxa"/>
            <w:vAlign w:val="center"/>
          </w:tcPr>
          <w:p>
            <w:pPr>
              <w:pStyle w:val="27"/>
              <w:ind w:firstLine="0" w:firstLineChars="0"/>
              <w:jc w:val="center"/>
              <w:rPr>
                <w:rFonts w:hAnsi="宋体" w:eastAsia="宋体" w:cs="Times New Roman"/>
                <w:kern w:val="0"/>
                <w:sz w:val="20"/>
                <w:szCs w:val="21"/>
              </w:rPr>
            </w:pPr>
            <w:r>
              <w:rPr>
                <w:rFonts w:hint="eastAsia" w:hAnsi="宋体" w:eastAsia="宋体" w:cs="Times New Roman"/>
                <w:kern w:val="0"/>
                <w:sz w:val="20"/>
                <w:szCs w:val="21"/>
              </w:rPr>
              <w:t>创新性指标要求（可选）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6" w:type="dxa"/>
            <w:vAlign w:val="center"/>
          </w:tcPr>
          <w:p>
            <w:pPr>
              <w:pStyle w:val="27"/>
              <w:ind w:firstLine="0" w:firstLineChars="0"/>
              <w:jc w:val="center"/>
              <w:rPr>
                <w:rFonts w:hAnsi="宋体" w:eastAsia="宋体" w:cs="Times New Roman"/>
                <w:kern w:val="0"/>
                <w:sz w:val="20"/>
                <w:szCs w:val="21"/>
              </w:rPr>
            </w:pPr>
            <w:r>
              <w:rPr>
                <w:rFonts w:hint="eastAsia" w:hAnsi="宋体" w:eastAsia="宋体" w:cs="Times New Roman"/>
                <w:kern w:val="0"/>
                <w:sz w:val="20"/>
                <w:szCs w:val="21"/>
              </w:rPr>
              <w:t>二级应同时满足</w:t>
            </w:r>
          </w:p>
        </w:tc>
        <w:tc>
          <w:tcPr>
            <w:tcW w:w="1418" w:type="dxa"/>
            <w:vMerge w:val="continue"/>
            <w:vAlign w:val="center"/>
          </w:tcPr>
          <w:p>
            <w:pPr>
              <w:pStyle w:val="27"/>
              <w:ind w:firstLine="0" w:firstLineChars="0"/>
              <w:jc w:val="center"/>
              <w:rPr>
                <w:rFonts w:hAnsi="宋体" w:eastAsia="宋体" w:cs="Times New Roman"/>
                <w:kern w:val="0"/>
                <w:sz w:val="20"/>
                <w:szCs w:val="21"/>
              </w:rPr>
            </w:pPr>
          </w:p>
        </w:tc>
        <w:tc>
          <w:tcPr>
            <w:tcW w:w="1417" w:type="dxa"/>
            <w:vMerge w:val="continue"/>
            <w:vAlign w:val="center"/>
          </w:tcPr>
          <w:p>
            <w:pPr>
              <w:pStyle w:val="27"/>
              <w:ind w:firstLine="0" w:firstLineChars="0"/>
              <w:jc w:val="center"/>
              <w:rPr>
                <w:rFonts w:hAnsi="宋体" w:eastAsia="宋体" w:cs="Times New Roman"/>
                <w:kern w:val="0"/>
                <w:sz w:val="20"/>
                <w:szCs w:val="21"/>
              </w:rPr>
            </w:pPr>
          </w:p>
        </w:tc>
        <w:tc>
          <w:tcPr>
            <w:tcW w:w="2268" w:type="dxa"/>
            <w:vAlign w:val="center"/>
          </w:tcPr>
          <w:p>
            <w:pPr>
              <w:pStyle w:val="27"/>
              <w:ind w:firstLine="0" w:firstLineChars="0"/>
              <w:jc w:val="center"/>
              <w:rPr>
                <w:rFonts w:hAnsi="宋体" w:eastAsia="宋体" w:cs="Times New Roman"/>
                <w:kern w:val="0"/>
                <w:sz w:val="20"/>
                <w:szCs w:val="21"/>
              </w:rPr>
            </w:pPr>
            <w:r>
              <w:rPr>
                <w:rFonts w:hint="eastAsia" w:hAnsi="宋体" w:eastAsia="宋体" w:cs="Times New Roman"/>
                <w:kern w:val="0"/>
                <w:sz w:val="20"/>
                <w:szCs w:val="21"/>
              </w:rPr>
              <w:t>核心指标平均水平要求</w:t>
            </w:r>
          </w:p>
        </w:tc>
        <w:tc>
          <w:tcPr>
            <w:tcW w:w="2545" w:type="dxa"/>
            <w:vAlign w:val="center"/>
          </w:tcPr>
          <w:p>
            <w:pPr>
              <w:pStyle w:val="27"/>
              <w:ind w:firstLine="0" w:firstLineChars="0"/>
              <w:jc w:val="center"/>
              <w:rPr>
                <w:rFonts w:hAnsi="宋体" w:eastAsia="宋体" w:cs="Times New Roman"/>
                <w:kern w:val="0"/>
                <w:sz w:val="20"/>
                <w:szCs w:val="21"/>
              </w:rPr>
            </w:pPr>
            <w:r>
              <w:rPr>
                <w:rFonts w:hint="eastAsia" w:hAnsi="宋体" w:eastAsia="宋体" w:cs="Times New Roman"/>
                <w:kern w:val="0"/>
                <w:sz w:val="20"/>
                <w:szCs w:val="21"/>
              </w:rPr>
              <w:t>创新性指标要求（可选）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6" w:type="dxa"/>
            <w:vAlign w:val="center"/>
          </w:tcPr>
          <w:p>
            <w:pPr>
              <w:pStyle w:val="27"/>
              <w:ind w:firstLine="0" w:firstLineChars="0"/>
              <w:jc w:val="center"/>
              <w:rPr>
                <w:rFonts w:hAnsi="宋体" w:eastAsia="宋体" w:cs="Times New Roman"/>
                <w:kern w:val="0"/>
                <w:sz w:val="20"/>
                <w:szCs w:val="21"/>
              </w:rPr>
            </w:pPr>
            <w:r>
              <w:rPr>
                <w:rFonts w:hint="eastAsia" w:hAnsi="宋体" w:eastAsia="宋体" w:cs="Times New Roman"/>
                <w:kern w:val="0"/>
                <w:sz w:val="20"/>
                <w:szCs w:val="21"/>
              </w:rPr>
              <w:t>三级应同时满足</w:t>
            </w:r>
          </w:p>
        </w:tc>
        <w:tc>
          <w:tcPr>
            <w:tcW w:w="1418" w:type="dxa"/>
            <w:vMerge w:val="continue"/>
            <w:vAlign w:val="center"/>
          </w:tcPr>
          <w:p>
            <w:pPr>
              <w:pStyle w:val="27"/>
              <w:ind w:firstLine="0" w:firstLineChars="0"/>
              <w:jc w:val="center"/>
              <w:rPr>
                <w:rFonts w:hAnsi="宋体" w:eastAsia="宋体" w:cs="Times New Roman"/>
                <w:kern w:val="0"/>
                <w:sz w:val="20"/>
                <w:szCs w:val="21"/>
              </w:rPr>
            </w:pPr>
          </w:p>
        </w:tc>
        <w:tc>
          <w:tcPr>
            <w:tcW w:w="1417" w:type="dxa"/>
            <w:vMerge w:val="continue"/>
            <w:vAlign w:val="center"/>
          </w:tcPr>
          <w:p>
            <w:pPr>
              <w:pStyle w:val="27"/>
              <w:ind w:firstLine="0" w:firstLineChars="0"/>
              <w:jc w:val="center"/>
              <w:rPr>
                <w:rFonts w:hAnsi="宋体" w:eastAsia="宋体" w:cs="Times New Roman"/>
                <w:kern w:val="0"/>
                <w:sz w:val="20"/>
                <w:szCs w:val="21"/>
              </w:rPr>
            </w:pPr>
          </w:p>
        </w:tc>
        <w:tc>
          <w:tcPr>
            <w:tcW w:w="2268" w:type="dxa"/>
            <w:vAlign w:val="center"/>
          </w:tcPr>
          <w:p>
            <w:pPr>
              <w:pStyle w:val="27"/>
              <w:ind w:firstLine="0" w:firstLineChars="0"/>
              <w:jc w:val="center"/>
              <w:rPr>
                <w:rFonts w:hAnsi="宋体" w:eastAsia="宋体" w:cs="Times New Roman"/>
                <w:kern w:val="0"/>
                <w:sz w:val="20"/>
                <w:szCs w:val="21"/>
              </w:rPr>
            </w:pPr>
            <w:r>
              <w:rPr>
                <w:rFonts w:hint="eastAsia" w:hAnsi="宋体" w:eastAsia="宋体" w:cs="Times New Roman"/>
                <w:kern w:val="0"/>
                <w:sz w:val="20"/>
                <w:szCs w:val="21"/>
              </w:rPr>
              <w:t>核心指标基准水平要求</w:t>
            </w:r>
          </w:p>
        </w:tc>
        <w:tc>
          <w:tcPr>
            <w:tcW w:w="2545" w:type="dxa"/>
            <w:vAlign w:val="center"/>
          </w:tcPr>
          <w:p>
            <w:pPr>
              <w:pStyle w:val="27"/>
              <w:ind w:firstLine="0" w:firstLineChars="0"/>
              <w:jc w:val="center"/>
              <w:rPr>
                <w:rFonts w:hAnsi="宋体" w:eastAsia="宋体" w:cs="Times New Roman"/>
                <w:kern w:val="0"/>
                <w:sz w:val="20"/>
                <w:szCs w:val="21"/>
              </w:rPr>
            </w:pPr>
            <w:r>
              <w:rPr>
                <w:rFonts w:hint="eastAsia" w:hAnsi="宋体" w:eastAsia="宋体" w:cs="Times New Roman"/>
                <w:kern w:val="0"/>
                <w:sz w:val="20"/>
                <w:szCs w:val="21"/>
              </w:rPr>
              <w:t>——</w:t>
            </w:r>
          </w:p>
        </w:tc>
      </w:tr>
      <w:bookmarkEnd w:id="77"/>
    </w:tbl>
    <w:p>
      <w:pPr>
        <w:widowControl/>
        <w:tabs>
          <w:tab w:val="center" w:pos="4201"/>
          <w:tab w:val="right" w:leader="dot" w:pos="9298"/>
        </w:tabs>
        <w:autoSpaceDE w:val="0"/>
        <w:autoSpaceDN w:val="0"/>
        <w:rPr>
          <w:kern w:val="0"/>
          <w:szCs w:val="20"/>
        </w:rPr>
        <w:sectPr>
          <w:pgSz w:w="11906" w:h="16838"/>
          <w:pgMar w:top="1402" w:right="1134" w:bottom="1134" w:left="1418" w:header="1418" w:footer="1134" w:gutter="0"/>
          <w:pgNumType w:start="1"/>
          <w:cols w:space="720" w:num="1"/>
          <w:formProt w:val="0"/>
          <w:docGrid w:type="lines" w:linePitch="312" w:charSpace="0"/>
        </w:sectPr>
      </w:pPr>
      <w:r>
        <w:rPr>
          <w:kern w:val="0"/>
          <w:szCs w:val="20"/>
        </w:rPr>
        <w:pict>
          <v:line id="Line 5" o:spid="_x0000_s1043" o:spt="20" style="position:absolute;left:0pt;flip:y;margin-left:168.85pt;margin-top:201.5pt;height:0pt;width:111.9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">
            <v:path arrowok="t"/>
            <v:fill focussize="0,0"/>
            <v:stroke/>
            <v:imagedata o:title=""/>
            <o:lock v:ext="edit"/>
          </v:line>
        </w:pict>
      </w:r>
    </w:p>
    <w:bookmarkEnd w:id="70"/>
    <w:bookmarkEnd w:id="71"/>
    <w:bookmarkEnd w:id="72"/>
    <w:bookmarkEnd w:id="73"/>
    <w:bookmarkEnd w:id="74"/>
    <w:bookmarkEnd w:id="7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rPr>
        <w:rFonts w:ascii="黑体" w:hAnsi="黑体" w:eastAsia="黑体" w:cs="宋体"/>
        <w:color w:val="000000" w:themeColor="text1"/>
        <w:kern w:val="0"/>
        <w:sz w:val="21"/>
        <w:szCs w:val="21"/>
      </w:rPr>
    </w:pPr>
    <w:r>
      <w:rPr>
        <w:rFonts w:ascii="黑体" w:hAnsi="黑体" w:eastAsia="黑体"/>
        <w:color w:val="000000" w:themeColor="text1"/>
        <w:sz w:val="21"/>
        <w:szCs w:val="21"/>
      </w:rPr>
      <w:t>T/CAB  00XX—20XX</w:t>
    </w:r>
  </w:p>
  <w:p>
    <w:pPr>
      <w:pStyle w:val="11"/>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T/</w:t>
    </w:r>
    <w:r>
      <w:rPr>
        <w:rFonts w:hint="eastAsia"/>
      </w:rPr>
      <w:t>CBMFXX</w:t>
    </w:r>
    <w:r>
      <w:t>-</w:t>
    </w:r>
    <w:r>
      <w:rPr>
        <w:rFonts w:hint="eastAsia"/>
        <w:color w:val="000000" w:themeColor="text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06EC8"/>
    <w:multiLevelType w:val="multilevel"/>
    <w:tmpl w:val="79906E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5733"/>
    <w:rsid w:val="000043B5"/>
    <w:rsid w:val="00020784"/>
    <w:rsid w:val="00021E5D"/>
    <w:rsid w:val="00037E52"/>
    <w:rsid w:val="000571F3"/>
    <w:rsid w:val="0008520A"/>
    <w:rsid w:val="00087735"/>
    <w:rsid w:val="000A410C"/>
    <w:rsid w:val="000C63DE"/>
    <w:rsid w:val="000E1CCB"/>
    <w:rsid w:val="00117C34"/>
    <w:rsid w:val="0012519C"/>
    <w:rsid w:val="001424C5"/>
    <w:rsid w:val="001658BC"/>
    <w:rsid w:val="001F662B"/>
    <w:rsid w:val="0024246B"/>
    <w:rsid w:val="0025341C"/>
    <w:rsid w:val="00254400"/>
    <w:rsid w:val="00255C8F"/>
    <w:rsid w:val="00293C63"/>
    <w:rsid w:val="002A5A1D"/>
    <w:rsid w:val="002B61FB"/>
    <w:rsid w:val="002B77A6"/>
    <w:rsid w:val="002C16A7"/>
    <w:rsid w:val="002D112D"/>
    <w:rsid w:val="00326B14"/>
    <w:rsid w:val="00334A14"/>
    <w:rsid w:val="00340B7C"/>
    <w:rsid w:val="003601E7"/>
    <w:rsid w:val="003628EA"/>
    <w:rsid w:val="00391FA9"/>
    <w:rsid w:val="00397612"/>
    <w:rsid w:val="003D6416"/>
    <w:rsid w:val="003E25CC"/>
    <w:rsid w:val="00427FC9"/>
    <w:rsid w:val="00455EC5"/>
    <w:rsid w:val="00474C34"/>
    <w:rsid w:val="00481DB5"/>
    <w:rsid w:val="0048288A"/>
    <w:rsid w:val="004942F8"/>
    <w:rsid w:val="004A5D9C"/>
    <w:rsid w:val="004C46EA"/>
    <w:rsid w:val="004F29B8"/>
    <w:rsid w:val="004F535D"/>
    <w:rsid w:val="00503821"/>
    <w:rsid w:val="00550A4E"/>
    <w:rsid w:val="0057065A"/>
    <w:rsid w:val="00580547"/>
    <w:rsid w:val="005819EC"/>
    <w:rsid w:val="005858C7"/>
    <w:rsid w:val="005A26EE"/>
    <w:rsid w:val="005D3252"/>
    <w:rsid w:val="005D69CA"/>
    <w:rsid w:val="005E5E81"/>
    <w:rsid w:val="005F23D7"/>
    <w:rsid w:val="005F7E62"/>
    <w:rsid w:val="00611C7D"/>
    <w:rsid w:val="00692365"/>
    <w:rsid w:val="006946DC"/>
    <w:rsid w:val="00696AE7"/>
    <w:rsid w:val="006B0CD9"/>
    <w:rsid w:val="006B309E"/>
    <w:rsid w:val="006F6304"/>
    <w:rsid w:val="007101F6"/>
    <w:rsid w:val="007516CC"/>
    <w:rsid w:val="007C7BC3"/>
    <w:rsid w:val="00832332"/>
    <w:rsid w:val="00840C73"/>
    <w:rsid w:val="0084763F"/>
    <w:rsid w:val="00866CD9"/>
    <w:rsid w:val="00875A3C"/>
    <w:rsid w:val="008A4C5B"/>
    <w:rsid w:val="008B2482"/>
    <w:rsid w:val="008B2804"/>
    <w:rsid w:val="008C0A00"/>
    <w:rsid w:val="008F659F"/>
    <w:rsid w:val="00913D87"/>
    <w:rsid w:val="00935C41"/>
    <w:rsid w:val="00987A9F"/>
    <w:rsid w:val="009B01BF"/>
    <w:rsid w:val="009C1CE0"/>
    <w:rsid w:val="009C5534"/>
    <w:rsid w:val="009F4BE2"/>
    <w:rsid w:val="00A11B55"/>
    <w:rsid w:val="00A24861"/>
    <w:rsid w:val="00A51E1D"/>
    <w:rsid w:val="00A716E3"/>
    <w:rsid w:val="00A73C42"/>
    <w:rsid w:val="00A838F2"/>
    <w:rsid w:val="00AC285B"/>
    <w:rsid w:val="00AD65A0"/>
    <w:rsid w:val="00AD69EC"/>
    <w:rsid w:val="00AE2879"/>
    <w:rsid w:val="00AE5EC0"/>
    <w:rsid w:val="00B018F1"/>
    <w:rsid w:val="00B01F46"/>
    <w:rsid w:val="00B240FE"/>
    <w:rsid w:val="00B337C6"/>
    <w:rsid w:val="00BC25A1"/>
    <w:rsid w:val="00BD3893"/>
    <w:rsid w:val="00BF3E33"/>
    <w:rsid w:val="00C06E8E"/>
    <w:rsid w:val="00C665CA"/>
    <w:rsid w:val="00C75B18"/>
    <w:rsid w:val="00C95733"/>
    <w:rsid w:val="00C9717E"/>
    <w:rsid w:val="00CA30F5"/>
    <w:rsid w:val="00CC3B18"/>
    <w:rsid w:val="00CE1B67"/>
    <w:rsid w:val="00CE719E"/>
    <w:rsid w:val="00D15AEB"/>
    <w:rsid w:val="00D21669"/>
    <w:rsid w:val="00D356E8"/>
    <w:rsid w:val="00D45A76"/>
    <w:rsid w:val="00D74B16"/>
    <w:rsid w:val="00D8032C"/>
    <w:rsid w:val="00D925E3"/>
    <w:rsid w:val="00DA6085"/>
    <w:rsid w:val="00DD22B0"/>
    <w:rsid w:val="00DD2F00"/>
    <w:rsid w:val="00DD4ECA"/>
    <w:rsid w:val="00DE040C"/>
    <w:rsid w:val="00DF7E3A"/>
    <w:rsid w:val="00E01727"/>
    <w:rsid w:val="00E10EA4"/>
    <w:rsid w:val="00E22431"/>
    <w:rsid w:val="00E57376"/>
    <w:rsid w:val="00E67286"/>
    <w:rsid w:val="00E82874"/>
    <w:rsid w:val="00E87C68"/>
    <w:rsid w:val="00EA5A7C"/>
    <w:rsid w:val="00ED3373"/>
    <w:rsid w:val="00F209D9"/>
    <w:rsid w:val="00F35484"/>
    <w:rsid w:val="00F4618A"/>
    <w:rsid w:val="00F56DA4"/>
    <w:rsid w:val="00F84441"/>
    <w:rsid w:val="00FA0656"/>
    <w:rsid w:val="00FC15CE"/>
    <w:rsid w:val="51CC38A6"/>
    <w:rsid w:val="59EA3CB1"/>
    <w:rsid w:val="5A365165"/>
    <w:rsid w:val="5BF94E4F"/>
    <w:rsid w:val="67FE70BF"/>
    <w:rsid w:val="6BB57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2"/>
        <o:r id="V:Rule2" type="connector" idref="#_x0000_s207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6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9"/>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55"/>
    <w:qFormat/>
    <w:uiPriority w:val="0"/>
    <w:rPr>
      <w:rFonts w:ascii="宋体"/>
      <w:sz w:val="18"/>
      <w:szCs w:val="18"/>
    </w:rPr>
  </w:style>
  <w:style w:type="paragraph" w:styleId="5">
    <w:name w:val="annotation text"/>
    <w:basedOn w:val="1"/>
    <w:link w:val="57"/>
    <w:qFormat/>
    <w:uiPriority w:val="0"/>
    <w:pPr>
      <w:jc w:val="left"/>
    </w:pPr>
  </w:style>
  <w:style w:type="paragraph" w:styleId="6">
    <w:name w:val="Body Text"/>
    <w:basedOn w:val="1"/>
    <w:link w:val="61"/>
    <w:uiPriority w:val="0"/>
    <w:pPr>
      <w:ind w:left="116"/>
    </w:pPr>
    <w:rPr>
      <w:rFonts w:ascii="宋体" w:hAnsi="宋体"/>
      <w:szCs w:val="21"/>
    </w:rPr>
  </w:style>
  <w:style w:type="paragraph" w:styleId="7">
    <w:name w:val="Plain Text"/>
    <w:basedOn w:val="1"/>
    <w:link w:val="20"/>
    <w:qFormat/>
    <w:uiPriority w:val="0"/>
    <w:rPr>
      <w:rFonts w:ascii="宋体" w:hAnsi="Courier New" w:eastAsiaTheme="minorEastAsia" w:cstheme="minorBidi"/>
      <w:szCs w:val="21"/>
    </w:rPr>
  </w:style>
  <w:style w:type="paragraph" w:styleId="8">
    <w:name w:val="Date"/>
    <w:basedOn w:val="1"/>
    <w:next w:val="1"/>
    <w:link w:val="51"/>
    <w:qFormat/>
    <w:uiPriority w:val="0"/>
    <w:pPr>
      <w:ind w:left="100" w:leftChars="2500"/>
    </w:pPr>
  </w:style>
  <w:style w:type="paragraph" w:styleId="9">
    <w:name w:val="Balloon Text"/>
    <w:basedOn w:val="1"/>
    <w:link w:val="56"/>
    <w:qFormat/>
    <w:uiPriority w:val="0"/>
    <w:rPr>
      <w:sz w:val="18"/>
      <w:szCs w:val="18"/>
    </w:rPr>
  </w:style>
  <w:style w:type="paragraph" w:styleId="10">
    <w:name w:val="footer"/>
    <w:basedOn w:val="1"/>
    <w:link w:val="45"/>
    <w:uiPriority w:val="99"/>
    <w:pPr>
      <w:tabs>
        <w:tab w:val="center" w:pos="4153"/>
        <w:tab w:val="right" w:pos="8306"/>
      </w:tabs>
      <w:snapToGrid w:val="0"/>
      <w:jc w:val="left"/>
    </w:pPr>
    <w:rPr>
      <w:sz w:val="18"/>
      <w:szCs w:val="18"/>
    </w:rPr>
  </w:style>
  <w:style w:type="paragraph" w:styleId="11">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58"/>
    <w:qFormat/>
    <w:uiPriority w:val="0"/>
    <w:rPr>
      <w:b/>
      <w:bCs/>
    </w:rPr>
  </w:style>
  <w:style w:type="table" w:styleId="14">
    <w:name w:val="Table Grid"/>
    <w:basedOn w:val="13"/>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qFormat/>
    <w:uiPriority w:val="20"/>
    <w:rPr>
      <w:i/>
      <w:iCs/>
    </w:rPr>
  </w:style>
  <w:style w:type="character" w:styleId="17">
    <w:name w:val="Hyperlink"/>
    <w:unhideWhenUsed/>
    <w:qFormat/>
    <w:uiPriority w:val="99"/>
    <w:rPr>
      <w:color w:val="0000FF"/>
      <w:u w:val="single"/>
    </w:rPr>
  </w:style>
  <w:style w:type="character" w:styleId="18">
    <w:name w:val="annotation reference"/>
    <w:qFormat/>
    <w:uiPriority w:val="0"/>
    <w:rPr>
      <w:sz w:val="21"/>
      <w:szCs w:val="21"/>
    </w:rPr>
  </w:style>
  <w:style w:type="character" w:customStyle="1" w:styleId="19">
    <w:name w:val="标题 3 Char"/>
    <w:basedOn w:val="15"/>
    <w:link w:val="3"/>
    <w:qFormat/>
    <w:uiPriority w:val="9"/>
    <w:rPr>
      <w:rFonts w:ascii="宋体" w:hAnsi="宋体" w:eastAsia="宋体" w:cs="Times New Roman"/>
      <w:b/>
      <w:bCs/>
      <w:kern w:val="0"/>
      <w:sz w:val="27"/>
      <w:szCs w:val="27"/>
    </w:rPr>
  </w:style>
  <w:style w:type="character" w:customStyle="1" w:styleId="20">
    <w:name w:val="纯文本 Char"/>
    <w:link w:val="7"/>
    <w:qFormat/>
    <w:locked/>
    <w:uiPriority w:val="0"/>
    <w:rPr>
      <w:rFonts w:ascii="宋体" w:hAnsi="Courier New"/>
      <w:szCs w:val="21"/>
    </w:rPr>
  </w:style>
  <w:style w:type="character" w:customStyle="1" w:styleId="21">
    <w:name w:val="纯文本 字符1"/>
    <w:basedOn w:val="15"/>
    <w:semiHidden/>
    <w:qFormat/>
    <w:uiPriority w:val="99"/>
    <w:rPr>
      <w:rFonts w:hAnsi="Courier New" w:cs="Courier New" w:asciiTheme="minorEastAsia"/>
      <w:szCs w:val="24"/>
    </w:rPr>
  </w:style>
  <w:style w:type="character" w:customStyle="1" w:styleId="22">
    <w:name w:val="纯文本 Char1"/>
    <w:basedOn w:val="15"/>
    <w:semiHidden/>
    <w:qFormat/>
    <w:uiPriority w:val="99"/>
    <w:rPr>
      <w:rFonts w:ascii="宋体" w:hAnsi="Courier New" w:eastAsia="宋体" w:cs="Courier New"/>
      <w:szCs w:val="21"/>
    </w:rPr>
  </w:style>
  <w:style w:type="paragraph" w:customStyle="1" w:styleId="2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2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character" w:customStyle="1" w:styleId="25">
    <w:name w:val="发布"/>
    <w:qFormat/>
    <w:uiPriority w:val="0"/>
    <w:rPr>
      <w:rFonts w:ascii="黑体" w:eastAsia="黑体"/>
      <w:spacing w:val="85"/>
      <w:w w:val="100"/>
      <w:position w:val="3"/>
      <w:sz w:val="28"/>
      <w:szCs w:val="28"/>
    </w:rPr>
  </w:style>
  <w:style w:type="character" w:customStyle="1" w:styleId="26">
    <w:name w:val="段 Char"/>
    <w:link w:val="27"/>
    <w:qFormat/>
    <w:uiPriority w:val="0"/>
    <w:rPr>
      <w:rFonts w:ascii="宋体"/>
    </w:rPr>
  </w:style>
  <w:style w:type="paragraph" w:customStyle="1" w:styleId="27">
    <w:name w:val="段"/>
    <w:link w:val="26"/>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8">
    <w:name w:val="封面一致性程度标识"/>
    <w:basedOn w:val="1"/>
    <w:qFormat/>
    <w:uiPriority w:val="0"/>
    <w:pPr>
      <w:framePr w:w="9639" w:h="6917" w:hRule="exact" w:wrap="around" w:vAnchor="page" w:hAnchor="page" w:xAlign="center" w:y="6408" w:anchorLock="1"/>
      <w:spacing w:before="440" w:line="400" w:lineRule="exact"/>
      <w:jc w:val="center"/>
      <w:textAlignment w:val="center"/>
    </w:pPr>
    <w:rPr>
      <w:rFonts w:ascii="宋体"/>
      <w:kern w:val="0"/>
      <w:sz w:val="28"/>
      <w:szCs w:val="28"/>
    </w:rPr>
  </w:style>
  <w:style w:type="paragraph" w:customStyle="1" w:styleId="29">
    <w:name w:val="封面标准文稿编辑信息"/>
    <w:basedOn w:val="30"/>
    <w:qFormat/>
    <w:uiPriority w:val="0"/>
    <w:pPr>
      <w:framePr w:wrap="around"/>
      <w:spacing w:before="180" w:line="180" w:lineRule="exact"/>
    </w:pPr>
    <w:rPr>
      <w:sz w:val="21"/>
    </w:rPr>
  </w:style>
  <w:style w:type="paragraph" w:customStyle="1" w:styleId="30">
    <w:name w:val="封面标准文稿类别"/>
    <w:basedOn w:val="28"/>
    <w:qFormat/>
    <w:uiPriority w:val="0"/>
    <w:pPr>
      <w:framePr w:wrap="around"/>
      <w:spacing w:after="160" w:line="240" w:lineRule="auto"/>
    </w:pPr>
    <w:rPr>
      <w:sz w:val="24"/>
    </w:rPr>
  </w:style>
  <w:style w:type="paragraph" w:customStyle="1" w:styleId="31">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32">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35">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36">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7">
    <w:name w:val="一级条标题"/>
    <w:next w:val="27"/>
    <w:qFormat/>
    <w:uiPriority w:val="0"/>
    <w:pPr>
      <w:spacing w:beforeLines="50" w:afterLines="50"/>
      <w:outlineLvl w:val="2"/>
    </w:pPr>
    <w:rPr>
      <w:rFonts w:ascii="黑体" w:hAnsi="Times New Roman" w:eastAsia="黑体" w:cs="Times New Roman"/>
      <w:kern w:val="0"/>
      <w:sz w:val="21"/>
      <w:szCs w:val="21"/>
      <w:lang w:val="en-US" w:eastAsia="zh-CN" w:bidi="ar-SA"/>
    </w:rPr>
  </w:style>
  <w:style w:type="paragraph" w:customStyle="1" w:styleId="38">
    <w:name w:val="章标题"/>
    <w:next w:val="27"/>
    <w:qFormat/>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39">
    <w:name w:val="二级条标题"/>
    <w:basedOn w:val="37"/>
    <w:next w:val="27"/>
    <w:qFormat/>
    <w:uiPriority w:val="0"/>
    <w:pPr>
      <w:spacing w:before="50" w:after="50"/>
      <w:outlineLvl w:val="3"/>
    </w:pPr>
  </w:style>
  <w:style w:type="paragraph" w:customStyle="1" w:styleId="40">
    <w:name w:val="三级条标题"/>
    <w:basedOn w:val="39"/>
    <w:next w:val="27"/>
    <w:qFormat/>
    <w:uiPriority w:val="0"/>
    <w:pPr>
      <w:outlineLvl w:val="4"/>
    </w:pPr>
  </w:style>
  <w:style w:type="paragraph" w:customStyle="1" w:styleId="41">
    <w:name w:val="四级条标题"/>
    <w:basedOn w:val="40"/>
    <w:next w:val="27"/>
    <w:qFormat/>
    <w:uiPriority w:val="0"/>
    <w:pPr>
      <w:outlineLvl w:val="5"/>
    </w:pPr>
  </w:style>
  <w:style w:type="paragraph" w:customStyle="1" w:styleId="42">
    <w:name w:val="五级条标题"/>
    <w:basedOn w:val="41"/>
    <w:next w:val="27"/>
    <w:qFormat/>
    <w:uiPriority w:val="0"/>
    <w:pPr>
      <w:outlineLvl w:val="6"/>
    </w:pPr>
  </w:style>
  <w:style w:type="paragraph"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页眉 Char"/>
    <w:basedOn w:val="15"/>
    <w:link w:val="11"/>
    <w:qFormat/>
    <w:uiPriority w:val="0"/>
    <w:rPr>
      <w:rFonts w:ascii="Times New Roman" w:hAnsi="Times New Roman" w:eastAsia="宋体" w:cs="Times New Roman"/>
      <w:sz w:val="18"/>
      <w:szCs w:val="18"/>
    </w:rPr>
  </w:style>
  <w:style w:type="character" w:customStyle="1" w:styleId="45">
    <w:name w:val="页脚 Char"/>
    <w:basedOn w:val="15"/>
    <w:link w:val="10"/>
    <w:qFormat/>
    <w:uiPriority w:val="99"/>
    <w:rPr>
      <w:rFonts w:ascii="Times New Roman" w:hAnsi="Times New Roman" w:eastAsia="宋体" w:cs="Times New Roman"/>
      <w:sz w:val="18"/>
      <w:szCs w:val="18"/>
    </w:rPr>
  </w:style>
  <w:style w:type="paragraph" w:customStyle="1" w:styleId="46">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47">
    <w:name w:val="附录章标题"/>
    <w:next w:val="27"/>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48">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49">
    <w:name w:val="附录标识"/>
    <w:basedOn w:val="1"/>
    <w:next w:val="27"/>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5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51">
    <w:name w:val="日期 Char"/>
    <w:basedOn w:val="15"/>
    <w:link w:val="8"/>
    <w:uiPriority w:val="0"/>
    <w:rPr>
      <w:rFonts w:ascii="Times New Roman" w:hAnsi="Times New Roman" w:eastAsia="宋体" w:cs="Times New Roman"/>
      <w:szCs w:val="24"/>
    </w:rPr>
  </w:style>
  <w:style w:type="character" w:customStyle="1" w:styleId="52">
    <w:name w:val="条文 Char"/>
    <w:link w:val="53"/>
    <w:qFormat/>
    <w:uiPriority w:val="0"/>
    <w:rPr>
      <w:szCs w:val="24"/>
    </w:rPr>
  </w:style>
  <w:style w:type="paragraph" w:customStyle="1" w:styleId="53">
    <w:name w:val="条文"/>
    <w:basedOn w:val="1"/>
    <w:link w:val="52"/>
    <w:qFormat/>
    <w:uiPriority w:val="0"/>
    <w:pPr>
      <w:spacing w:line="300" w:lineRule="auto"/>
      <w:outlineLvl w:val="2"/>
    </w:pPr>
    <w:rPr>
      <w:rFonts w:asciiTheme="minorHAnsi" w:hAnsiTheme="minorHAnsi" w:eastAsiaTheme="minorEastAsia" w:cstheme="minorBidi"/>
    </w:rPr>
  </w:style>
  <w:style w:type="paragraph" w:customStyle="1" w:styleId="54">
    <w:name w:val="图表脚注说明"/>
    <w:basedOn w:val="1"/>
    <w:qFormat/>
    <w:uiPriority w:val="0"/>
    <w:pPr>
      <w:ind w:left="544" w:hanging="181"/>
    </w:pPr>
    <w:rPr>
      <w:rFonts w:ascii="宋体"/>
      <w:sz w:val="18"/>
      <w:szCs w:val="18"/>
    </w:rPr>
  </w:style>
  <w:style w:type="character" w:customStyle="1" w:styleId="55">
    <w:name w:val="文档结构图 Char"/>
    <w:basedOn w:val="15"/>
    <w:link w:val="4"/>
    <w:qFormat/>
    <w:uiPriority w:val="0"/>
    <w:rPr>
      <w:rFonts w:ascii="宋体" w:hAnsi="Times New Roman" w:eastAsia="宋体" w:cs="Times New Roman"/>
      <w:sz w:val="18"/>
      <w:szCs w:val="18"/>
    </w:rPr>
  </w:style>
  <w:style w:type="character" w:customStyle="1" w:styleId="56">
    <w:name w:val="批注框文本 Char"/>
    <w:basedOn w:val="15"/>
    <w:link w:val="9"/>
    <w:qFormat/>
    <w:uiPriority w:val="0"/>
    <w:rPr>
      <w:rFonts w:ascii="Times New Roman" w:hAnsi="Times New Roman" w:eastAsia="宋体" w:cs="Times New Roman"/>
      <w:sz w:val="18"/>
      <w:szCs w:val="18"/>
    </w:rPr>
  </w:style>
  <w:style w:type="character" w:customStyle="1" w:styleId="57">
    <w:name w:val="批注文字 Char"/>
    <w:basedOn w:val="15"/>
    <w:link w:val="5"/>
    <w:qFormat/>
    <w:uiPriority w:val="0"/>
    <w:rPr>
      <w:rFonts w:ascii="Times New Roman" w:hAnsi="Times New Roman" w:eastAsia="宋体" w:cs="Times New Roman"/>
      <w:szCs w:val="24"/>
    </w:rPr>
  </w:style>
  <w:style w:type="character" w:customStyle="1" w:styleId="58">
    <w:name w:val="批注主题 Char"/>
    <w:basedOn w:val="57"/>
    <w:link w:val="12"/>
    <w:qFormat/>
    <w:uiPriority w:val="0"/>
    <w:rPr>
      <w:rFonts w:ascii="Times New Roman" w:hAnsi="Times New Roman" w:eastAsia="宋体" w:cs="Times New Roman"/>
      <w:b/>
      <w:bCs/>
      <w:szCs w:val="24"/>
    </w:rPr>
  </w:style>
  <w:style w:type="paragraph" w:customStyle="1" w:styleId="59">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character" w:customStyle="1" w:styleId="61">
    <w:name w:val="正文文本 Char"/>
    <w:basedOn w:val="15"/>
    <w:link w:val="6"/>
    <w:qFormat/>
    <w:uiPriority w:val="0"/>
    <w:rPr>
      <w:rFonts w:ascii="宋体" w:hAnsi="宋体" w:eastAsia="宋体" w:cs="Times New Roman"/>
      <w:szCs w:val="21"/>
    </w:rPr>
  </w:style>
  <w:style w:type="paragraph" w:customStyle="1" w:styleId="62">
    <w:name w:val="Table Paragraph"/>
    <w:basedOn w:val="1"/>
    <w:qFormat/>
    <w:uiPriority w:val="1"/>
  </w:style>
  <w:style w:type="paragraph" w:customStyle="1" w:styleId="63">
    <w:name w:val="二级无"/>
    <w:basedOn w:val="1"/>
    <w:qFormat/>
    <w:uiPriority w:val="0"/>
    <w:pPr>
      <w:widowControl/>
      <w:jc w:val="left"/>
      <w:outlineLvl w:val="3"/>
    </w:pPr>
    <w:rPr>
      <w:rFonts w:ascii="宋体"/>
      <w:kern w:val="0"/>
      <w:szCs w:val="21"/>
    </w:rPr>
  </w:style>
  <w:style w:type="paragraph" w:customStyle="1" w:styleId="64">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styleId="65">
    <w:name w:val="List Paragraph"/>
    <w:basedOn w:val="1"/>
    <w:qFormat/>
    <w:uiPriority w:val="34"/>
    <w:pPr>
      <w:ind w:firstLine="420" w:firstLineChars="200"/>
    </w:pPr>
  </w:style>
  <w:style w:type="paragraph" w:customStyle="1" w:styleId="66">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character" w:customStyle="1" w:styleId="67">
    <w:name w:val="标题 2 Char"/>
    <w:basedOn w:val="15"/>
    <w:link w:val="2"/>
    <w:qFormat/>
    <w:uiPriority w:val="9"/>
    <w:rPr>
      <w:rFonts w:asciiTheme="majorHAnsi" w:hAnsiTheme="majorHAnsi" w:eastAsiaTheme="majorEastAsia" w:cstheme="majorBidi"/>
      <w:b/>
      <w:bCs/>
      <w:sz w:val="32"/>
      <w:szCs w:val="32"/>
    </w:rPr>
  </w:style>
  <w:style w:type="paragraph" w:customStyle="1" w:styleId="6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66"/>
    <customShpInfo spid="_x0000_s2067"/>
    <customShpInfo spid="_x0000_s2068"/>
    <customShpInfo spid="_x0000_s2070"/>
    <customShpInfo spid="_x0000_s2071"/>
    <customShpInfo spid="_x0000_s2069"/>
    <customShpInfo spid="_x0000_s2072"/>
    <customShpInfo spid="_x0000_s2073"/>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532</Words>
  <Characters>3035</Characters>
  <Lines>25</Lines>
  <Paragraphs>7</Paragraphs>
  <TotalTime>1</TotalTime>
  <ScaleCrop>false</ScaleCrop>
  <LinksUpToDate>false</LinksUpToDate>
  <CharactersWithSpaces>3560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2020-06-28T08:12:00Z</dcterms:created>
  <dc:creator>朱洁</dc:creator>
  <cp:lastModifiedBy>肖亮</cp:lastModifiedBy>
  <dcterms:modified xsi:type="dcterms:W3CDTF">2021-04-13T05:58:18Z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487F52DAFB7F4DCB95A9432C4363A698</vt:lpwstr>
  </property>
</Properties>
</file>