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spacing w:after="0"/>
        <w:rPr>
          <w:rFonts w:eastAsia="黑体"/>
        </w:rPr>
      </w:pPr>
      <w:bookmarkStart w:id="0" w:name="SectionMark4"/>
      <w:r>
        <w:rPr>
          <w:rFonts w:eastAsia="黑体"/>
        </w:rPr>
        <w:t>ICS 13.060.30</w:t>
      </w:r>
    </w:p>
    <w:p>
      <w:pPr>
        <w:pStyle w:val="22"/>
        <w:spacing w:after="0"/>
        <w:rPr>
          <w:rFonts w:eastAsia="黑体"/>
        </w:rPr>
      </w:pPr>
      <w:bookmarkStart w:id="19" w:name="_GoBack"/>
      <w:bookmarkEnd w:id="19"/>
      <w:r>
        <w:rPr>
          <w:rFonts w:eastAsia="黑体"/>
        </w:rPr>
        <w:t>J 88</w:t>
      </w:r>
    </w:p>
    <w:p>
      <w:pPr>
        <w:pStyle w:val="22"/>
        <w:spacing w:after="0"/>
        <w:rPr>
          <w:sz w:val="20"/>
        </w:rPr>
      </w:pPr>
    </w:p>
    <w:p>
      <w:pPr>
        <w:pStyle w:val="22"/>
        <w:spacing w:after="0"/>
        <w:rPr>
          <w:sz w:val="20"/>
        </w:rPr>
      </w:pPr>
    </w:p>
    <w:p>
      <w:pPr>
        <w:pStyle w:val="22"/>
        <w:spacing w:after="0"/>
        <w:rPr>
          <w:sz w:val="26"/>
        </w:rPr>
      </w:pPr>
    </w:p>
    <w:p>
      <w:pPr>
        <w:tabs>
          <w:tab w:val="left" w:pos="2100"/>
          <w:tab w:val="left" w:pos="4200"/>
          <w:tab w:val="left" w:pos="6301"/>
        </w:tabs>
        <w:jc w:val="center"/>
        <w:rPr>
          <w:sz w:val="84"/>
        </w:rPr>
      </w:pPr>
      <w:r>
        <w:rPr>
          <w:sz w:val="84"/>
        </w:rPr>
        <w:t>团</w:t>
      </w:r>
      <w:r>
        <w:rPr>
          <w:sz w:val="84"/>
        </w:rPr>
        <w:tab/>
      </w:r>
      <w:r>
        <w:rPr>
          <w:sz w:val="84"/>
        </w:rPr>
        <w:t>体</w:t>
      </w:r>
      <w:r>
        <w:rPr>
          <w:sz w:val="84"/>
        </w:rPr>
        <w:tab/>
      </w:r>
      <w:r>
        <w:rPr>
          <w:sz w:val="84"/>
        </w:rPr>
        <w:t>标</w:t>
      </w:r>
      <w:r>
        <w:rPr>
          <w:sz w:val="84"/>
        </w:rPr>
        <w:tab/>
      </w:r>
      <w:r>
        <w:rPr>
          <w:sz w:val="84"/>
        </w:rPr>
        <w:t>准</w:t>
      </w:r>
    </w:p>
    <w:p>
      <w:pPr>
        <w:jc w:val="right"/>
        <w:rPr>
          <w:sz w:val="28"/>
        </w:rPr>
      </w:pPr>
      <w:r>
        <w:rPr>
          <w:sz w:val="28"/>
        </w:rPr>
        <w:t>T/CSTE XXXX—2021</w:t>
      </w:r>
    </w:p>
    <w:p>
      <w:pPr>
        <w:pStyle w:val="22"/>
        <w:spacing w:after="0"/>
        <w:rPr>
          <w:sz w:val="20"/>
        </w:rPr>
      </w:pPr>
    </w:p>
    <w:p>
      <w:pPr>
        <w:pStyle w:val="22"/>
        <w:spacing w:after="0"/>
        <w:rPr>
          <w:sz w:val="12"/>
        </w:rPr>
      </w:pPr>
    </w:p>
    <w:p>
      <w:pPr>
        <w:pStyle w:val="22"/>
        <w:spacing w:after="0"/>
        <w:rPr>
          <w:sz w:val="2"/>
        </w:rPr>
      </w:pPr>
      <w:r>
        <w:rPr>
          <w:sz w:val="2"/>
        </w:rPr>
        <mc:AlternateContent>
          <mc:Choice Requires="wpg">
            <w:drawing>
              <wp:inline distT="0" distB="0" distL="114300" distR="114300">
                <wp:extent cx="6325870" cy="10160"/>
                <wp:effectExtent l="0" t="0" r="0" b="0"/>
                <wp:docPr id="86" name="组合 2"/>
                <wp:cNvGraphicFramePr/>
                <a:graphic xmlns:a="http://schemas.openxmlformats.org/drawingml/2006/main">
                  <a:graphicData uri="http://schemas.microsoft.com/office/word/2010/wordprocessingGroup">
                    <wpg:wgp>
                      <wpg:cNvGrpSpPr/>
                      <wpg:grpSpPr>
                        <a:xfrm>
                          <a:off x="0" y="0"/>
                          <a:ext cx="6325870" cy="10160"/>
                          <a:chOff x="0" y="0"/>
                          <a:chExt cx="9962" cy="16"/>
                        </a:xfrm>
                      </wpg:grpSpPr>
                      <wps:wsp>
                        <wps:cNvPr id="87" name="直线 3"/>
                        <wps:cNvCnPr/>
                        <wps:spPr>
                          <a:xfrm>
                            <a:off x="0" y="8"/>
                            <a:ext cx="9961" cy="0"/>
                          </a:xfrm>
                          <a:prstGeom prst="line">
                            <a:avLst/>
                          </a:prstGeom>
                          <a:ln w="9779" cap="flat" cmpd="sng">
                            <a:solidFill>
                              <a:srgbClr val="000000"/>
                            </a:solidFill>
                            <a:prstDash val="solid"/>
                            <a:headEnd type="none" w="med" len="med"/>
                            <a:tailEnd type="none" w="med" len="med"/>
                          </a:ln>
                        </wps:spPr>
                        <wps:bodyPr/>
                      </wps:wsp>
                    </wpg:wgp>
                  </a:graphicData>
                </a:graphic>
              </wp:inline>
            </w:drawing>
          </mc:Choice>
          <mc:Fallback>
            <w:pict>
              <v:group id="组合 2" o:spid="_x0000_s1026" o:spt="203" style="height:0.8pt;width:498.1pt;" coordsize="9962,16" o:gfxdata="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9MNp21AAAAAMBAAAPAAAAAAAAAAEAIAAAACIA&#10;AABkcnMvZG93bnJldi54bWxQSwECFAAUAAAACACHTuJAgDPqFEYCAAD1BAAADgAAAAAAAAABACAA&#10;AAAjAQAAZHJzL2Uyb0RvYy54bWxQSwUGAAAAAAYABgBZAQAA2wUAAAAA&#10;">
                <o:lock v:ext="edit" aspectratio="f"/>
                <v:line id="直线 3" o:spid="_x0000_s1026" o:spt="20" style="position:absolute;left:0;top:8;height:0;width:9961;" filled="f" stroked="t" coordsize="21600,21600" o:gfxdata="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46JivQAA&#10;ANsAAAAPAAAAAAAAAAEAIAAAACIAAABkcnMvZG93bnJldi54bWxQSwECFAAUAAAACACHTuJAMy8F&#10;njsAAAA5AAAAEAAAAAAAAAABACAAAAAMAQAAZHJzL3NoYXBleG1sLnhtbFBLBQYAAAAABgAGAFsB&#10;AAC2AwAAAAA=&#10;">
                  <v:fill on="f" focussize="0,0"/>
                  <v:stroke weight="0.77pt" color="#000000" joinstyle="round"/>
                  <v:imagedata o:title=""/>
                  <o:lock v:ext="edit" aspectratio="f"/>
                </v:line>
                <w10:wrap type="none"/>
                <w10:anchorlock/>
              </v:group>
            </w:pict>
          </mc:Fallback>
        </mc:AlternateContent>
      </w: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pPr>
    </w:p>
    <w:p>
      <w:pPr>
        <w:jc w:val="center"/>
        <w:rPr>
          <w:rFonts w:eastAsia="黑体"/>
          <w:sz w:val="52"/>
        </w:rPr>
      </w:pPr>
      <w:r>
        <w:rPr>
          <w:rFonts w:eastAsia="黑体"/>
          <w:sz w:val="52"/>
        </w:rPr>
        <w:t>一体化污泥高效脱水处理设备</w:t>
      </w:r>
    </w:p>
    <w:p>
      <w:pPr>
        <w:pStyle w:val="22"/>
        <w:spacing w:after="0"/>
        <w:rPr>
          <w:sz w:val="50"/>
        </w:rPr>
      </w:pPr>
    </w:p>
    <w:p>
      <w:pPr>
        <w:pStyle w:val="22"/>
        <w:spacing w:before="240" w:beforeLines="100" w:after="240" w:afterLines="100"/>
        <w:jc w:val="center"/>
        <w:rPr>
          <w:rFonts w:eastAsia="黑体"/>
          <w:sz w:val="28"/>
          <w:szCs w:val="28"/>
        </w:rPr>
      </w:pPr>
      <w:r>
        <w:rPr>
          <w:rFonts w:eastAsia="黑体"/>
          <w:sz w:val="28"/>
          <w:szCs w:val="28"/>
        </w:rPr>
        <w:t>Integrated high efficiency sludge dewatering equipment</w:t>
      </w:r>
    </w:p>
    <w:p>
      <w:pPr>
        <w:pStyle w:val="22"/>
        <w:spacing w:after="0"/>
        <w:jc w:val="center"/>
        <w:rPr>
          <w:rFonts w:eastAsia="黑体"/>
          <w:color w:val="333333"/>
          <w:sz w:val="28"/>
          <w:szCs w:val="28"/>
        </w:rPr>
      </w:pPr>
      <w:r>
        <w:rPr>
          <w:rFonts w:eastAsia="黑体"/>
          <w:color w:val="333333"/>
          <w:sz w:val="28"/>
          <w:szCs w:val="28"/>
        </w:rPr>
        <w:t>（征求意见稿）</w:t>
      </w: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6"/>
        </w:rPr>
      </w:pPr>
    </w:p>
    <w:p>
      <w:pPr>
        <w:tabs>
          <w:tab w:val="left" w:pos="7713"/>
        </w:tabs>
        <w:rPr>
          <w:sz w:val="28"/>
        </w:rPr>
      </w:pPr>
      <w:r>
        <w:rPr>
          <w:sz w:val="28"/>
        </w:rPr>
        <w:t>2021-XX-XX</w:t>
      </w:r>
      <w:r>
        <w:rPr>
          <w:spacing w:val="-69"/>
          <w:sz w:val="28"/>
        </w:rPr>
        <w:t xml:space="preserve"> </w:t>
      </w:r>
      <w:r>
        <w:rPr>
          <w:sz w:val="28"/>
        </w:rPr>
        <w:t>发布</w:t>
      </w:r>
      <w:r>
        <w:rPr>
          <w:sz w:val="28"/>
        </w:rPr>
        <w:tab/>
      </w:r>
      <w:r>
        <w:rPr>
          <w:sz w:val="28"/>
        </w:rPr>
        <w:t>2021-XX-XX</w:t>
      </w:r>
      <w:r>
        <w:rPr>
          <w:spacing w:val="-68"/>
          <w:sz w:val="28"/>
        </w:rPr>
        <w:t xml:space="preserve"> </w:t>
      </w:r>
      <w:r>
        <w:rPr>
          <w:sz w:val="28"/>
        </w:rPr>
        <w:t>实施</w:t>
      </w:r>
    </w:p>
    <w:p>
      <w:pPr>
        <w:pStyle w:val="22"/>
        <w:spacing w:after="0"/>
        <w:rPr>
          <w:sz w:val="2"/>
        </w:rPr>
      </w:pPr>
      <w:r>
        <w:rPr>
          <w:sz w:val="2"/>
        </w:rPr>
        <mc:AlternateContent>
          <mc:Choice Requires="wpg">
            <w:drawing>
              <wp:inline distT="0" distB="0" distL="114300" distR="114300">
                <wp:extent cx="6263005" cy="9525"/>
                <wp:effectExtent l="0" t="0" r="0" b="0"/>
                <wp:docPr id="88" name="组合 5"/>
                <wp:cNvGraphicFramePr/>
                <a:graphic xmlns:a="http://schemas.openxmlformats.org/drawingml/2006/main">
                  <a:graphicData uri="http://schemas.microsoft.com/office/word/2010/wordprocessingGroup">
                    <wpg:wgp>
                      <wpg:cNvGrpSpPr/>
                      <wpg:grpSpPr>
                        <a:xfrm>
                          <a:off x="0" y="0"/>
                          <a:ext cx="6263005" cy="9525"/>
                          <a:chOff x="0" y="0"/>
                          <a:chExt cx="9863" cy="15"/>
                        </a:xfrm>
                      </wpg:grpSpPr>
                      <wps:wsp>
                        <wps:cNvPr id="89" name="直线 6"/>
                        <wps:cNvCnPr/>
                        <wps:spPr>
                          <a:xfrm>
                            <a:off x="0" y="7"/>
                            <a:ext cx="9863" cy="0"/>
                          </a:xfrm>
                          <a:prstGeom prst="line">
                            <a:avLst/>
                          </a:prstGeom>
                          <a:ln w="9144" cap="flat" cmpd="sng">
                            <a:solidFill>
                              <a:srgbClr val="000000"/>
                            </a:solidFill>
                            <a:prstDash val="solid"/>
                            <a:headEnd type="none" w="med" len="med"/>
                            <a:tailEnd type="none" w="med" len="med"/>
                          </a:ln>
                        </wps:spPr>
                        <wps:bodyPr/>
                      </wps:wsp>
                    </wpg:wgp>
                  </a:graphicData>
                </a:graphic>
              </wp:inline>
            </w:drawing>
          </mc:Choice>
          <mc:Fallback>
            <w:pict>
              <v:group id="组合 5" o:spid="_x0000_s1026" o:spt="203" style="height:0.75pt;width:493.15pt;" coordsize="9863,15" o:gfxdata="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u0kM9QAAAADAQAADwAAAAAAAAABACAAAAAi&#10;AAAAZHJzL2Rvd25yZXYueG1sUEsBAhQAFAAAAAgAh07iQFm/vVZHAgAA9AQAAA4AAAAAAAAAAQAg&#10;AAAAIwEAAGRycy9lMm9Eb2MueG1sUEsFBgAAAAAGAAYAWQEAANwFAAAAAA==&#10;">
                <o:lock v:ext="edit" aspectratio="f"/>
                <v:line id="直线 6" o:spid="_x0000_s1026" o:spt="20" style="position:absolute;left:0;top:7;height:0;width:9863;" filled="f" stroked="t" coordsize="21600,21600" o:gfxdata="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70AV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22"/>
        <w:spacing w:after="0"/>
        <w:rPr>
          <w:sz w:val="32"/>
        </w:rPr>
      </w:pPr>
    </w:p>
    <w:p>
      <w:pPr>
        <w:tabs>
          <w:tab w:val="left" w:pos="6759"/>
        </w:tabs>
        <w:jc w:val="center"/>
        <w:rPr>
          <w:sz w:val="28"/>
        </w:rPr>
      </w:pPr>
      <w:r>
        <w:rPr>
          <w:sz w:val="52"/>
        </w:rPr>
        <w:t>中 国 技 术 经 济</w:t>
      </w:r>
      <w:r>
        <w:rPr>
          <w:spacing w:val="-2"/>
          <w:sz w:val="52"/>
        </w:rPr>
        <w:t xml:space="preserve"> </w:t>
      </w:r>
      <w:r>
        <w:rPr>
          <w:sz w:val="52"/>
        </w:rPr>
        <w:t>学 会</w:t>
      </w:r>
      <w:r>
        <w:rPr>
          <w:sz w:val="52"/>
        </w:rPr>
        <w:tab/>
      </w:r>
      <w:r>
        <w:rPr>
          <w:sz w:val="28"/>
        </w:rPr>
        <w:t>发布</w:t>
      </w:r>
    </w:p>
    <w:p>
      <w:pPr>
        <w:jc w:val="center"/>
        <w:rPr>
          <w:sz w:val="28"/>
        </w:rPr>
        <w:sectPr>
          <w:pgSz w:w="11910" w:h="16840"/>
          <w:pgMar w:top="1380" w:right="640" w:bottom="280" w:left="1300" w:header="720" w:footer="720" w:gutter="0"/>
          <w:pgNumType w:fmt="upperRoman"/>
          <w:cols w:space="720" w:num="1"/>
        </w:sectPr>
      </w:pPr>
    </w:p>
    <w:p>
      <w:pPr>
        <w:pStyle w:val="22"/>
        <w:spacing w:after="0"/>
        <w:rPr>
          <w:sz w:val="20"/>
        </w:rPr>
      </w:pPr>
    </w:p>
    <w:p>
      <w:pPr>
        <w:pStyle w:val="22"/>
        <w:spacing w:after="0"/>
        <w:rPr>
          <w:sz w:val="20"/>
        </w:rPr>
      </w:pPr>
      <w:r>
        <w:drawing>
          <wp:anchor distT="0" distB="0" distL="0" distR="0" simplePos="0" relativeHeight="251660288" behindDoc="0" locked="0" layoutInCell="1" allowOverlap="1">
            <wp:simplePos x="0" y="0"/>
            <wp:positionH relativeFrom="page">
              <wp:posOffset>987425</wp:posOffset>
            </wp:positionH>
            <wp:positionV relativeFrom="paragraph">
              <wp:posOffset>26670</wp:posOffset>
            </wp:positionV>
            <wp:extent cx="744220" cy="640715"/>
            <wp:effectExtent l="0" t="0" r="0" b="0"/>
            <wp:wrapNone/>
            <wp:docPr id="9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jpeg"/>
                    <pic:cNvPicPr>
                      <a:picLocks noChangeAspect="1"/>
                    </pic:cNvPicPr>
                  </pic:nvPicPr>
                  <pic:blipFill>
                    <a:blip r:embed="rId10" cstate="print"/>
                    <a:stretch>
                      <a:fillRect/>
                    </a:stretch>
                  </pic:blipFill>
                  <pic:spPr>
                    <a:xfrm>
                      <a:off x="0" y="0"/>
                      <a:ext cx="743998" cy="640983"/>
                    </a:xfrm>
                    <a:prstGeom prst="rect">
                      <a:avLst/>
                    </a:prstGeom>
                  </pic:spPr>
                </pic:pic>
              </a:graphicData>
            </a:graphic>
          </wp:anchor>
        </w:drawing>
      </w:r>
    </w:p>
    <w:p>
      <w:pPr>
        <w:pStyle w:val="22"/>
        <w:spacing w:after="0"/>
        <w:rPr>
          <w:sz w:val="20"/>
        </w:rPr>
      </w:pPr>
    </w:p>
    <w:p>
      <w:pPr>
        <w:pStyle w:val="22"/>
        <w:spacing w:after="0"/>
        <w:rPr>
          <w:sz w:val="20"/>
        </w:rPr>
      </w:pPr>
    </w:p>
    <w:p>
      <w:pPr>
        <w:pStyle w:val="22"/>
        <w:spacing w:after="0"/>
        <w:rPr>
          <w:sz w:val="15"/>
        </w:rPr>
      </w:pPr>
    </w:p>
    <w:p>
      <w:pPr>
        <w:pStyle w:val="22"/>
        <w:spacing w:after="0"/>
      </w:pPr>
      <w:r>
        <w:t xml:space="preserve"> 版权保护文件 </w:t>
      </w:r>
    </w:p>
    <w:p>
      <w:pPr>
        <w:pStyle w:val="22"/>
        <w:spacing w:after="0"/>
      </w:pPr>
      <w:r>
        <w:rPr>
          <w:spacing w:val="-6"/>
        </w:rPr>
        <w:t>版权所有归属于该标准的发布机构。除非有其他规定，否则未经许可，此发行物及其章节不得以其他形式</w:t>
      </w:r>
      <w:r>
        <w:rPr>
          <w:spacing w:val="-8"/>
        </w:rPr>
        <w:t>或任何手段进行复制、再版或使用，包括电子版，影印件，或发布在互联网及内部网络等。使用许可可于</w:t>
      </w:r>
      <w:r>
        <w:rPr>
          <w:spacing w:val="-5"/>
        </w:rPr>
        <w:t>发布机构获取。</w:t>
      </w:r>
      <w:r>
        <w:t xml:space="preserve"> </w:t>
      </w: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sectPr>
          <w:footerReference r:id="rId3" w:type="default"/>
          <w:footerReference r:id="rId4" w:type="even"/>
          <w:pgSz w:w="11907" w:h="16839"/>
          <w:pgMar w:top="1418" w:right="1134" w:bottom="1134" w:left="1680" w:header="1418" w:footer="851" w:gutter="0"/>
          <w:pgNumType w:fmt="upperRoman" w:start="1"/>
          <w:cols w:space="425" w:num="1"/>
          <w:docGrid w:type="lines" w:linePitch="312" w:charSpace="0"/>
        </w:sectPr>
      </w:pPr>
    </w:p>
    <w:sdt>
      <w:sdtPr>
        <w:rPr>
          <w:rFonts w:eastAsia="黑体"/>
          <w:b w:val="0"/>
          <w:bCs w:val="0"/>
          <w:kern w:val="2"/>
          <w:sz w:val="32"/>
          <w:szCs w:val="32"/>
        </w:rPr>
        <w:id w:val="147461265"/>
        <w15:color w:val="DBDBDB"/>
        <w:docPartObj>
          <w:docPartGallery w:val="Table of Contents"/>
          <w:docPartUnique/>
        </w:docPartObj>
      </w:sdtPr>
      <w:sdtEndPr>
        <w:rPr>
          <w:rFonts w:eastAsia="宋体"/>
          <w:b w:val="0"/>
          <w:bCs w:val="0"/>
          <w:kern w:val="2"/>
          <w:sz w:val="21"/>
          <w:szCs w:val="24"/>
        </w:rPr>
      </w:sdtEndPr>
      <w:sdtContent>
        <w:p>
          <w:pPr>
            <w:pStyle w:val="3"/>
            <w:tabs>
              <w:tab w:val="left" w:pos="960"/>
            </w:tabs>
            <w:spacing w:before="312" w:beforeLines="100" w:after="312" w:afterLines="100" w:line="240" w:lineRule="auto"/>
            <w:jc w:val="center"/>
            <w:rPr>
              <w:rFonts w:eastAsia="黑体"/>
              <w:b w:val="0"/>
              <w:sz w:val="32"/>
              <w:szCs w:val="32"/>
            </w:rPr>
          </w:pPr>
          <w:bookmarkStart w:id="1" w:name="_Toc26465"/>
          <w:bookmarkStart w:id="2" w:name="_Toc14505"/>
          <w:r>
            <w:rPr>
              <w:rFonts w:eastAsia="黑体"/>
              <w:b w:val="0"/>
              <w:sz w:val="32"/>
              <w:szCs w:val="32"/>
            </w:rPr>
            <w:t>目</w:t>
          </w:r>
          <w:r>
            <w:rPr>
              <w:rFonts w:hint="eastAsia" w:eastAsia="黑体"/>
              <w:b w:val="0"/>
              <w:sz w:val="32"/>
              <w:szCs w:val="32"/>
            </w:rPr>
            <w:t xml:space="preserve"> </w:t>
          </w:r>
          <w:r>
            <w:rPr>
              <w:rFonts w:eastAsia="黑体"/>
              <w:b w:val="0"/>
              <w:sz w:val="32"/>
              <w:szCs w:val="32"/>
            </w:rPr>
            <w:t>次</w:t>
          </w:r>
          <w:bookmarkEnd w:id="1"/>
          <w:bookmarkEnd w:id="2"/>
        </w:p>
        <w:p>
          <w:pPr>
            <w:pStyle w:val="18"/>
            <w:tabs>
              <w:tab w:val="right" w:leader="dot" w:pos="9093"/>
            </w:tabs>
          </w:pPr>
          <w:r>
            <w:rPr>
              <w:rFonts w:ascii="Times New Roman"/>
              <w:sz w:val="20"/>
            </w:rPr>
            <w:fldChar w:fldCharType="begin"/>
          </w:r>
          <w:r>
            <w:rPr>
              <w:rFonts w:ascii="Times New Roman"/>
              <w:sz w:val="20"/>
            </w:rPr>
            <w:instrText xml:space="preserve">TOC \o "1-1" \h \u </w:instrText>
          </w:r>
          <w:r>
            <w:rPr>
              <w:rFonts w:ascii="Times New Roman"/>
              <w:sz w:val="20"/>
            </w:rPr>
            <w:fldChar w:fldCharType="separate"/>
          </w:r>
        </w:p>
        <w:p>
          <w:pPr>
            <w:pStyle w:val="18"/>
            <w:tabs>
              <w:tab w:val="right" w:leader="dot" w:pos="9093"/>
            </w:tabs>
            <w:spacing w:line="360" w:lineRule="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_Toc29586 </w:instrText>
          </w:r>
          <w:r>
            <w:rPr>
              <w:rFonts w:hint="default" w:ascii="Times New Roman" w:hAnsi="Times New Roman" w:eastAsia="宋体" w:cs="Times New Roman"/>
            </w:rPr>
            <w:fldChar w:fldCharType="separate"/>
          </w:r>
          <w:r>
            <w:rPr>
              <w:rFonts w:hint="default" w:ascii="Times New Roman" w:hAnsi="Times New Roman" w:eastAsia="宋体" w:cs="Times New Roman"/>
              <w:i w:val="0"/>
            </w:rPr>
            <w:t xml:space="preserve">1 </w:t>
          </w:r>
          <w:r>
            <w:rPr>
              <w:rFonts w:hint="default" w:ascii="Times New Roman" w:hAnsi="Times New Roman" w:eastAsia="宋体" w:cs="Times New Roman"/>
            </w:rPr>
            <w:t>范围</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_Toc29586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18"/>
            <w:tabs>
              <w:tab w:val="right" w:leader="dot" w:pos="9093"/>
            </w:tabs>
            <w:spacing w:line="360" w:lineRule="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_Toc32056 </w:instrText>
          </w:r>
          <w:r>
            <w:rPr>
              <w:rFonts w:hint="default" w:ascii="Times New Roman" w:hAnsi="Times New Roman" w:eastAsia="宋体" w:cs="Times New Roman"/>
            </w:rPr>
            <w:fldChar w:fldCharType="separate"/>
          </w:r>
          <w:r>
            <w:rPr>
              <w:rFonts w:hint="default" w:ascii="Times New Roman" w:hAnsi="Times New Roman" w:eastAsia="宋体" w:cs="Times New Roman"/>
              <w:i w:val="0"/>
            </w:rPr>
            <w:t xml:space="preserve">2 </w:t>
          </w:r>
          <w:r>
            <w:rPr>
              <w:rFonts w:hint="default" w:ascii="Times New Roman" w:hAnsi="Times New Roman" w:eastAsia="宋体" w:cs="Times New Roman"/>
            </w:rPr>
            <w:t>规范性引用文件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_Toc32056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18"/>
            <w:tabs>
              <w:tab w:val="right" w:leader="dot" w:pos="9093"/>
            </w:tabs>
            <w:spacing w:line="360" w:lineRule="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_Toc24300 </w:instrText>
          </w:r>
          <w:r>
            <w:rPr>
              <w:rFonts w:hint="default" w:ascii="Times New Roman" w:hAnsi="Times New Roman" w:eastAsia="宋体" w:cs="Times New Roman"/>
            </w:rPr>
            <w:fldChar w:fldCharType="separate"/>
          </w:r>
          <w:r>
            <w:rPr>
              <w:rFonts w:hint="default" w:ascii="Times New Roman" w:hAnsi="Times New Roman" w:eastAsia="宋体" w:cs="Times New Roman"/>
              <w:i w:val="0"/>
            </w:rPr>
            <w:t xml:space="preserve">3 </w:t>
          </w:r>
          <w:r>
            <w:rPr>
              <w:rFonts w:hint="default" w:ascii="Times New Roman" w:hAnsi="Times New Roman" w:eastAsia="宋体" w:cs="Times New Roman"/>
            </w:rPr>
            <w:t>术语和定义</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_Toc24300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18"/>
            <w:tabs>
              <w:tab w:val="right" w:leader="dot" w:pos="9093"/>
            </w:tabs>
            <w:spacing w:line="360" w:lineRule="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_Toc27340 </w:instrText>
          </w:r>
          <w:r>
            <w:rPr>
              <w:rFonts w:hint="default" w:ascii="Times New Roman" w:hAnsi="Times New Roman" w:eastAsia="宋体" w:cs="Times New Roman"/>
            </w:rPr>
            <w:fldChar w:fldCharType="separate"/>
          </w:r>
          <w:r>
            <w:rPr>
              <w:rFonts w:hint="default" w:ascii="Times New Roman" w:hAnsi="Times New Roman" w:eastAsia="宋体" w:cs="Times New Roman"/>
              <w:i w:val="0"/>
            </w:rPr>
            <w:t xml:space="preserve">4 </w:t>
          </w:r>
          <w:r>
            <w:rPr>
              <w:rFonts w:hint="default" w:ascii="Times New Roman" w:hAnsi="Times New Roman" w:eastAsia="宋体" w:cs="Times New Roman"/>
            </w:rPr>
            <w:t>型号、工艺流程、基本参数</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_Toc27340 \h </w:instrText>
          </w:r>
          <w:r>
            <w:rPr>
              <w:rFonts w:hint="default" w:ascii="Times New Roman" w:hAnsi="Times New Roman" w:eastAsia="宋体" w:cs="Times New Roman"/>
            </w:rPr>
            <w:fldChar w:fldCharType="separate"/>
          </w:r>
          <w:r>
            <w:rPr>
              <w:rFonts w:hint="default" w:ascii="Times New Roman" w:hAnsi="Times New Roman" w:eastAsia="宋体" w:cs="Times New Roman"/>
            </w:rPr>
            <w:t>2</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18"/>
            <w:tabs>
              <w:tab w:val="right" w:leader="dot" w:pos="9093"/>
            </w:tabs>
            <w:spacing w:line="360" w:lineRule="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_Toc28006 </w:instrText>
          </w:r>
          <w:r>
            <w:rPr>
              <w:rFonts w:hint="default" w:ascii="Times New Roman" w:hAnsi="Times New Roman" w:eastAsia="宋体" w:cs="Times New Roman"/>
            </w:rPr>
            <w:fldChar w:fldCharType="separate"/>
          </w:r>
          <w:r>
            <w:rPr>
              <w:rFonts w:hint="default" w:ascii="Times New Roman" w:hAnsi="Times New Roman" w:eastAsia="宋体" w:cs="Times New Roman"/>
            </w:rPr>
            <w:t>5 技术要求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_Toc28006 \h </w:instrText>
          </w:r>
          <w:r>
            <w:rPr>
              <w:rFonts w:hint="default" w:ascii="Times New Roman" w:hAnsi="Times New Roman" w:eastAsia="宋体" w:cs="Times New Roman"/>
            </w:rPr>
            <w:fldChar w:fldCharType="separate"/>
          </w:r>
          <w:r>
            <w:rPr>
              <w:rFonts w:hint="default" w:ascii="Times New Roman" w:hAnsi="Times New Roman" w:eastAsia="宋体" w:cs="Times New Roman"/>
            </w:rPr>
            <w:t>4</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18"/>
            <w:tabs>
              <w:tab w:val="right" w:leader="dot" w:pos="9093"/>
            </w:tabs>
            <w:spacing w:line="360" w:lineRule="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_Toc1881 </w:instrText>
          </w:r>
          <w:r>
            <w:rPr>
              <w:rFonts w:hint="default" w:ascii="Times New Roman" w:hAnsi="Times New Roman" w:eastAsia="宋体" w:cs="Times New Roman"/>
            </w:rPr>
            <w:fldChar w:fldCharType="separate"/>
          </w:r>
          <w:r>
            <w:rPr>
              <w:rFonts w:hint="default" w:ascii="Times New Roman" w:hAnsi="Times New Roman" w:eastAsia="宋体" w:cs="Times New Roman"/>
            </w:rPr>
            <w:t>6 试验</w:t>
          </w:r>
          <w:r>
            <w:rPr>
              <w:rFonts w:hint="eastAsia" w:ascii="Times New Roman" w:cs="Times New Roman"/>
              <w:lang w:val="en-US" w:eastAsia="zh-CN"/>
            </w:rPr>
            <w:t>和计算方法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_Toc1881 \h </w:instrText>
          </w:r>
          <w:r>
            <w:rPr>
              <w:rFonts w:hint="default" w:ascii="Times New Roman" w:hAnsi="Times New Roman" w:eastAsia="宋体" w:cs="Times New Roman"/>
            </w:rPr>
            <w:fldChar w:fldCharType="separate"/>
          </w:r>
          <w:r>
            <w:rPr>
              <w:rFonts w:hint="default" w:ascii="Times New Roman" w:hAnsi="Times New Roman" w:eastAsia="宋体" w:cs="Times New Roman"/>
            </w:rPr>
            <w:t>6</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18"/>
            <w:tabs>
              <w:tab w:val="right" w:leader="dot" w:pos="9093"/>
            </w:tabs>
            <w:spacing w:line="360" w:lineRule="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_Toc22252 </w:instrText>
          </w:r>
          <w:r>
            <w:rPr>
              <w:rFonts w:hint="default" w:ascii="Times New Roman" w:hAnsi="Times New Roman" w:eastAsia="宋体" w:cs="Times New Roman"/>
            </w:rPr>
            <w:fldChar w:fldCharType="separate"/>
          </w:r>
          <w:r>
            <w:rPr>
              <w:rFonts w:hint="default" w:ascii="Times New Roman" w:hAnsi="Times New Roman" w:eastAsia="宋体" w:cs="Times New Roman"/>
            </w:rPr>
            <w:t>7 检验</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_Toc22252 \h </w:instrText>
          </w:r>
          <w:r>
            <w:rPr>
              <w:rFonts w:hint="default" w:ascii="Times New Roman" w:hAnsi="Times New Roman" w:eastAsia="宋体" w:cs="Times New Roman"/>
            </w:rPr>
            <w:fldChar w:fldCharType="separate"/>
          </w:r>
          <w:r>
            <w:rPr>
              <w:rFonts w:hint="default" w:ascii="Times New Roman" w:hAnsi="Times New Roman" w:eastAsia="宋体" w:cs="Times New Roman"/>
            </w:rPr>
            <w:t>7</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18"/>
            <w:tabs>
              <w:tab w:val="right" w:leader="dot" w:pos="9093"/>
            </w:tabs>
            <w:spacing w:line="360" w:lineRule="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_Toc18397 </w:instrText>
          </w:r>
          <w:r>
            <w:rPr>
              <w:rFonts w:hint="default" w:ascii="Times New Roman" w:hAnsi="Times New Roman" w:eastAsia="宋体" w:cs="Times New Roman"/>
            </w:rPr>
            <w:fldChar w:fldCharType="separate"/>
          </w:r>
          <w:r>
            <w:rPr>
              <w:rFonts w:hint="default" w:ascii="Times New Roman" w:hAnsi="Times New Roman" w:eastAsia="宋体" w:cs="Times New Roman"/>
            </w:rPr>
            <w:t>8标志、包装、运输和贮存</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_Toc18397 \h </w:instrText>
          </w:r>
          <w:r>
            <w:rPr>
              <w:rFonts w:hint="default" w:ascii="Times New Roman" w:hAnsi="Times New Roman" w:eastAsia="宋体" w:cs="Times New Roman"/>
            </w:rPr>
            <w:fldChar w:fldCharType="separate"/>
          </w:r>
          <w:r>
            <w:rPr>
              <w:rFonts w:hint="default" w:ascii="Times New Roman" w:hAnsi="Times New Roman" w:eastAsia="宋体" w:cs="Times New Roman"/>
            </w:rPr>
            <w:t>8</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18"/>
            <w:tabs>
              <w:tab w:val="right" w:leader="dot" w:pos="9093"/>
            </w:tabs>
            <w:spacing w:line="360" w:lineRule="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_Toc28224 </w:instrText>
          </w:r>
          <w:r>
            <w:rPr>
              <w:rFonts w:hint="default" w:ascii="Times New Roman" w:hAnsi="Times New Roman" w:eastAsia="宋体" w:cs="Times New Roman"/>
            </w:rPr>
            <w:fldChar w:fldCharType="separate"/>
          </w:r>
          <w:r>
            <w:rPr>
              <w:rFonts w:hint="default" w:ascii="Times New Roman" w:hAnsi="Times New Roman" w:eastAsia="宋体" w:cs="Times New Roman"/>
            </w:rPr>
            <w:t>附录A （规范性）</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_Toc1761 </w:instrText>
          </w:r>
          <w:r>
            <w:rPr>
              <w:rFonts w:hint="default" w:ascii="Times New Roman" w:hAnsi="Times New Roman" w:eastAsia="宋体" w:cs="Times New Roman"/>
            </w:rPr>
            <w:fldChar w:fldCharType="separate"/>
          </w:r>
          <w:r>
            <w:rPr>
              <w:rFonts w:hint="default" w:ascii="Times New Roman" w:hAnsi="Times New Roman" w:eastAsia="宋体" w:cs="Times New Roman"/>
            </w:rPr>
            <w:t>基本参数的计算方法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_Toc1761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22"/>
            <w:spacing w:after="0"/>
            <w:rPr>
              <w:sz w:val="20"/>
            </w:rPr>
          </w:pPr>
          <w:r>
            <w:fldChar w:fldCharType="end"/>
          </w:r>
        </w:p>
      </w:sdtContent>
    </w:sdt>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3"/>
        <w:tabs>
          <w:tab w:val="left" w:pos="960"/>
        </w:tabs>
        <w:spacing w:before="312" w:beforeLines="100" w:after="312" w:afterLines="100" w:line="240" w:lineRule="auto"/>
        <w:jc w:val="center"/>
        <w:rPr>
          <w:rFonts w:eastAsia="黑体"/>
          <w:b w:val="0"/>
          <w:sz w:val="32"/>
          <w:szCs w:val="32"/>
        </w:rPr>
      </w:pPr>
      <w:bookmarkStart w:id="3" w:name="_Toc4707"/>
      <w:bookmarkStart w:id="4" w:name="_Toc22734"/>
      <w:bookmarkStart w:id="5" w:name="_Toc6456"/>
      <w:r>
        <w:rPr>
          <w:rFonts w:eastAsia="黑体"/>
          <w:b w:val="0"/>
          <w:sz w:val="32"/>
          <w:szCs w:val="32"/>
        </w:rPr>
        <w:t>前</w:t>
      </w:r>
      <w:r>
        <w:rPr>
          <w:rFonts w:hint="eastAsia" w:eastAsia="黑体"/>
          <w:b w:val="0"/>
          <w:sz w:val="32"/>
          <w:szCs w:val="32"/>
        </w:rPr>
        <w:t xml:space="preserve"> </w:t>
      </w:r>
      <w:r>
        <w:rPr>
          <w:rFonts w:eastAsia="黑体"/>
          <w:b w:val="0"/>
          <w:sz w:val="32"/>
          <w:szCs w:val="32"/>
        </w:rPr>
        <w:t>言</w:t>
      </w:r>
      <w:bookmarkEnd w:id="3"/>
      <w:bookmarkEnd w:id="4"/>
      <w:bookmarkEnd w:id="5"/>
    </w:p>
    <w:p>
      <w:pPr>
        <w:pStyle w:val="22"/>
        <w:spacing w:after="0" w:line="360" w:lineRule="auto"/>
        <w:ind w:firstLine="396" w:firstLineChars="200"/>
        <w:rPr>
          <w:szCs w:val="21"/>
        </w:rPr>
      </w:pPr>
      <w:r>
        <w:rPr>
          <w:spacing w:val="-6"/>
          <w:szCs w:val="21"/>
        </w:rPr>
        <w:t xml:space="preserve">本文件按照 </w:t>
      </w:r>
      <w:r>
        <w:rPr>
          <w:szCs w:val="21"/>
        </w:rPr>
        <w:t>GB/T 1.1－2020</w:t>
      </w:r>
      <w:r>
        <w:rPr>
          <w:spacing w:val="-4"/>
          <w:szCs w:val="21"/>
        </w:rPr>
        <w:t xml:space="preserve">《标准化工作导则 第 </w:t>
      </w:r>
      <w:r>
        <w:rPr>
          <w:szCs w:val="21"/>
        </w:rPr>
        <w:t>1</w:t>
      </w:r>
      <w:r>
        <w:rPr>
          <w:spacing w:val="-7"/>
          <w:szCs w:val="21"/>
        </w:rPr>
        <w:t xml:space="preserve"> 部分：标准化文件的结构和起草规则》的规</w:t>
      </w:r>
      <w:r>
        <w:rPr>
          <w:spacing w:val="-6"/>
          <w:szCs w:val="21"/>
        </w:rPr>
        <w:t>定起草。</w:t>
      </w:r>
      <w:r>
        <w:rPr>
          <w:szCs w:val="21"/>
        </w:rPr>
        <w:t xml:space="preserve"> </w:t>
      </w:r>
    </w:p>
    <w:p>
      <w:pPr>
        <w:pStyle w:val="22"/>
        <w:spacing w:after="0" w:line="360" w:lineRule="auto"/>
        <w:ind w:firstLine="396" w:firstLineChars="200"/>
        <w:rPr>
          <w:spacing w:val="-6"/>
          <w:szCs w:val="21"/>
        </w:rPr>
      </w:pPr>
      <w:r>
        <w:rPr>
          <w:spacing w:val="-6"/>
          <w:szCs w:val="21"/>
        </w:rPr>
        <w:t>请注意本文件的某些内容可能涉及专利。本文件的发布机构不承担识别专利的责任。</w:t>
      </w:r>
    </w:p>
    <w:p>
      <w:pPr>
        <w:pStyle w:val="22"/>
        <w:spacing w:after="0" w:line="360" w:lineRule="auto"/>
        <w:ind w:firstLine="408" w:firstLineChars="200"/>
        <w:rPr>
          <w:spacing w:val="-3"/>
          <w:szCs w:val="21"/>
        </w:rPr>
      </w:pPr>
      <w:r>
        <w:rPr>
          <w:rFonts w:hint="eastAsia"/>
          <w:spacing w:val="-3"/>
          <w:szCs w:val="21"/>
          <w:lang w:val="en-US" w:eastAsia="zh-CN"/>
        </w:rPr>
        <w:t>本文件由湖南永瑞标准化服务有限公司</w:t>
      </w:r>
      <w:r>
        <w:rPr>
          <w:spacing w:val="-3"/>
          <w:szCs w:val="21"/>
        </w:rPr>
        <w:t>提出</w:t>
      </w:r>
      <w:r>
        <w:rPr>
          <w:szCs w:val="21"/>
        </w:rPr>
        <w:t>。</w:t>
      </w:r>
    </w:p>
    <w:p>
      <w:pPr>
        <w:pStyle w:val="22"/>
        <w:spacing w:after="0" w:line="360" w:lineRule="auto"/>
        <w:ind w:firstLine="408" w:firstLineChars="200"/>
        <w:rPr>
          <w:rFonts w:hint="eastAsia" w:eastAsia="宋体"/>
          <w:szCs w:val="21"/>
          <w:lang w:val="en-US" w:eastAsia="zh-CN"/>
        </w:rPr>
      </w:pPr>
      <w:r>
        <w:rPr>
          <w:spacing w:val="-3"/>
          <w:szCs w:val="21"/>
        </w:rPr>
        <w:t>本文件由</w:t>
      </w:r>
      <w:r>
        <w:rPr>
          <w:szCs w:val="21"/>
        </w:rPr>
        <w:t>中国技术经济学会</w:t>
      </w:r>
      <w:r>
        <w:rPr>
          <w:rFonts w:hint="eastAsia"/>
          <w:szCs w:val="21"/>
          <w:lang w:val="en-US" w:eastAsia="zh-CN"/>
        </w:rPr>
        <w:t>归口。</w:t>
      </w:r>
    </w:p>
    <w:p>
      <w:pPr>
        <w:pStyle w:val="22"/>
        <w:spacing w:after="0" w:line="360" w:lineRule="auto"/>
        <w:ind w:firstLine="420" w:firstLineChars="200"/>
        <w:rPr>
          <w:szCs w:val="21"/>
        </w:rPr>
      </w:pPr>
      <w:r>
        <w:rPr>
          <w:szCs w:val="21"/>
        </w:rPr>
        <w:t>本文件起草单位：仁天环保科技有限责任公司、</w:t>
      </w:r>
      <w:r>
        <w:rPr>
          <w:rFonts w:hint="eastAsia"/>
          <w:szCs w:val="21"/>
        </w:rPr>
        <w:t>湖南永瑞标准化服务有限公司、湖南楚熵信息科技有限公司、</w:t>
      </w:r>
    </w:p>
    <w:p>
      <w:pPr>
        <w:pStyle w:val="22"/>
        <w:spacing w:after="0" w:line="360" w:lineRule="auto"/>
        <w:ind w:firstLine="376" w:firstLineChars="200"/>
        <w:rPr>
          <w:szCs w:val="21"/>
        </w:rPr>
      </w:pPr>
      <w:r>
        <w:rPr>
          <w:spacing w:val="-11"/>
          <w:szCs w:val="21"/>
        </w:rPr>
        <w:t>本文件主要起草人：</w:t>
      </w:r>
      <w:r>
        <w:rPr>
          <w:rFonts w:hint="eastAsia"/>
          <w:spacing w:val="-11"/>
          <w:szCs w:val="21"/>
        </w:rPr>
        <w:t>吴冠军</w:t>
      </w:r>
      <w:r>
        <w:rPr>
          <w:rFonts w:hint="eastAsia"/>
          <w:spacing w:val="-11"/>
          <w:szCs w:val="21"/>
          <w:lang w:eastAsia="zh-CN"/>
        </w:rPr>
        <w:t>、</w:t>
      </w:r>
      <w:r>
        <w:rPr>
          <w:rFonts w:hint="eastAsia"/>
          <w:spacing w:val="-11"/>
          <w:szCs w:val="21"/>
        </w:rPr>
        <w:t>黄存华</w:t>
      </w:r>
      <w:r>
        <w:rPr>
          <w:rFonts w:hint="eastAsia"/>
          <w:spacing w:val="-11"/>
          <w:szCs w:val="21"/>
          <w:lang w:eastAsia="zh-CN"/>
        </w:rPr>
        <w:t>、</w:t>
      </w:r>
      <w:r>
        <w:rPr>
          <w:rFonts w:hint="eastAsia"/>
          <w:spacing w:val="-11"/>
          <w:szCs w:val="21"/>
        </w:rPr>
        <w:t>金建军</w:t>
      </w:r>
    </w:p>
    <w:p>
      <w:pPr>
        <w:pStyle w:val="22"/>
        <w:spacing w:after="0" w:line="360" w:lineRule="auto"/>
        <w:ind w:firstLine="420" w:firstLineChars="200"/>
      </w:pPr>
      <w:r>
        <w:rPr>
          <w:szCs w:val="21"/>
        </w:rPr>
        <w:t>本文件为首次发布。</w:t>
      </w:r>
      <w:r>
        <w:t xml:space="preserve"> </w:t>
      </w:r>
    </w:p>
    <w:p>
      <w:pPr>
        <w:pStyle w:val="22"/>
        <w:spacing w:after="0"/>
        <w:rPr>
          <w:sz w:val="20"/>
        </w:rPr>
      </w:pPr>
    </w:p>
    <w:p>
      <w:pPr>
        <w:pStyle w:val="22"/>
        <w:spacing w:after="0"/>
        <w:rPr>
          <w:sz w:val="26"/>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pPr>
    </w:p>
    <w:p>
      <w:pPr>
        <w:pStyle w:val="22"/>
        <w:spacing w:after="0"/>
        <w:rPr>
          <w:sz w:val="20"/>
        </w:rPr>
        <w:sectPr>
          <w:footerReference r:id="rId5" w:type="default"/>
          <w:footerReference r:id="rId6" w:type="even"/>
          <w:pgSz w:w="11907" w:h="16839"/>
          <w:pgMar w:top="1418" w:right="1134" w:bottom="1134" w:left="1680" w:header="1418" w:footer="851" w:gutter="0"/>
          <w:pgNumType w:fmt="upperRoman" w:start="1"/>
          <w:cols w:space="425" w:num="1"/>
          <w:docGrid w:type="lines" w:linePitch="312" w:charSpace="0"/>
        </w:sectPr>
      </w:pPr>
    </w:p>
    <w:p>
      <w:pPr>
        <w:pStyle w:val="88"/>
        <w:spacing w:before="312" w:beforeLines="100" w:after="312" w:afterLines="100" w:line="240" w:lineRule="auto"/>
        <w:rPr>
          <w:rFonts w:ascii="Times New Roman"/>
        </w:rPr>
      </w:pPr>
      <w:bookmarkStart w:id="6" w:name="_Toc27071"/>
      <w:bookmarkStart w:id="7" w:name="_Toc16840"/>
      <w:bookmarkStart w:id="8" w:name="_Toc11729"/>
      <w:r>
        <w:rPr>
          <w:rFonts w:ascii="Times New Roman"/>
        </w:rPr>
        <w:t>一体化污泥高效脱水处理设备</w:t>
      </w:r>
      <w:bookmarkEnd w:id="6"/>
      <w:bookmarkEnd w:id="7"/>
      <w:bookmarkEnd w:id="8"/>
    </w:p>
    <w:p>
      <w:pPr>
        <w:pStyle w:val="59"/>
        <w:spacing w:before="312" w:beforeLines="100" w:after="312" w:afterLines="100"/>
        <w:ind w:left="0"/>
        <w:outlineLvl w:val="0"/>
        <w:rPr>
          <w:rFonts w:ascii="Times New Roman"/>
        </w:rPr>
      </w:pPr>
      <w:bookmarkStart w:id="9" w:name="_Toc29586"/>
      <w:r>
        <w:rPr>
          <w:rFonts w:ascii="Times New Roman"/>
        </w:rPr>
        <w:t>范围</w:t>
      </w:r>
      <w:bookmarkEnd w:id="9"/>
    </w:p>
    <w:p>
      <w:pPr>
        <w:pStyle w:val="58"/>
        <w:ind w:firstLine="420"/>
        <w:rPr>
          <w:rFonts w:ascii="Times New Roman"/>
        </w:rPr>
      </w:pPr>
      <w:r>
        <w:rPr>
          <w:rFonts w:ascii="Times New Roman"/>
        </w:rPr>
        <w:t>本文件规定了一体化污泥高效脱水处理设备的术语和定义、技术要求、试验方法、检验规则、标志、包装、运输和贮存要求。</w:t>
      </w:r>
    </w:p>
    <w:p>
      <w:pPr>
        <w:pStyle w:val="58"/>
        <w:ind w:firstLine="420"/>
        <w:rPr>
          <w:rFonts w:ascii="Times New Roman"/>
        </w:rPr>
      </w:pPr>
      <w:r>
        <w:rPr>
          <w:rFonts w:ascii="Times New Roman"/>
        </w:rPr>
        <w:t>本文件适用于含水率不大于85%城镇污水污泥、自来水厂排泥、印染污泥、油污泥的脱水处理。本文件不适用于工业污泥和列入国家危险废物名录污泥的脱水处理。</w:t>
      </w:r>
    </w:p>
    <w:p>
      <w:pPr>
        <w:pStyle w:val="59"/>
        <w:spacing w:before="312" w:beforeLines="100" w:after="312" w:afterLines="100"/>
        <w:ind w:left="0"/>
        <w:outlineLvl w:val="0"/>
        <w:rPr>
          <w:rFonts w:ascii="Times New Roman"/>
        </w:rPr>
      </w:pPr>
      <w:bookmarkStart w:id="10" w:name="_Toc32056"/>
      <w:r>
        <w:rPr>
          <w:rFonts w:ascii="Times New Roman"/>
        </w:rPr>
        <w:t>规范性引用文件</w:t>
      </w:r>
      <w:bookmarkEnd w:id="10"/>
    </w:p>
    <w:p>
      <w:pPr>
        <w:pStyle w:val="58"/>
        <w:ind w:firstLine="420"/>
        <w:rPr>
          <w:rFonts w:ascii="Times New Roman"/>
        </w:rPr>
      </w:pPr>
      <w:r>
        <w:rPr>
          <w:rFonts w:ascii="Times New Roman"/>
        </w:rPr>
        <w:t>下列文件中的内容通过文中的规范性引用而构成本文件必不可少的条款，其中，注日期的引用文件，仅该日期对应的版本适用于本文件；不注日期的引用文件，其最新版本（包括所有的修改单）适用于本文件。</w:t>
      </w:r>
    </w:p>
    <w:p>
      <w:pPr>
        <w:ind w:firstLine="420" w:firstLineChars="200"/>
      </w:pPr>
      <w:r>
        <w:t>GB/T 191  包装储运图示标志</w:t>
      </w:r>
    </w:p>
    <w:p>
      <w:pPr>
        <w:keepNext w:val="0"/>
        <w:keepLines w:val="0"/>
        <w:pageBreakBefore w:val="0"/>
        <w:kinsoku/>
        <w:overflowPunct/>
        <w:topLinePunct w:val="0"/>
        <w:autoSpaceDE/>
        <w:autoSpaceDN/>
        <w:bidi w:val="0"/>
        <w:adjustRightInd/>
        <w:snapToGrid/>
        <w:ind w:firstLine="420" w:firstLineChars="200"/>
        <w:textAlignment w:val="auto"/>
        <w:outlineLvl w:val="9"/>
        <w:rPr>
          <w:rFonts w:hint="eastAsia" w:eastAsiaTheme="majorEastAsia"/>
          <w:kern w:val="0"/>
          <w:szCs w:val="20"/>
        </w:rPr>
      </w:pPr>
      <w:r>
        <w:rPr>
          <w:rFonts w:hint="eastAsia" w:eastAsiaTheme="majorEastAsia"/>
          <w:kern w:val="0"/>
          <w:szCs w:val="20"/>
        </w:rPr>
        <w:t>GB 243 通风与空调工程施工质量验收规范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0" w:lineRule="atLeast"/>
        <w:ind w:left="0" w:right="0" w:firstLine="420" w:firstLineChars="200"/>
        <w:jc w:val="left"/>
        <w:textAlignment w:val="auto"/>
        <w:outlineLvl w:val="9"/>
        <w:rPr>
          <w:rFonts w:hint="default" w:ascii="Times New Roman" w:hAnsi="Times New Roman" w:cs="Times New Roman" w:eastAsiaTheme="majorEastAsia"/>
          <w:b w:val="0"/>
          <w:bCs w:val="0"/>
          <w:kern w:val="0"/>
          <w:sz w:val="21"/>
          <w:szCs w:val="20"/>
          <w:lang w:val="en-US" w:eastAsia="zh-CN" w:bidi="ar-SA"/>
        </w:rPr>
      </w:pPr>
      <w:r>
        <w:rPr>
          <w:rFonts w:hint="eastAsia" w:ascii="Times New Roman" w:hAnsi="Times New Roman" w:cs="Times New Roman" w:eastAsiaTheme="majorEastAsia"/>
          <w:b w:val="0"/>
          <w:bCs w:val="0"/>
          <w:kern w:val="0"/>
          <w:sz w:val="21"/>
          <w:szCs w:val="20"/>
          <w:lang w:val="en-US" w:eastAsia="zh-CN" w:bidi="ar-SA"/>
        </w:rPr>
        <w:t>GB</w:t>
      </w:r>
      <w:r>
        <w:rPr>
          <w:rFonts w:hint="eastAsia" w:cs="Times New Roman" w:eastAsiaTheme="majorEastAsia"/>
          <w:b w:val="0"/>
          <w:bCs w:val="0"/>
          <w:kern w:val="0"/>
          <w:sz w:val="21"/>
          <w:szCs w:val="20"/>
          <w:lang w:val="en-US" w:eastAsia="zh-CN" w:bidi="ar-SA"/>
        </w:rPr>
        <w:t xml:space="preserve"> </w:t>
      </w:r>
      <w:r>
        <w:rPr>
          <w:rFonts w:hint="eastAsia" w:ascii="Times New Roman" w:hAnsi="Times New Roman" w:cs="Times New Roman" w:eastAsiaTheme="majorEastAsia"/>
          <w:b w:val="0"/>
          <w:bCs w:val="0"/>
          <w:kern w:val="0"/>
          <w:sz w:val="21"/>
          <w:szCs w:val="20"/>
          <w:lang w:val="en-US" w:eastAsia="zh-CN" w:bidi="ar-SA"/>
        </w:rPr>
        <w:t xml:space="preserve">567 </w:t>
      </w:r>
      <w:r>
        <w:rPr>
          <w:rFonts w:hint="default" w:ascii="Times New Roman" w:hAnsi="Times New Roman" w:cs="Times New Roman" w:eastAsiaTheme="majorEastAsia"/>
          <w:b w:val="0"/>
          <w:bCs w:val="0"/>
          <w:kern w:val="0"/>
          <w:sz w:val="21"/>
          <w:szCs w:val="20"/>
          <w:lang w:val="en-US" w:eastAsia="zh-CN" w:bidi="ar-SA"/>
        </w:rPr>
        <w:t>爆破片安全装置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420" w:firstLineChars="200"/>
        <w:textAlignment w:val="auto"/>
        <w:outlineLvl w:val="9"/>
        <w:rPr>
          <w:rFonts w:hint="eastAsia" w:ascii="Times New Roman" w:hAnsi="Times New Roman" w:cs="Times New Roman" w:eastAsiaTheme="majorEastAsia"/>
          <w:b w:val="0"/>
          <w:bCs w:val="0"/>
          <w:kern w:val="0"/>
          <w:sz w:val="21"/>
          <w:szCs w:val="20"/>
          <w:lang w:val="en-US" w:eastAsia="zh-CN" w:bidi="ar-SA"/>
        </w:rPr>
      </w:pPr>
      <w:r>
        <w:rPr>
          <w:rFonts w:hint="eastAsia" w:ascii="Times New Roman" w:hAnsi="Times New Roman" w:cs="Times New Roman" w:eastAsiaTheme="majorEastAsia"/>
          <w:b w:val="0"/>
          <w:bCs w:val="0"/>
          <w:kern w:val="0"/>
          <w:sz w:val="21"/>
          <w:szCs w:val="20"/>
          <w:lang w:val="en-US" w:eastAsia="zh-CN" w:bidi="ar-SA"/>
        </w:rPr>
        <w:t xml:space="preserve">GB 2894 </w:t>
      </w:r>
      <w:r>
        <w:rPr>
          <w:rFonts w:hint="default" w:ascii="Times New Roman" w:hAnsi="Times New Roman" w:cs="Times New Roman" w:eastAsiaTheme="majorEastAsia"/>
          <w:b w:val="0"/>
          <w:bCs w:val="0"/>
          <w:kern w:val="0"/>
          <w:sz w:val="21"/>
          <w:szCs w:val="20"/>
          <w:lang w:val="en-US" w:eastAsia="zh-CN" w:bidi="ar-SA"/>
        </w:rPr>
        <w:t>安全标志及其使用导则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420" w:firstLineChars="200"/>
        <w:textAlignment w:val="auto"/>
        <w:outlineLvl w:val="9"/>
        <w:rPr>
          <w:rFonts w:hint="eastAsia" w:ascii="Times New Roman" w:hAnsi="Times New Roman" w:cs="Times New Roman" w:eastAsiaTheme="majorEastAsia"/>
          <w:b w:val="0"/>
          <w:bCs w:val="0"/>
          <w:kern w:val="0"/>
          <w:sz w:val="21"/>
          <w:szCs w:val="20"/>
          <w:lang w:val="en-US" w:eastAsia="zh-CN" w:bidi="ar-SA"/>
        </w:rPr>
      </w:pPr>
      <w:r>
        <w:rPr>
          <w:rFonts w:hint="eastAsia" w:ascii="Times New Roman" w:hAnsi="Times New Roman" w:cs="Times New Roman" w:eastAsiaTheme="majorEastAsia"/>
          <w:b w:val="0"/>
          <w:bCs w:val="0"/>
          <w:kern w:val="0"/>
          <w:sz w:val="21"/>
          <w:szCs w:val="20"/>
          <w:lang w:val="en-US" w:eastAsia="zh-CN" w:bidi="ar-SA"/>
        </w:rPr>
        <w:t>GB 5226.1 机械电气安全机械电气设备 第1部分：通用技术条件</w:t>
      </w:r>
    </w:p>
    <w:p>
      <w:pPr>
        <w:ind w:firstLine="420" w:firstLineChars="200"/>
      </w:pPr>
      <w:r>
        <w:t>GB/T 6388 运输包装收发货标志</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t>GB 8978 污水综合排放标准</w:t>
      </w:r>
    </w:p>
    <w:p>
      <w:pPr>
        <w:ind w:firstLine="420" w:firstLineChars="200"/>
      </w:pPr>
      <w:r>
        <w:t>GB/T 9174 一般货物运输包装通用技术条件</w:t>
      </w:r>
    </w:p>
    <w:p>
      <w:pPr>
        <w:ind w:firstLine="420" w:firstLineChars="200"/>
      </w:pPr>
      <w:r>
        <w:t>GB/T 9969工业产品使用说明 总则</w:t>
      </w:r>
    </w:p>
    <w:p>
      <w:pPr>
        <w:ind w:firstLine="420" w:firstLineChars="200"/>
      </w:pPr>
      <w:r>
        <w:t>GB 12348 工业企业厂界环境噪声排放标准</w:t>
      </w:r>
    </w:p>
    <w:p>
      <w:pPr>
        <w:ind w:firstLine="420" w:firstLineChars="200"/>
      </w:pPr>
      <w:r>
        <w:t>GB/T 13306 标牌</w:t>
      </w:r>
    </w:p>
    <w:p>
      <w:pPr>
        <w:ind w:firstLine="420" w:firstLineChars="200"/>
      </w:pPr>
      <w:r>
        <w:t>GB/T 13384</w:t>
      </w:r>
      <w:r>
        <w:rPr>
          <w:rFonts w:hint="eastAsia"/>
          <w:lang w:val="en-US" w:eastAsia="zh-CN"/>
        </w:rPr>
        <w:t xml:space="preserve"> </w:t>
      </w:r>
      <w:r>
        <w:rPr>
          <w:rFonts w:hint="default"/>
        </w:rPr>
        <w:t>机电产品包装通用技术条件</w:t>
      </w:r>
    </w:p>
    <w:p>
      <w:pPr>
        <w:ind w:firstLine="420" w:firstLineChars="200"/>
      </w:pPr>
      <w:r>
        <w:t>GB 14554 恶臭污染物排放标准</w:t>
      </w:r>
    </w:p>
    <w:p>
      <w:pPr>
        <w:ind w:firstLine="420" w:firstLineChars="200"/>
      </w:pPr>
      <w:r>
        <w:t>GB 16297 大气污染物综合排放标准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0" w:lineRule="atLeast"/>
        <w:ind w:left="0" w:right="0" w:firstLine="420" w:firstLineChars="200"/>
        <w:textAlignment w:val="auto"/>
        <w:outlineLvl w:val="9"/>
        <w:rPr>
          <w:rFonts w:ascii="Times New Roman" w:hAnsi="Times New Roman" w:eastAsia="宋体" w:cs="Times New Roman"/>
          <w:b w:val="0"/>
          <w:bCs w:val="0"/>
          <w:kern w:val="2"/>
          <w:sz w:val="21"/>
          <w:szCs w:val="24"/>
          <w:lang w:val="en-US" w:eastAsia="zh-CN" w:bidi="ar-SA"/>
        </w:rPr>
      </w:pPr>
      <w:r>
        <w:rPr>
          <w:rFonts w:ascii="Times New Roman" w:hAnsi="Times New Roman" w:eastAsia="宋体" w:cs="Times New Roman"/>
          <w:b w:val="0"/>
          <w:bCs w:val="0"/>
          <w:kern w:val="2"/>
          <w:sz w:val="21"/>
          <w:szCs w:val="24"/>
          <w:lang w:val="en-US" w:eastAsia="zh-CN" w:bidi="ar-SA"/>
        </w:rPr>
        <w:t>GB/T</w:t>
      </w:r>
      <w:r>
        <w:rPr>
          <w:rFonts w:hint="eastAsia" w:cs="Times New Roman"/>
          <w:b w:val="0"/>
          <w:bCs w:val="0"/>
          <w:kern w:val="2"/>
          <w:sz w:val="21"/>
          <w:szCs w:val="24"/>
          <w:lang w:val="en-US" w:eastAsia="zh-CN" w:bidi="ar-SA"/>
        </w:rPr>
        <w:t xml:space="preserve"> </w:t>
      </w:r>
      <w:r>
        <w:rPr>
          <w:rFonts w:ascii="Times New Roman" w:hAnsi="Times New Roman" w:eastAsia="宋体" w:cs="Times New Roman"/>
          <w:b w:val="0"/>
          <w:bCs w:val="0"/>
          <w:kern w:val="2"/>
          <w:sz w:val="21"/>
          <w:szCs w:val="24"/>
          <w:lang w:val="en-US" w:eastAsia="zh-CN" w:bidi="ar-SA"/>
        </w:rPr>
        <w:t>16471</w:t>
      </w:r>
      <w:r>
        <w:rPr>
          <w:rFonts w:hint="eastAsia" w:ascii="Times New Roman" w:hAnsi="Times New Roman" w:eastAsia="宋体" w:cs="Times New Roman"/>
          <w:b w:val="0"/>
          <w:bCs w:val="0"/>
          <w:kern w:val="2"/>
          <w:sz w:val="21"/>
          <w:szCs w:val="24"/>
          <w:lang w:val="en-US" w:eastAsia="zh-CN" w:bidi="ar-SA"/>
        </w:rPr>
        <w:t xml:space="preserve"> </w:t>
      </w:r>
      <w:r>
        <w:rPr>
          <w:rFonts w:hint="default" w:ascii="Times New Roman" w:hAnsi="Times New Roman" w:eastAsia="宋体" w:cs="Times New Roman"/>
          <w:b w:val="0"/>
          <w:bCs w:val="0"/>
          <w:kern w:val="2"/>
          <w:sz w:val="21"/>
          <w:szCs w:val="24"/>
          <w:lang w:val="en-US" w:eastAsia="zh-CN" w:bidi="ar-SA"/>
        </w:rPr>
        <w:t>运输包装件尺寸与质量界限</w:t>
      </w:r>
    </w:p>
    <w:p>
      <w:pPr>
        <w:ind w:firstLine="420" w:firstLineChars="200"/>
      </w:pPr>
      <w:r>
        <w:t>GB/T 19804 焊接结构的一般尺寸公差和形位公差</w:t>
      </w:r>
    </w:p>
    <w:p>
      <w:pPr>
        <w:ind w:firstLine="420" w:firstLineChars="200"/>
        <w:rPr>
          <w:rFonts w:hint="eastAsia" w:eastAsiaTheme="majorEastAsia"/>
          <w:kern w:val="0"/>
          <w:szCs w:val="20"/>
        </w:rPr>
      </w:pPr>
      <w:r>
        <w:rPr>
          <w:rFonts w:hint="eastAsia" w:eastAsiaTheme="majorEastAsia"/>
          <w:kern w:val="0"/>
          <w:szCs w:val="20"/>
        </w:rPr>
        <w:t>GB 50093 自动化仪表工程施工及质量验收规范</w:t>
      </w:r>
    </w:p>
    <w:p>
      <w:pPr>
        <w:ind w:firstLine="420" w:firstLineChars="200"/>
        <w:rPr>
          <w:rFonts w:hint="default"/>
          <w:lang w:val="en-US" w:eastAsia="zh-CN"/>
        </w:rPr>
      </w:pPr>
      <w:r>
        <w:rPr>
          <w:rFonts w:hint="eastAsia"/>
          <w:lang w:val="en-US" w:eastAsia="zh-CN"/>
        </w:rPr>
        <w:t>GB 50211</w:t>
      </w:r>
      <w:r>
        <w:rPr>
          <w:rFonts w:hint="default"/>
          <w:lang w:val="en-US" w:eastAsia="zh-CN"/>
        </w:rPr>
        <w:t>工业炉砌筑工程施工与验收规范</w:t>
      </w:r>
      <w:r>
        <w:rPr>
          <w:rFonts w:hint="eastAsia"/>
          <w:lang w:val="en-US" w:eastAsia="zh-CN"/>
        </w:rPr>
        <w:t xml:space="preserve"> </w:t>
      </w:r>
    </w:p>
    <w:p>
      <w:pPr>
        <w:ind w:firstLine="420" w:firstLineChars="200"/>
        <w:rPr>
          <w:rFonts w:hint="eastAsia"/>
        </w:rPr>
      </w:pPr>
      <w:r>
        <w:rPr>
          <w:rFonts w:hint="eastAsia"/>
        </w:rPr>
        <w:t>GB 50231 机械设备安装工程施工及验收通用规范</w:t>
      </w:r>
    </w:p>
    <w:p>
      <w:pPr>
        <w:ind w:firstLine="420" w:firstLineChars="200"/>
        <w:rPr>
          <w:highlight w:val="none"/>
        </w:rPr>
      </w:pPr>
      <w:r>
        <w:rPr>
          <w:highlight w:val="none"/>
        </w:rPr>
        <w:t>CJ</w:t>
      </w:r>
      <w:r>
        <w:rPr>
          <w:rFonts w:hint="eastAsia"/>
          <w:highlight w:val="none"/>
          <w:lang w:val="en-US" w:eastAsia="zh-CN"/>
        </w:rPr>
        <w:t>J</w:t>
      </w:r>
      <w:r>
        <w:rPr>
          <w:highlight w:val="none"/>
        </w:rPr>
        <w:t xml:space="preserve"> 131 城镇污水处理厂污泥处理技术规程 </w:t>
      </w:r>
    </w:p>
    <w:p>
      <w:pPr>
        <w:ind w:firstLine="420" w:firstLineChars="200"/>
      </w:pPr>
      <w:r>
        <w:t>CJ/T</w:t>
      </w:r>
      <w:r>
        <w:rPr>
          <w:rFonts w:hint="eastAsia"/>
        </w:rPr>
        <w:t xml:space="preserve"> </w:t>
      </w:r>
      <w:r>
        <w:t xml:space="preserve">221 城市污水处理厂污泥检验方法 </w:t>
      </w:r>
    </w:p>
    <w:p>
      <w:pPr>
        <w:ind w:firstLine="420" w:firstLineChars="200"/>
      </w:pPr>
      <w:r>
        <w:t>JB/ZQ 4000.10 涂装通用技术条件</w:t>
      </w:r>
    </w:p>
    <w:p>
      <w:pPr>
        <w:pStyle w:val="2"/>
        <w:keepNext w:val="0"/>
        <w:keepLines w:val="0"/>
        <w:pageBreakBefore w:val="0"/>
        <w:widowControl w:val="0"/>
        <w:kinsoku/>
        <w:wordWrap/>
        <w:overflowPunct/>
        <w:topLinePunct w:val="0"/>
        <w:autoSpaceDE/>
        <w:autoSpaceDN/>
        <w:bidi w:val="0"/>
        <w:adjustRightInd/>
        <w:snapToGrid w:val="0"/>
        <w:ind w:right="0" w:rightChars="0" w:firstLine="420" w:firstLineChars="200"/>
        <w:jc w:val="left"/>
        <w:textAlignment w:val="auto"/>
        <w:rPr>
          <w:rFonts w:hint="default"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JB/T 4333.2</w:t>
      </w:r>
      <w:r>
        <w:rPr>
          <w:rFonts w:hint="eastAsia" w:cs="Times New Roman"/>
          <w:kern w:val="2"/>
          <w:sz w:val="21"/>
          <w:szCs w:val="24"/>
          <w:lang w:val="en-US" w:eastAsia="zh-CN" w:bidi="ar-SA"/>
        </w:rPr>
        <w:t xml:space="preserve"> 厢式压滤机和板框压滤机 第2部分：技术条件</w:t>
      </w:r>
    </w:p>
    <w:p>
      <w:pPr>
        <w:ind w:firstLine="420" w:firstLineChars="200"/>
      </w:pPr>
      <w:r>
        <w:t>NB/T 47003.1 钢制焊接常压容器</w:t>
      </w:r>
    </w:p>
    <w:p>
      <w:pPr>
        <w:pStyle w:val="59"/>
        <w:spacing w:before="312" w:beforeLines="100" w:after="312" w:afterLines="100"/>
        <w:ind w:left="0"/>
        <w:outlineLvl w:val="0"/>
        <w:rPr>
          <w:rFonts w:ascii="Times New Roman"/>
        </w:rPr>
      </w:pPr>
      <w:bookmarkStart w:id="11" w:name="_Toc24300"/>
      <w:r>
        <w:rPr>
          <w:rFonts w:ascii="Times New Roman"/>
        </w:rPr>
        <w:t>术语和定义</w:t>
      </w:r>
      <w:bookmarkEnd w:id="11"/>
    </w:p>
    <w:bookmarkEnd w:id="0"/>
    <w:p>
      <w:pPr>
        <w:pStyle w:val="58"/>
        <w:ind w:firstLine="420"/>
        <w:rPr>
          <w:rFonts w:ascii="Times New Roman"/>
          <w:color w:val="000000"/>
        </w:rPr>
      </w:pPr>
      <w:r>
        <w:rPr>
          <w:rFonts w:ascii="Times New Roman"/>
        </w:rPr>
        <w:t>GB 12348、CJ/T 221界定的</w:t>
      </w:r>
      <w:r>
        <w:rPr>
          <w:rFonts w:ascii="Times New Roman"/>
          <w:color w:val="000000"/>
        </w:rPr>
        <w:t>以及下列术语和定义适用于本文件。</w:t>
      </w:r>
    </w:p>
    <w:p>
      <w:pPr>
        <w:tabs>
          <w:tab w:val="left" w:pos="7720"/>
        </w:tabs>
        <w:spacing w:before="156" w:beforeLines="50" w:after="156" w:afterLines="50"/>
        <w:rPr>
          <w:rFonts w:eastAsia="黑体"/>
        </w:rPr>
      </w:pPr>
    </w:p>
    <w:p>
      <w:pPr>
        <w:tabs>
          <w:tab w:val="left" w:pos="7720"/>
        </w:tabs>
        <w:spacing w:before="156" w:beforeLines="50" w:after="156" w:afterLines="50"/>
        <w:rPr>
          <w:rFonts w:eastAsia="黑体"/>
        </w:rPr>
      </w:pPr>
      <w:r>
        <w:rPr>
          <w:rFonts w:eastAsia="黑体"/>
        </w:rPr>
        <w:t>3.1</w:t>
      </w:r>
      <w:r>
        <w:rPr>
          <w:rFonts w:eastAsia="黑体"/>
        </w:rPr>
        <w:tab/>
      </w:r>
    </w:p>
    <w:p>
      <w:pPr>
        <w:ind w:firstLine="420" w:firstLineChars="200"/>
        <w:rPr>
          <w:rFonts w:ascii="黑体" w:hAnsi="黑体" w:eastAsia="黑体" w:cs="黑体"/>
        </w:rPr>
      </w:pPr>
      <w:r>
        <w:rPr>
          <w:rFonts w:hint="eastAsia" w:ascii="黑体" w:hAnsi="黑体" w:eastAsia="黑体" w:cs="黑体"/>
        </w:rPr>
        <w:t>一体化污泥高效脱水处理设备 integrated high efficiency sludge dewatering equipment</w:t>
      </w:r>
    </w:p>
    <w:p>
      <w:pPr>
        <w:ind w:firstLine="420" w:firstLineChars="200"/>
        <w:rPr>
          <w:rFonts w:hint="default" w:eastAsia="宋体"/>
          <w:highlight w:val="none"/>
          <w:lang w:val="en-US" w:eastAsia="zh-CN"/>
        </w:rPr>
      </w:pPr>
      <w:r>
        <w:rPr>
          <w:rFonts w:hint="eastAsia"/>
          <w:highlight w:val="none"/>
        </w:rPr>
        <w:t>通过干化碳化等技术方法</w:t>
      </w:r>
      <w:r>
        <w:rPr>
          <w:rFonts w:hint="eastAsia"/>
          <w:highlight w:val="none"/>
          <w:lang w:val="en-US" w:eastAsia="zh-CN"/>
        </w:rPr>
        <w:t>进行污泥深度脱水的高效一体化设备。</w:t>
      </w:r>
    </w:p>
    <w:p>
      <w:pPr>
        <w:tabs>
          <w:tab w:val="left" w:pos="7720"/>
        </w:tabs>
        <w:spacing w:before="156" w:beforeLines="50" w:after="156" w:afterLines="50"/>
        <w:rPr>
          <w:rFonts w:eastAsia="黑体"/>
        </w:rPr>
      </w:pPr>
      <w:r>
        <w:rPr>
          <w:rFonts w:eastAsia="黑体"/>
        </w:rPr>
        <w:t>3.2</w:t>
      </w:r>
    </w:p>
    <w:p>
      <w:pPr>
        <w:pStyle w:val="2"/>
        <w:ind w:right="0" w:rightChars="0" w:firstLine="420" w:firstLineChars="200"/>
        <w:jc w:val="left"/>
        <w:rPr>
          <w:rFonts w:eastAsia="黑体"/>
          <w:bCs/>
          <w:sz w:val="21"/>
          <w:szCs w:val="24"/>
        </w:rPr>
      </w:pPr>
      <w:r>
        <w:rPr>
          <w:rFonts w:hint="eastAsia" w:ascii="黑体" w:hAnsi="黑体" w:eastAsia="黑体" w:cs="黑体"/>
          <w:sz w:val="21"/>
          <w:szCs w:val="24"/>
        </w:rPr>
        <w:t>污泥进料机构</w:t>
      </w:r>
      <w:r>
        <w:rPr>
          <w:rFonts w:hint="eastAsia" w:ascii="黑体" w:hAnsi="黑体" w:eastAsia="黑体" w:cs="黑体"/>
          <w:bCs/>
          <w:sz w:val="21"/>
          <w:szCs w:val="24"/>
        </w:rPr>
        <w:t xml:space="preserve"> </w:t>
      </w:r>
      <w:r>
        <w:rPr>
          <w:rFonts w:hint="eastAsia" w:ascii="黑体" w:hAnsi="黑体" w:eastAsia="黑体" w:cs="黑体"/>
          <w:sz w:val="21"/>
          <w:szCs w:val="21"/>
        </w:rPr>
        <w:t>sludge feeding mechanism</w:t>
      </w:r>
    </w:p>
    <w:p>
      <w:pPr>
        <w:ind w:firstLine="420" w:firstLineChars="200"/>
        <w:rPr>
          <w:kern w:val="0"/>
          <w:szCs w:val="20"/>
        </w:rPr>
      </w:pPr>
      <w:r>
        <w:rPr>
          <w:kern w:val="0"/>
          <w:szCs w:val="20"/>
        </w:rPr>
        <w:t>一体化污泥高效脱水处理原料输入并控制原料输入量的设施。</w:t>
      </w:r>
    </w:p>
    <w:p>
      <w:pPr>
        <w:tabs>
          <w:tab w:val="left" w:pos="7720"/>
        </w:tabs>
        <w:spacing w:before="156" w:beforeLines="50" w:after="156" w:afterLines="50"/>
        <w:rPr>
          <w:rFonts w:eastAsia="黑体"/>
        </w:rPr>
      </w:pPr>
      <w:r>
        <w:rPr>
          <w:rFonts w:eastAsia="黑体"/>
        </w:rPr>
        <w:t>3.3</w:t>
      </w:r>
    </w:p>
    <w:p>
      <w:pPr>
        <w:pStyle w:val="2"/>
        <w:ind w:right="0" w:rightChars="0" w:firstLine="420" w:firstLineChars="200"/>
        <w:jc w:val="left"/>
        <w:rPr>
          <w:rFonts w:eastAsia="黑体"/>
          <w:bCs/>
          <w:sz w:val="21"/>
          <w:szCs w:val="24"/>
        </w:rPr>
      </w:pPr>
      <w:r>
        <w:rPr>
          <w:rFonts w:eastAsia="黑体"/>
          <w:bCs/>
          <w:sz w:val="21"/>
          <w:szCs w:val="24"/>
        </w:rPr>
        <w:t>设备供能系统</w:t>
      </w:r>
      <w:r>
        <w:rPr>
          <w:rFonts w:eastAsia="黑体"/>
          <w:sz w:val="21"/>
          <w:szCs w:val="21"/>
        </w:rPr>
        <w:t xml:space="preserve"> </w:t>
      </w:r>
      <w:r>
        <w:rPr>
          <w:rFonts w:hint="eastAsia" w:ascii="黑体" w:hAnsi="黑体" w:eastAsia="黑体" w:cs="黑体"/>
          <w:sz w:val="21"/>
          <w:szCs w:val="21"/>
        </w:rPr>
        <w:t>equipment energy supply system</w:t>
      </w:r>
    </w:p>
    <w:p>
      <w:pPr>
        <w:ind w:firstLine="420" w:firstLineChars="200"/>
        <w:rPr>
          <w:kern w:val="0"/>
          <w:szCs w:val="20"/>
        </w:rPr>
      </w:pPr>
      <w:r>
        <w:rPr>
          <w:kern w:val="0"/>
          <w:szCs w:val="20"/>
        </w:rPr>
        <w:t>一体化污泥高效脱水处理设备能量供给输入并控制热源输入量的设施。</w:t>
      </w:r>
    </w:p>
    <w:p>
      <w:pPr>
        <w:tabs>
          <w:tab w:val="left" w:pos="7720"/>
        </w:tabs>
        <w:spacing w:before="156" w:beforeLines="50" w:after="156" w:afterLines="50"/>
        <w:rPr>
          <w:rFonts w:eastAsia="黑体"/>
        </w:rPr>
      </w:pPr>
      <w:r>
        <w:rPr>
          <w:rFonts w:eastAsia="黑体"/>
        </w:rPr>
        <w:t>3.4</w:t>
      </w:r>
    </w:p>
    <w:p>
      <w:pPr>
        <w:ind w:firstLine="420" w:firstLineChars="200"/>
        <w:rPr>
          <w:rFonts w:ascii="黑体" w:hAnsi="黑体" w:eastAsia="黑体" w:cs="黑体"/>
          <w:bCs/>
          <w:szCs w:val="21"/>
        </w:rPr>
      </w:pPr>
      <w:r>
        <w:rPr>
          <w:rFonts w:eastAsia="黑体"/>
          <w:bCs/>
        </w:rPr>
        <w:t xml:space="preserve">燃烧室 </w:t>
      </w:r>
      <w:r>
        <w:rPr>
          <w:rFonts w:hint="eastAsia" w:ascii="黑体" w:hAnsi="黑体" w:eastAsia="黑体" w:cs="黑体"/>
          <w:kern w:val="0"/>
          <w:szCs w:val="21"/>
        </w:rPr>
        <w:t>combustion chamber</w:t>
      </w:r>
    </w:p>
    <w:p>
      <w:pPr>
        <w:ind w:firstLine="420" w:firstLineChars="200"/>
        <w:rPr>
          <w:kern w:val="0"/>
          <w:szCs w:val="20"/>
        </w:rPr>
      </w:pPr>
      <w:r>
        <w:rPr>
          <w:kern w:val="0"/>
          <w:szCs w:val="20"/>
        </w:rPr>
        <w:t>一体化污泥高效脱水处理设备热源释放腔体并控制热源聚合的设施。</w:t>
      </w:r>
    </w:p>
    <w:p>
      <w:pPr>
        <w:tabs>
          <w:tab w:val="left" w:pos="7720"/>
        </w:tabs>
        <w:spacing w:before="156" w:beforeLines="50" w:after="156" w:afterLines="50"/>
        <w:rPr>
          <w:rFonts w:eastAsia="黑体"/>
        </w:rPr>
      </w:pPr>
      <w:r>
        <w:rPr>
          <w:rFonts w:eastAsia="黑体"/>
        </w:rPr>
        <w:t>3.5</w:t>
      </w:r>
    </w:p>
    <w:p>
      <w:pPr>
        <w:ind w:firstLine="420" w:firstLineChars="200"/>
        <w:rPr>
          <w:rFonts w:eastAsia="黑体"/>
          <w:szCs w:val="21"/>
        </w:rPr>
      </w:pPr>
      <w:r>
        <w:rPr>
          <w:rFonts w:eastAsia="黑体"/>
          <w:bCs/>
        </w:rPr>
        <w:t xml:space="preserve">智能温控系统 </w:t>
      </w:r>
      <w:r>
        <w:rPr>
          <w:rFonts w:ascii="黑体" w:hAnsi="黑体" w:eastAsia="黑体" w:cs="黑体"/>
          <w:kern w:val="0"/>
          <w:szCs w:val="21"/>
        </w:rPr>
        <w:t>intelligent temperature control system</w:t>
      </w:r>
    </w:p>
    <w:p>
      <w:pPr>
        <w:ind w:firstLine="420" w:firstLineChars="200"/>
        <w:rPr>
          <w:kern w:val="0"/>
          <w:szCs w:val="20"/>
        </w:rPr>
      </w:pPr>
      <w:r>
        <w:rPr>
          <w:rFonts w:eastAsiaTheme="majorEastAsia"/>
          <w:kern w:val="0"/>
          <w:szCs w:val="20"/>
        </w:rPr>
        <w:t>根据负荷变化自动匹配</w:t>
      </w:r>
      <w:r>
        <w:rPr>
          <w:rFonts w:hint="eastAsia" w:eastAsiaTheme="majorEastAsia"/>
          <w:kern w:val="0"/>
          <w:szCs w:val="20"/>
        </w:rPr>
        <w:t>整机设备各系统</w:t>
      </w:r>
      <w:r>
        <w:rPr>
          <w:rFonts w:eastAsiaTheme="majorEastAsia"/>
          <w:kern w:val="0"/>
          <w:szCs w:val="20"/>
        </w:rPr>
        <w:t>输入参数</w:t>
      </w:r>
      <w:r>
        <w:rPr>
          <w:rFonts w:hint="eastAsia" w:eastAsiaTheme="majorEastAsia"/>
          <w:kern w:val="0"/>
          <w:szCs w:val="20"/>
        </w:rPr>
        <w:t>，并</w:t>
      </w:r>
      <w:r>
        <w:rPr>
          <w:kern w:val="0"/>
          <w:szCs w:val="20"/>
        </w:rPr>
        <w:t>精确控制污泥一体化污泥高效脱水处理设备工作温度的软件系统与设施。</w:t>
      </w:r>
    </w:p>
    <w:p>
      <w:pPr>
        <w:tabs>
          <w:tab w:val="left" w:pos="7720"/>
        </w:tabs>
        <w:spacing w:before="156" w:beforeLines="50" w:after="156" w:afterLines="50"/>
      </w:pPr>
      <w:r>
        <w:t>3.6</w:t>
      </w:r>
    </w:p>
    <w:p>
      <w:pPr>
        <w:ind w:firstLine="420" w:firstLineChars="200"/>
        <w:rPr>
          <w:rFonts w:eastAsia="黑体"/>
          <w:bCs/>
        </w:rPr>
      </w:pPr>
      <w:r>
        <w:rPr>
          <w:rFonts w:eastAsia="黑体"/>
          <w:bCs/>
        </w:rPr>
        <w:t>成品</w:t>
      </w:r>
      <w:r>
        <w:rPr>
          <w:rFonts w:hint="eastAsia" w:eastAsia="黑体"/>
          <w:bCs/>
        </w:rPr>
        <w:t>污泥</w:t>
      </w:r>
      <w:r>
        <w:rPr>
          <w:rFonts w:eastAsia="黑体"/>
          <w:bCs/>
        </w:rPr>
        <w:t xml:space="preserve">及废气收集系统 </w:t>
      </w:r>
      <w:r>
        <w:rPr>
          <w:rFonts w:ascii="黑体" w:hAnsi="黑体" w:eastAsia="黑体" w:cs="黑体"/>
          <w:kern w:val="0"/>
          <w:szCs w:val="21"/>
        </w:rPr>
        <w:t>finished sludge and waste gas collection system</w:t>
      </w:r>
    </w:p>
    <w:p>
      <w:pPr>
        <w:ind w:firstLine="420" w:firstLineChars="200"/>
        <w:rPr>
          <w:kern w:val="0"/>
          <w:szCs w:val="20"/>
        </w:rPr>
      </w:pPr>
      <w:r>
        <w:rPr>
          <w:kern w:val="0"/>
          <w:szCs w:val="20"/>
        </w:rPr>
        <w:t>一体化污泥高效脱水处理设备成品</w:t>
      </w:r>
      <w:r>
        <w:rPr>
          <w:rFonts w:hint="eastAsia"/>
          <w:kern w:val="0"/>
          <w:szCs w:val="20"/>
        </w:rPr>
        <w:t>污泥</w:t>
      </w:r>
      <w:r>
        <w:rPr>
          <w:kern w:val="0"/>
          <w:szCs w:val="20"/>
        </w:rPr>
        <w:t>收集及设备运行过程中产生的废气</w:t>
      </w:r>
      <w:r>
        <w:rPr>
          <w:rFonts w:hint="eastAsia"/>
          <w:kern w:val="0"/>
          <w:szCs w:val="20"/>
        </w:rPr>
        <w:t>收集</w:t>
      </w:r>
      <w:r>
        <w:rPr>
          <w:kern w:val="0"/>
          <w:szCs w:val="20"/>
        </w:rPr>
        <w:t>设施。</w:t>
      </w:r>
    </w:p>
    <w:p>
      <w:pPr>
        <w:tabs>
          <w:tab w:val="left" w:pos="7720"/>
        </w:tabs>
        <w:spacing w:before="156" w:beforeLines="50" w:after="156" w:afterLines="50"/>
      </w:pPr>
      <w:r>
        <w:t>3.7</w:t>
      </w:r>
    </w:p>
    <w:p>
      <w:pPr>
        <w:spacing w:line="360" w:lineRule="auto"/>
        <w:ind w:firstLine="420" w:firstLineChars="200"/>
        <w:rPr>
          <w:rFonts w:eastAsia="黑体"/>
          <w:bCs/>
        </w:rPr>
      </w:pPr>
      <w:r>
        <w:rPr>
          <w:rFonts w:eastAsia="黑体"/>
          <w:bCs/>
        </w:rPr>
        <w:t xml:space="preserve">废气排放集中管道 </w:t>
      </w:r>
      <w:r>
        <w:rPr>
          <w:rFonts w:ascii="黑体" w:hAnsi="黑体" w:eastAsia="黑体" w:cs="黑体"/>
          <w:kern w:val="0"/>
          <w:szCs w:val="21"/>
        </w:rPr>
        <w:t>entralized exhaust pipe</w:t>
      </w:r>
    </w:p>
    <w:p>
      <w:pPr>
        <w:ind w:firstLine="420" w:firstLineChars="200"/>
        <w:rPr>
          <w:kern w:val="0"/>
          <w:szCs w:val="20"/>
        </w:rPr>
      </w:pPr>
      <w:r>
        <w:rPr>
          <w:kern w:val="0"/>
          <w:szCs w:val="20"/>
        </w:rPr>
        <w:t>对一体化污泥高效脱水处理设备运行过程中产生的废气进行收集排放的管路设施。</w:t>
      </w:r>
    </w:p>
    <w:p>
      <w:pPr>
        <w:tabs>
          <w:tab w:val="left" w:pos="7720"/>
        </w:tabs>
        <w:spacing w:before="156" w:beforeLines="50" w:after="156" w:afterLines="50"/>
      </w:pPr>
      <w:r>
        <w:t>3.8</w:t>
      </w:r>
    </w:p>
    <w:p>
      <w:pPr>
        <w:ind w:firstLine="420" w:firstLineChars="200"/>
        <w:rPr>
          <w:rFonts w:eastAsia="黑体"/>
          <w:bCs/>
        </w:rPr>
      </w:pPr>
      <w:r>
        <w:rPr>
          <w:rFonts w:eastAsia="黑体"/>
          <w:bCs/>
        </w:rPr>
        <w:t>成品</w:t>
      </w:r>
      <w:r>
        <w:rPr>
          <w:rFonts w:hint="eastAsia" w:eastAsia="黑体"/>
          <w:bCs/>
        </w:rPr>
        <w:t>污泥</w:t>
      </w:r>
      <w:r>
        <w:rPr>
          <w:rFonts w:eastAsia="黑体"/>
          <w:bCs/>
        </w:rPr>
        <w:t>排放系统</w:t>
      </w:r>
      <w:r>
        <w:rPr>
          <w:rFonts w:ascii="黑体" w:hAnsi="黑体" w:eastAsia="黑体" w:cs="黑体"/>
          <w:kern w:val="0"/>
          <w:szCs w:val="21"/>
        </w:rPr>
        <w:t>finished sludge</w:t>
      </w:r>
      <w:r>
        <w:rPr>
          <w:rFonts w:hint="eastAsia" w:ascii="黑体" w:hAnsi="黑体" w:eastAsia="黑体" w:cs="黑体"/>
          <w:kern w:val="0"/>
          <w:szCs w:val="21"/>
        </w:rPr>
        <w:t xml:space="preserve"> </w:t>
      </w:r>
      <w:r>
        <w:rPr>
          <w:rFonts w:ascii="黑体" w:hAnsi="黑体" w:eastAsia="黑体" w:cs="黑体"/>
          <w:kern w:val="0"/>
          <w:szCs w:val="21"/>
        </w:rPr>
        <w:t>discharge system</w:t>
      </w:r>
    </w:p>
    <w:p>
      <w:pPr>
        <w:ind w:firstLine="420" w:firstLineChars="200"/>
        <w:rPr>
          <w:kern w:val="0"/>
          <w:szCs w:val="20"/>
        </w:rPr>
      </w:pPr>
      <w:r>
        <w:rPr>
          <w:kern w:val="0"/>
          <w:szCs w:val="20"/>
        </w:rPr>
        <w:t>一体化污泥高效脱水处理设备产生的成品进行收集排放的设施。</w:t>
      </w:r>
    </w:p>
    <w:p>
      <w:pPr>
        <w:tabs>
          <w:tab w:val="left" w:pos="7720"/>
        </w:tabs>
        <w:spacing w:before="156" w:beforeLines="50" w:after="156" w:afterLines="50"/>
      </w:pPr>
      <w:r>
        <w:t>3.9</w:t>
      </w:r>
    </w:p>
    <w:p>
      <w:pPr>
        <w:pStyle w:val="2"/>
        <w:ind w:right="0" w:rightChars="0" w:firstLine="420" w:firstLineChars="200"/>
        <w:jc w:val="left"/>
        <w:rPr>
          <w:rFonts w:eastAsia="黑体"/>
          <w:bCs/>
          <w:sz w:val="21"/>
          <w:szCs w:val="24"/>
        </w:rPr>
      </w:pPr>
      <w:r>
        <w:rPr>
          <w:rFonts w:hint="eastAsia" w:eastAsia="黑体"/>
          <w:bCs/>
          <w:sz w:val="21"/>
          <w:szCs w:val="24"/>
        </w:rPr>
        <w:t>进料</w:t>
      </w:r>
      <w:r>
        <w:rPr>
          <w:rFonts w:eastAsia="黑体"/>
          <w:bCs/>
          <w:sz w:val="21"/>
          <w:szCs w:val="24"/>
        </w:rPr>
        <w:t xml:space="preserve">污泥 </w:t>
      </w:r>
      <w:r>
        <w:rPr>
          <w:rFonts w:eastAsia="黑体"/>
          <w:sz w:val="21"/>
          <w:szCs w:val="21"/>
        </w:rPr>
        <w:t xml:space="preserve">sludge </w:t>
      </w:r>
      <w:r>
        <w:rPr>
          <w:rFonts w:hint="eastAsia" w:eastAsia="黑体"/>
          <w:sz w:val="21"/>
          <w:szCs w:val="21"/>
        </w:rPr>
        <w:t>before</w:t>
      </w:r>
      <w:r>
        <w:rPr>
          <w:rFonts w:eastAsia="黑体"/>
          <w:sz w:val="21"/>
          <w:szCs w:val="21"/>
        </w:rPr>
        <w:t xml:space="preserve"> treatment</w:t>
      </w:r>
    </w:p>
    <w:p>
      <w:pPr>
        <w:ind w:firstLine="420" w:firstLineChars="200"/>
        <w:rPr>
          <w:kern w:val="0"/>
          <w:szCs w:val="20"/>
        </w:rPr>
      </w:pPr>
      <w:r>
        <w:rPr>
          <w:kern w:val="0"/>
          <w:szCs w:val="20"/>
        </w:rPr>
        <w:t>一体化污泥高效脱水处理设备处理</w:t>
      </w:r>
      <w:r>
        <w:rPr>
          <w:rFonts w:hint="eastAsia"/>
          <w:kern w:val="0"/>
          <w:szCs w:val="20"/>
        </w:rPr>
        <w:t>前</w:t>
      </w:r>
      <w:r>
        <w:rPr>
          <w:kern w:val="0"/>
          <w:szCs w:val="20"/>
        </w:rPr>
        <w:t>的污泥。</w:t>
      </w:r>
    </w:p>
    <w:p>
      <w:pPr>
        <w:tabs>
          <w:tab w:val="left" w:pos="7720"/>
        </w:tabs>
        <w:spacing w:before="156" w:beforeLines="50" w:after="156" w:afterLines="50"/>
      </w:pPr>
      <w:r>
        <w:t>3.</w:t>
      </w:r>
      <w:r>
        <w:rPr>
          <w:rFonts w:hint="eastAsia"/>
        </w:rPr>
        <w:t>10</w:t>
      </w:r>
    </w:p>
    <w:p>
      <w:pPr>
        <w:pStyle w:val="2"/>
        <w:ind w:right="0" w:rightChars="0" w:firstLine="420" w:firstLineChars="200"/>
        <w:jc w:val="left"/>
        <w:rPr>
          <w:rFonts w:eastAsia="黑体"/>
          <w:bCs/>
          <w:sz w:val="21"/>
          <w:szCs w:val="24"/>
        </w:rPr>
      </w:pPr>
      <w:r>
        <w:rPr>
          <w:rFonts w:eastAsia="黑体"/>
          <w:bCs/>
          <w:sz w:val="21"/>
          <w:szCs w:val="24"/>
        </w:rPr>
        <w:t xml:space="preserve">成品污泥 </w:t>
      </w:r>
      <w:r>
        <w:rPr>
          <w:rFonts w:eastAsia="黑体"/>
          <w:sz w:val="21"/>
          <w:szCs w:val="21"/>
        </w:rPr>
        <w:t>sludge after treatment</w:t>
      </w:r>
    </w:p>
    <w:p>
      <w:pPr>
        <w:ind w:firstLine="420" w:firstLineChars="200"/>
        <w:rPr>
          <w:kern w:val="0"/>
          <w:szCs w:val="20"/>
        </w:rPr>
      </w:pPr>
      <w:r>
        <w:rPr>
          <w:kern w:val="0"/>
          <w:szCs w:val="20"/>
        </w:rPr>
        <w:t>通过一体化污泥高效脱水处理设备处理后的污泥。</w:t>
      </w:r>
    </w:p>
    <w:p>
      <w:pPr>
        <w:tabs>
          <w:tab w:val="left" w:pos="7720"/>
        </w:tabs>
        <w:spacing w:before="156" w:beforeLines="50" w:after="156" w:afterLines="50"/>
      </w:pPr>
      <w:r>
        <w:t>3.</w:t>
      </w:r>
      <w:r>
        <w:rPr>
          <w:rFonts w:hint="eastAsia"/>
        </w:rPr>
        <w:t>11</w:t>
      </w:r>
    </w:p>
    <w:p>
      <w:pPr>
        <w:pStyle w:val="2"/>
        <w:ind w:right="0" w:rightChars="0" w:firstLine="420" w:firstLineChars="200"/>
        <w:jc w:val="left"/>
        <w:rPr>
          <w:rFonts w:eastAsia="黑体"/>
          <w:bCs/>
          <w:sz w:val="21"/>
          <w:szCs w:val="24"/>
        </w:rPr>
      </w:pPr>
      <w:r>
        <w:rPr>
          <w:rFonts w:hint="eastAsia" w:eastAsia="黑体"/>
          <w:bCs/>
          <w:sz w:val="21"/>
          <w:szCs w:val="24"/>
        </w:rPr>
        <w:t>油</w:t>
      </w:r>
      <w:r>
        <w:rPr>
          <w:rFonts w:eastAsia="黑体"/>
          <w:bCs/>
          <w:sz w:val="21"/>
          <w:szCs w:val="24"/>
        </w:rPr>
        <w:t xml:space="preserve">污泥 </w:t>
      </w:r>
      <w:r>
        <w:rPr>
          <w:rFonts w:hint="eastAsia" w:eastAsia="黑体"/>
          <w:bCs/>
          <w:sz w:val="21"/>
          <w:szCs w:val="24"/>
        </w:rPr>
        <w:t xml:space="preserve">  Oily sludge</w:t>
      </w:r>
    </w:p>
    <w:p>
      <w:pPr>
        <w:pStyle w:val="2"/>
        <w:ind w:right="0" w:rightChars="0" w:firstLine="420" w:firstLineChars="200"/>
        <w:jc w:val="left"/>
        <w:rPr>
          <w:kern w:val="0"/>
          <w:sz w:val="21"/>
          <w:szCs w:val="20"/>
        </w:rPr>
      </w:pPr>
      <w:r>
        <w:rPr>
          <w:rFonts w:hint="eastAsia"/>
          <w:kern w:val="0"/>
          <w:sz w:val="21"/>
          <w:szCs w:val="20"/>
        </w:rPr>
        <w:t>混入</w:t>
      </w:r>
      <w:r>
        <w:rPr>
          <w:kern w:val="0"/>
          <w:sz w:val="21"/>
          <w:szCs w:val="20"/>
        </w:rPr>
        <w:t>原油或成品油，且不含重金属</w:t>
      </w:r>
      <w:r>
        <w:rPr>
          <w:rFonts w:hint="eastAsia"/>
          <w:kern w:val="0"/>
          <w:sz w:val="21"/>
          <w:szCs w:val="20"/>
        </w:rPr>
        <w:t>的污泥</w:t>
      </w:r>
      <w:r>
        <w:rPr>
          <w:kern w:val="0"/>
          <w:sz w:val="21"/>
          <w:szCs w:val="20"/>
        </w:rPr>
        <w:t>。</w:t>
      </w:r>
    </w:p>
    <w:p>
      <w:pPr>
        <w:pStyle w:val="59"/>
        <w:spacing w:before="312" w:beforeLines="100" w:after="312" w:afterLines="100"/>
        <w:ind w:left="0"/>
        <w:outlineLvl w:val="0"/>
        <w:rPr>
          <w:rFonts w:ascii="Times New Roman"/>
        </w:rPr>
      </w:pPr>
      <w:bookmarkStart w:id="12" w:name="_Toc27340"/>
      <w:r>
        <w:rPr>
          <w:rFonts w:ascii="Times New Roman"/>
        </w:rPr>
        <w:t>型号、工艺流程、基本参数</w:t>
      </w:r>
      <w:bookmarkEnd w:id="12"/>
    </w:p>
    <w:p>
      <w:pPr>
        <w:pStyle w:val="59"/>
        <w:numPr>
          <w:ilvl w:val="0"/>
          <w:numId w:val="0"/>
        </w:numPr>
        <w:spacing w:before="156" w:after="156"/>
        <w:outlineLvl w:val="2"/>
        <w:rPr>
          <w:rFonts w:ascii="Times New Roman"/>
        </w:rPr>
      </w:pPr>
      <w:r>
        <w:rPr>
          <w:rFonts w:ascii="Times New Roman"/>
        </w:rPr>
        <w:t>4.1 型号</w:t>
      </w:r>
    </w:p>
    <w:p>
      <w:pPr>
        <w:ind w:firstLine="420" w:firstLineChars="200"/>
        <w:rPr>
          <w:szCs w:val="21"/>
        </w:rPr>
      </w:pPr>
      <w:r>
        <w:rPr>
          <w:szCs w:val="21"/>
        </w:rPr>
        <w:t>一体化污泥高效脱水处理设备型号表示方法如下：</w:t>
      </w:r>
    </w:p>
    <w:p>
      <w:pPr>
        <w:pStyle w:val="2"/>
      </w:pPr>
    </w:p>
    <w:p>
      <w:pPr>
        <w:ind w:firstLine="1260" w:firstLineChars="600"/>
        <w:rPr>
          <w:rFonts w:eastAsia="黑体"/>
          <w:szCs w:val="22"/>
        </w:rPr>
      </w:pPr>
      <w:r>
        <w:rPr>
          <w:rFonts w:eastAsia="黑体"/>
          <w:szCs w:val="22"/>
        </w:rPr>
        <mc:AlternateContent>
          <mc:Choice Requires="wps">
            <w:drawing>
              <wp:anchor distT="0" distB="0" distL="114300" distR="114300" simplePos="0" relativeHeight="251666432" behindDoc="0" locked="0" layoutInCell="1" allowOverlap="1">
                <wp:simplePos x="0" y="0"/>
                <wp:positionH relativeFrom="column">
                  <wp:posOffset>1114425</wp:posOffset>
                </wp:positionH>
                <wp:positionV relativeFrom="paragraph">
                  <wp:posOffset>194945</wp:posOffset>
                </wp:positionV>
                <wp:extent cx="245110" cy="0"/>
                <wp:effectExtent l="0" t="6350" r="8890" b="6350"/>
                <wp:wrapNone/>
                <wp:docPr id="50" name="直接连接符 50"/>
                <wp:cNvGraphicFramePr/>
                <a:graphic xmlns:a="http://schemas.openxmlformats.org/drawingml/2006/main">
                  <a:graphicData uri="http://schemas.microsoft.com/office/word/2010/wordprocessingShape">
                    <wps:wsp>
                      <wps:cNvCnPr/>
                      <wps:spPr>
                        <a:xfrm>
                          <a:off x="0" y="0"/>
                          <a:ext cx="24511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87.75pt;margin-top:15.35pt;height:0pt;width:19.3pt;z-index:251666432;mso-width-relative:page;mso-height-relative:page;" filled="f" stroked="t" coordsize="21600,21600" o:gfxdata="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10;vO1F2AAAAAkBAAAPAAAAAAAAAAEAIAAAACIAAABkcnMvZG93bnJldi54bWxQSwECFAAUAAAACACH&#10;TuJAb6m6K+sBAADaAwAADgAAAAAAAAABACAAAAAnAQAAZHJzL2Uyb0RvYy54bWxQSwUGAAAAAAYA&#10;BgBZAQAAhAUAAAAA&#10;">
                <v:fill on="f" focussize="0,0"/>
                <v:stroke weight="1pt" color="#000000" joinstyle="round"/>
                <v:imagedata o:title=""/>
                <o:lock v:ext="edit" aspectratio="f"/>
              </v:line>
            </w:pict>
          </mc:Fallback>
        </mc:AlternateContent>
      </w:r>
      <w:r>
        <w:rPr>
          <w:rFonts w:eastAsia="黑体"/>
          <w:szCs w:val="22"/>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194945</wp:posOffset>
                </wp:positionV>
                <wp:extent cx="335915" cy="0"/>
                <wp:effectExtent l="0" t="6350" r="6985" b="6350"/>
                <wp:wrapNone/>
                <wp:docPr id="53" name="直接连接符 53"/>
                <wp:cNvGraphicFramePr/>
                <a:graphic xmlns:a="http://schemas.openxmlformats.org/drawingml/2006/main">
                  <a:graphicData uri="http://schemas.microsoft.com/office/word/2010/wordprocessingShape">
                    <wps:wsp>
                      <wps:cNvCnPr/>
                      <wps:spPr>
                        <a:xfrm>
                          <a:off x="0" y="0"/>
                          <a:ext cx="335915"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15.75pt;margin-top:15.35pt;height:0pt;width:26.45pt;z-index:251667456;mso-width-relative:page;mso-height-relative:page;" filled="f" stroked="t" coordsize="21600,21600" o:gfxdata="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tDuz72AAAAAkBAAAPAAAAAAAAAAEAIAAAACIAAABkcnMvZG93bnJldi54bWxQSwECFAAUAAAA&#10;CACHTuJAXlxU0e4BAADaAwAADgAAAAAAAAABACAAAAAnAQAAZHJzL2Uyb0RvYy54bWxQSwUGAAAA&#10;AAYABgBZAQAAhwUAAAAA&#10;">
                <v:fill on="f" focussize="0,0"/>
                <v:stroke weight="1pt" color="#000000" joinstyle="round"/>
                <v:imagedata o:title=""/>
                <o:lock v:ext="edit" aspectratio="f"/>
              </v:line>
            </w:pict>
          </mc:Fallback>
        </mc:AlternateContent>
      </w:r>
      <w:r>
        <w:rPr>
          <w:rFonts w:eastAsia="黑体"/>
          <w:szCs w:val="22"/>
        </w:rPr>
        <w:t>RT— WN  100T</w:t>
      </w:r>
    </w:p>
    <w:p>
      <w:pPr>
        <w:ind w:firstLine="360" w:firstLineChars="200"/>
        <w:jc w:val="center"/>
        <w:rPr>
          <w:rFonts w:eastAsia="黑体"/>
          <w:szCs w:val="22"/>
        </w:rPr>
      </w:pPr>
      <w:r>
        <w:rPr>
          <w:sz w:val="18"/>
        </w:rPr>
        <mc:AlternateContent>
          <mc:Choice Requires="wps">
            <w:drawing>
              <wp:anchor distT="0" distB="0" distL="114300" distR="114300" simplePos="0" relativeHeight="251672576" behindDoc="0" locked="0" layoutInCell="1" allowOverlap="1">
                <wp:simplePos x="0" y="0"/>
                <wp:positionH relativeFrom="column">
                  <wp:posOffset>1577975</wp:posOffset>
                </wp:positionH>
                <wp:positionV relativeFrom="paragraph">
                  <wp:posOffset>4445</wp:posOffset>
                </wp:positionV>
                <wp:extent cx="6985" cy="897890"/>
                <wp:effectExtent l="4445" t="0" r="13970" b="3810"/>
                <wp:wrapNone/>
                <wp:docPr id="51" name="直接连接符 51"/>
                <wp:cNvGraphicFramePr/>
                <a:graphic xmlns:a="http://schemas.openxmlformats.org/drawingml/2006/main">
                  <a:graphicData uri="http://schemas.microsoft.com/office/word/2010/wordprocessingShape">
                    <wps:wsp>
                      <wps:cNvCnPr/>
                      <wps:spPr>
                        <a:xfrm>
                          <a:off x="0" y="0"/>
                          <a:ext cx="6985" cy="8978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24.25pt;margin-top:0.35pt;height:70.7pt;width:0.55pt;z-index:251672576;mso-width-relative:page;mso-height-relative:page;" filled="f" stroked="t" coordsize="21600,21600" o:gfxdata="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r5UH9cAAAAIAQAADwAAAAAAAAABACAAAAAiAAAAZHJzL2Rvd25yZXYueG1sUEsBAhQAFAAA&#10;AAgAh07iQE7pgAbwAQAA3AMAAA4AAAAAAAAAAQAgAAAAJgEAAGRycy9lMm9Eb2MueG1sUEsFBgAA&#10;AAAGAAYAWQEAAIgFAAAAAA==&#10;">
                <v:fill on="f" focussize="0,0"/>
                <v:stroke color="#000000" joinstyle="round"/>
                <v:imagedata o:title=""/>
                <o:lock v:ext="edit" aspectratio="f"/>
              </v:lin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column">
                  <wp:posOffset>1244600</wp:posOffset>
                </wp:positionH>
                <wp:positionV relativeFrom="paragraph">
                  <wp:posOffset>3175</wp:posOffset>
                </wp:positionV>
                <wp:extent cx="635" cy="1317625"/>
                <wp:effectExtent l="4445" t="0" r="7620" b="3175"/>
                <wp:wrapNone/>
                <wp:docPr id="54" name="直接连接符 54"/>
                <wp:cNvGraphicFramePr/>
                <a:graphic xmlns:a="http://schemas.openxmlformats.org/drawingml/2006/main">
                  <a:graphicData uri="http://schemas.microsoft.com/office/word/2010/wordprocessingShape">
                    <wps:wsp>
                      <wps:cNvCnPr/>
                      <wps:spPr>
                        <a:xfrm>
                          <a:off x="0" y="0"/>
                          <a:ext cx="635" cy="13176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98pt;margin-top:0.25pt;height:103.75pt;width:0.05pt;z-index:251670528;mso-width-relative:page;mso-height-relative:page;" filled="f" stroked="t" coordsize="21600,21600" o:gfxdata="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Gmx+tYAAAAIAQAADwAAAAAAAAABACAAAAAiAAAAZHJzL2Rvd25yZXYueG1sUEsBAhQAFAAAAAgA&#10;h07iQDDDq2buAQAA3AMAAA4AAAAAAAAAAQAgAAAAJQEAAGRycy9lMm9Eb2MueG1sUEsFBgAAAAAG&#10;AAYAWQEAAIUFAAAAAA==&#10;">
                <v:fill on="f" focussize="0,0"/>
                <v:stroke color="#000000" joinstyle="round"/>
                <v:imagedata o:title=""/>
                <o:lock v:ext="edit" aspectratio="f"/>
              </v:line>
            </w:pict>
          </mc:Fallback>
        </mc:AlternateContent>
      </w:r>
      <w:r>
        <w:rPr>
          <w:rFonts w:eastAsia="黑体"/>
          <w:szCs w:val="22"/>
        </w:rPr>
        <mc:AlternateContent>
          <mc:Choice Requires="wps">
            <w:drawing>
              <wp:anchor distT="0" distB="0" distL="114300" distR="114300" simplePos="0" relativeHeight="251668480" behindDoc="0" locked="0" layoutInCell="1" allowOverlap="1">
                <wp:simplePos x="0" y="0"/>
                <wp:positionH relativeFrom="column">
                  <wp:posOffset>880110</wp:posOffset>
                </wp:positionH>
                <wp:positionV relativeFrom="paragraph">
                  <wp:posOffset>19685</wp:posOffset>
                </wp:positionV>
                <wp:extent cx="0" cy="1653540"/>
                <wp:effectExtent l="4445" t="0" r="8255" b="10160"/>
                <wp:wrapNone/>
                <wp:docPr id="55" name="直接连接符 55"/>
                <wp:cNvGraphicFramePr/>
                <a:graphic xmlns:a="http://schemas.openxmlformats.org/drawingml/2006/main">
                  <a:graphicData uri="http://schemas.microsoft.com/office/word/2010/wordprocessingShape">
                    <wps:wsp>
                      <wps:cNvCnPr/>
                      <wps:spPr>
                        <a:xfrm>
                          <a:off x="0" y="0"/>
                          <a:ext cx="0" cy="16535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69.3pt;margin-top:1.55pt;height:130.2pt;width:0pt;z-index:251668480;mso-width-relative:page;mso-height-relative:page;" filled="f" stroked="t" coordsize="21600,21600" o:gfxdata="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6L&#10;GffVAAAACQEAAA8AAAAAAAAAAQAgAAAAIgAAAGRycy9kb3ducmV2LnhtbFBLAQIUABQAAAAIAIdO&#10;4kCmZIiY7QEAANoDAAAOAAAAAAAAAAEAIAAAACQBAABkcnMvZTJvRG9jLnhtbFBLBQYAAAAABgAG&#10;AFkBAACDBQAAAAA=&#10;">
                <v:fill on="f" focussize="0,0"/>
                <v:stroke color="#000000" joinstyle="round"/>
                <v:imagedata o:title=""/>
                <o:lock v:ext="edit" aspectratio="f"/>
              </v:line>
            </w:pict>
          </mc:Fallback>
        </mc:AlternateContent>
      </w:r>
      <w:r>
        <w:rPr>
          <w:rFonts w:eastAsia="黑体"/>
          <w:szCs w:val="22"/>
        </w:rPr>
        <mc:AlternateContent>
          <mc:Choice Requires="wps">
            <w:drawing>
              <wp:anchor distT="0" distB="0" distL="114300" distR="114300" simplePos="0" relativeHeight="251665408" behindDoc="0" locked="0" layoutInCell="1" allowOverlap="1">
                <wp:simplePos x="0" y="0"/>
                <wp:positionH relativeFrom="column">
                  <wp:posOffset>706120</wp:posOffset>
                </wp:positionH>
                <wp:positionV relativeFrom="paragraph">
                  <wp:posOffset>635</wp:posOffset>
                </wp:positionV>
                <wp:extent cx="323850" cy="0"/>
                <wp:effectExtent l="0" t="6350" r="6350" b="6350"/>
                <wp:wrapNone/>
                <wp:docPr id="45" name="直接连接符 45"/>
                <wp:cNvGraphicFramePr/>
                <a:graphic xmlns:a="http://schemas.openxmlformats.org/drawingml/2006/main">
                  <a:graphicData uri="http://schemas.microsoft.com/office/word/2010/wordprocessingShape">
                    <wps:wsp>
                      <wps:cNvCnPr/>
                      <wps:spPr>
                        <a:xfrm>
                          <a:off x="0" y="0"/>
                          <a:ext cx="32385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5.6pt;margin-top:0.05pt;height:0pt;width:25.5pt;z-index:251665408;mso-width-relative:page;mso-height-relative:page;" filled="f" stroked="t" coordsize="21600,21600" o:gfxdata="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cNdZW0AAA&#10;AAUBAAAPAAAAAAAAAAEAIAAAACIAAABkcnMvZG93bnJldi54bWxQSwECFAAUAAAACACHTuJALy3s&#10;ae0BAADaAwAADgAAAAAAAAABACAAAAAfAQAAZHJzL2Uyb0RvYy54bWxQSwUGAAAAAAYABgBZAQAA&#10;fgUAAAAA&#10;">
                <v:fill on="f" focussize="0,0"/>
                <v:stroke weight="1pt" color="#000000" joinstyle="round"/>
                <v:imagedata o:title=""/>
                <o:lock v:ext="edit" aspectratio="f"/>
              </v:line>
            </w:pict>
          </mc:Fallback>
        </mc:AlternateContent>
      </w:r>
    </w:p>
    <w:p>
      <w:pPr>
        <w:ind w:firstLine="420" w:firstLineChars="200"/>
        <w:rPr>
          <w:rFonts w:eastAsia="黑体"/>
          <w:szCs w:val="22"/>
        </w:rPr>
      </w:pPr>
    </w:p>
    <w:p>
      <w:pPr>
        <w:ind w:firstLine="420" w:firstLineChars="200"/>
        <w:rPr>
          <w:sz w:val="18"/>
        </w:rPr>
      </w:pPr>
      <w:r>
        <w:rPr>
          <w:rFonts w:eastAsia="黑体"/>
          <w:szCs w:val="22"/>
        </w:rPr>
        <w:t xml:space="preserve">                                    </w:t>
      </w:r>
    </w:p>
    <w:p>
      <w:pPr>
        <w:ind w:firstLine="360" w:firstLineChars="200"/>
        <w:rPr>
          <w:sz w:val="18"/>
        </w:rPr>
      </w:pPr>
      <w:r>
        <w:rPr>
          <w:sz w:val="18"/>
        </w:rPr>
        <w:t xml:space="preserve">                                           </w:t>
      </w:r>
    </w:p>
    <w:p>
      <w:pPr>
        <w:ind w:firstLine="360" w:firstLineChars="200"/>
        <w:rPr>
          <w:sz w:val="18"/>
        </w:rPr>
      </w:pPr>
      <w:r>
        <w:rPr>
          <w:sz w:val="18"/>
        </w:rPr>
        <mc:AlternateContent>
          <mc:Choice Requires="wps">
            <w:drawing>
              <wp:anchor distT="0" distB="0" distL="114300" distR="114300" simplePos="0" relativeHeight="251673600" behindDoc="0" locked="0" layoutInCell="1" allowOverlap="1">
                <wp:simplePos x="0" y="0"/>
                <wp:positionH relativeFrom="column">
                  <wp:posOffset>1578610</wp:posOffset>
                </wp:positionH>
                <wp:positionV relativeFrom="paragraph">
                  <wp:posOffset>95250</wp:posOffset>
                </wp:positionV>
                <wp:extent cx="1126490" cy="6985"/>
                <wp:effectExtent l="0" t="4445" r="3810" b="7620"/>
                <wp:wrapNone/>
                <wp:docPr id="52" name="直接连接符 52"/>
                <wp:cNvGraphicFramePr/>
                <a:graphic xmlns:a="http://schemas.openxmlformats.org/drawingml/2006/main">
                  <a:graphicData uri="http://schemas.microsoft.com/office/word/2010/wordprocessingShape">
                    <wps:wsp>
                      <wps:cNvCnPr/>
                      <wps:spPr>
                        <a:xfrm>
                          <a:off x="0" y="0"/>
                          <a:ext cx="1126490" cy="698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24.3pt;margin-top:7.5pt;height:0.55pt;width:88.7pt;z-index:251673600;mso-width-relative:page;mso-height-relative:page;" filled="f" stroked="t" coordsize="21600,21600" o:gfxdata="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g6nMHXAAAACQEAAA8AAAAAAAAAAQAgAAAAIgAAAGRycy9kb3ducmV2LnhtbFBLAQIUABQAAAAI&#10;AIdO4kC2Y4vR7gEAAN0DAAAOAAAAAAAAAAEAIAAAACYBAABkcnMvZTJvRG9jLnhtbFBLBQYAAAAA&#10;BgAGAFkBAACGBQAAAAA=&#10;">
                <v:fill on="f" focussize="0,0"/>
                <v:stroke color="#000000" joinstyle="round"/>
                <v:imagedata o:title=""/>
                <o:lock v:ext="edit" aspectratio="f"/>
              </v:line>
            </w:pict>
          </mc:Fallback>
        </mc:AlternateContent>
      </w:r>
      <w:r>
        <w:rPr>
          <w:sz w:val="18"/>
        </w:rPr>
        <w:t xml:space="preserve">                                            </w:t>
      </w:r>
      <w:r>
        <w:rPr>
          <w:rFonts w:hint="eastAsia"/>
          <w:sz w:val="18"/>
        </w:rPr>
        <w:t>处理规模</w:t>
      </w:r>
    </w:p>
    <w:p>
      <w:pPr>
        <w:ind w:firstLine="360" w:firstLineChars="200"/>
        <w:rPr>
          <w:sz w:val="18"/>
        </w:rPr>
      </w:pPr>
      <w:r>
        <w:rPr>
          <w:sz w:val="18"/>
        </w:rPr>
        <w:t xml:space="preserve">                                          </w:t>
      </w:r>
    </w:p>
    <w:p>
      <w:pPr>
        <w:ind w:firstLine="360" w:firstLineChars="200"/>
        <w:rPr>
          <w:b/>
          <w:bCs/>
          <w:sz w:val="18"/>
        </w:rPr>
      </w:pPr>
      <w:r>
        <w:rPr>
          <w:sz w:val="18"/>
        </w:rPr>
        <mc:AlternateContent>
          <mc:Choice Requires="wps">
            <w:drawing>
              <wp:anchor distT="0" distB="0" distL="114300" distR="114300" simplePos="0" relativeHeight="251671552" behindDoc="0" locked="0" layoutInCell="1" allowOverlap="1">
                <wp:simplePos x="0" y="0"/>
                <wp:positionH relativeFrom="column">
                  <wp:posOffset>1238885</wp:posOffset>
                </wp:positionH>
                <wp:positionV relativeFrom="paragraph">
                  <wp:posOffset>125730</wp:posOffset>
                </wp:positionV>
                <wp:extent cx="1417955" cy="635"/>
                <wp:effectExtent l="0" t="0" r="0" b="0"/>
                <wp:wrapNone/>
                <wp:docPr id="44" name="直接连接符 44"/>
                <wp:cNvGraphicFramePr/>
                <a:graphic xmlns:a="http://schemas.openxmlformats.org/drawingml/2006/main">
                  <a:graphicData uri="http://schemas.microsoft.com/office/word/2010/wordprocessingShape">
                    <wps:wsp>
                      <wps:cNvCnPr/>
                      <wps:spPr>
                        <a:xfrm>
                          <a:off x="0" y="0"/>
                          <a:ext cx="141795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97.55pt;margin-top:9.9pt;height:0.05pt;width:111.65pt;z-index:251671552;mso-width-relative:page;mso-height-relative:page;" filled="f" stroked="t" coordsize="21600,21600" o:gfxdata="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b51mNYAAAAJAQAADwAAAAAAAAABACAAAAAiAAAAZHJzL2Rvd25yZXYueG1sUEsBAhQAFAAAAAgA&#10;h07iQNubUcvuAQAA3AMAAA4AAAAAAAAAAQAgAAAAJQEAAGRycy9lMm9Eb2MueG1sUEsFBgAAAAAG&#10;AAYAWQEAAIUFAAAAAA==&#10;">
                <v:fill on="f" focussize="0,0"/>
                <v:stroke color="#000000" joinstyle="round"/>
                <v:imagedata o:title=""/>
                <o:lock v:ext="edit" aspectratio="f"/>
              </v:line>
            </w:pict>
          </mc:Fallback>
        </mc:AlternateContent>
      </w:r>
      <w:r>
        <w:rPr>
          <w:sz w:val="18"/>
        </w:rPr>
        <w:t xml:space="preserve">                                           污泥缩写</w:t>
      </w:r>
    </w:p>
    <w:p>
      <w:pPr>
        <w:ind w:firstLine="360" w:firstLineChars="200"/>
        <w:rPr>
          <w:sz w:val="18"/>
        </w:rPr>
      </w:pPr>
      <w:r>
        <w:rPr>
          <w:sz w:val="18"/>
        </w:rPr>
        <w:t xml:space="preserve">                                           </w:t>
      </w:r>
    </w:p>
    <w:p>
      <w:pPr>
        <w:ind w:firstLine="360" w:firstLineChars="200"/>
        <w:rPr>
          <w:sz w:val="18"/>
        </w:rPr>
      </w:pPr>
      <w:r>
        <w:rPr>
          <w:rFonts w:eastAsia="黑体"/>
          <w:sz w:val="18"/>
        </w:rPr>
        <mc:AlternateContent>
          <mc:Choice Requires="wps">
            <w:drawing>
              <wp:anchor distT="0" distB="0" distL="114300" distR="114300" simplePos="0" relativeHeight="251669504" behindDoc="0" locked="0" layoutInCell="1" allowOverlap="1">
                <wp:simplePos x="0" y="0"/>
                <wp:positionH relativeFrom="column">
                  <wp:posOffset>873125</wp:posOffset>
                </wp:positionH>
                <wp:positionV relativeFrom="paragraph">
                  <wp:posOffset>88900</wp:posOffset>
                </wp:positionV>
                <wp:extent cx="1771015" cy="5715"/>
                <wp:effectExtent l="0" t="4445" r="6985" b="8890"/>
                <wp:wrapNone/>
                <wp:docPr id="49" name="直接连接符 49"/>
                <wp:cNvGraphicFramePr/>
                <a:graphic xmlns:a="http://schemas.openxmlformats.org/drawingml/2006/main">
                  <a:graphicData uri="http://schemas.microsoft.com/office/word/2010/wordprocessingShape">
                    <wps:wsp>
                      <wps:cNvCnPr/>
                      <wps:spPr>
                        <a:xfrm flipV="1">
                          <a:off x="0" y="0"/>
                          <a:ext cx="1771015" cy="571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68.75pt;margin-top:7pt;height:0.45pt;width:139.45pt;z-index:251669504;mso-width-relative:page;mso-height-relative:page;" filled="f" stroked="t" coordsize="21600,21600" o:gfxdata="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d55Q71gAAAAkBAAAPAAAAAAAAAAEAIAAAACIAAABkcnMvZG93bnJldi54bWxQSwEC&#10;FAAUAAAACACHTuJAnL24EfYBAADnAwAADgAAAAAAAAABACAAAAAlAQAAZHJzL2Uyb0RvYy54bWxQ&#10;SwUGAAAAAAYABgBZAQAAjQUAAAAA&#10;">
                <v:fill on="f" focussize="0,0"/>
                <v:stroke color="#000000" joinstyle="round"/>
                <v:imagedata o:title=""/>
                <o:lock v:ext="edit" aspectratio="f"/>
              </v:line>
            </w:pict>
          </mc:Fallback>
        </mc:AlternateContent>
      </w:r>
      <w:r>
        <w:rPr>
          <w:sz w:val="18"/>
        </w:rPr>
        <w:t xml:space="preserve">                                           企业代码</w:t>
      </w:r>
    </w:p>
    <w:p>
      <w:pPr>
        <w:ind w:firstLine="360" w:firstLineChars="200"/>
        <w:rPr>
          <w:sz w:val="18"/>
          <w:szCs w:val="18"/>
        </w:rPr>
      </w:pPr>
      <w:r>
        <w:rPr>
          <w:sz w:val="18"/>
          <w:szCs w:val="18"/>
        </w:rPr>
        <w:t>型号示例：RT-WN 100</w:t>
      </w:r>
      <w:r>
        <w:rPr>
          <w:rFonts w:hint="eastAsia"/>
          <w:sz w:val="18"/>
          <w:szCs w:val="18"/>
        </w:rPr>
        <w:t>T</w:t>
      </w:r>
      <w:r>
        <w:rPr>
          <w:sz w:val="18"/>
          <w:szCs w:val="18"/>
        </w:rPr>
        <w:t>，表示</w:t>
      </w:r>
      <w:r>
        <w:rPr>
          <w:rFonts w:hint="eastAsia"/>
          <w:sz w:val="18"/>
          <w:szCs w:val="18"/>
        </w:rPr>
        <w:t>处理规模为</w:t>
      </w:r>
      <w:r>
        <w:rPr>
          <w:sz w:val="18"/>
          <w:szCs w:val="18"/>
        </w:rPr>
        <w:t>100</w:t>
      </w:r>
      <w:r>
        <w:rPr>
          <w:rFonts w:hint="eastAsia"/>
          <w:sz w:val="18"/>
          <w:szCs w:val="18"/>
        </w:rPr>
        <w:t>吨</w:t>
      </w:r>
      <w:r>
        <w:rPr>
          <w:sz w:val="18"/>
          <w:szCs w:val="18"/>
        </w:rPr>
        <w:t>的一体化污泥高效脱水处理设备。</w:t>
      </w:r>
    </w:p>
    <w:p>
      <w:pPr>
        <w:pStyle w:val="59"/>
        <w:numPr>
          <w:ilvl w:val="0"/>
          <w:numId w:val="0"/>
        </w:numPr>
        <w:spacing w:before="156" w:after="156"/>
        <w:outlineLvl w:val="2"/>
        <w:rPr>
          <w:rFonts w:ascii="Times New Roman"/>
        </w:rPr>
      </w:pPr>
      <w:r>
        <w:rPr>
          <w:rFonts w:ascii="Times New Roman"/>
        </w:rPr>
        <w:t>4.2工艺流程</w:t>
      </w:r>
    </w:p>
    <w:p>
      <w:pPr>
        <w:pStyle w:val="59"/>
        <w:numPr>
          <w:ilvl w:val="0"/>
          <w:numId w:val="0"/>
        </w:numPr>
        <w:spacing w:before="156" w:after="156"/>
        <w:outlineLvl w:val="9"/>
        <w:rPr>
          <w:rFonts w:ascii="Times New Roman"/>
        </w:rPr>
      </w:pPr>
    </w:p>
    <w:p>
      <w:pPr>
        <w:pStyle w:val="58"/>
        <w:ind w:firstLine="0" w:firstLineChars="0"/>
        <w:rPr>
          <w:rFonts w:ascii="Times New Roman"/>
        </w:rPr>
      </w:pPr>
      <w:r>
        <mc:AlternateContent>
          <mc:Choice Requires="wpg">
            <w:drawing>
              <wp:anchor distT="0" distB="0" distL="114300" distR="114300" simplePos="0" relativeHeight="251664384" behindDoc="0" locked="0" layoutInCell="1" allowOverlap="1">
                <wp:simplePos x="0" y="0"/>
                <wp:positionH relativeFrom="column">
                  <wp:posOffset>480695</wp:posOffset>
                </wp:positionH>
                <wp:positionV relativeFrom="paragraph">
                  <wp:posOffset>66040</wp:posOffset>
                </wp:positionV>
                <wp:extent cx="4811395" cy="3074670"/>
                <wp:effectExtent l="4445" t="4445" r="10160" b="6985"/>
                <wp:wrapNone/>
                <wp:docPr id="23" name="组合 23"/>
                <wp:cNvGraphicFramePr/>
                <a:graphic xmlns:a="http://schemas.openxmlformats.org/drawingml/2006/main">
                  <a:graphicData uri="http://schemas.microsoft.com/office/word/2010/wordprocessingGroup">
                    <wpg:wgp>
                      <wpg:cNvGrpSpPr/>
                      <wpg:grpSpPr>
                        <a:xfrm>
                          <a:off x="0" y="0"/>
                          <a:ext cx="4811320" cy="3074670"/>
                          <a:chOff x="6152" y="110839"/>
                          <a:chExt cx="8586" cy="7728"/>
                        </a:xfrm>
                      </wpg:grpSpPr>
                      <wps:wsp>
                        <wps:cNvPr id="38" name="文本框 38"/>
                        <wps:cNvSpPr txBox="1"/>
                        <wps:spPr>
                          <a:xfrm>
                            <a:off x="6152" y="115050"/>
                            <a:ext cx="2154" cy="68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sz w:val="18"/>
                                  <w:szCs w:val="18"/>
                                </w:rPr>
                              </w:pPr>
                              <w:r>
                                <w:rPr>
                                  <w:rFonts w:hint="eastAsia"/>
                                  <w:sz w:val="18"/>
                                  <w:szCs w:val="18"/>
                                </w:rPr>
                                <w:t>废物排放集中管道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12460" y="112307"/>
                            <a:ext cx="1952" cy="62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180" w:firstLineChars="100"/>
                                <w:rPr>
                                  <w:rFonts w:eastAsiaTheme="minorEastAsia"/>
                                  <w:sz w:val="18"/>
                                  <w:szCs w:val="18"/>
                                </w:rPr>
                              </w:pPr>
                              <w:r>
                                <w:rPr>
                                  <w:rFonts w:hint="eastAsia"/>
                                  <w:sz w:val="18"/>
                                  <w:szCs w:val="18"/>
                                </w:rPr>
                                <w:t>设备主体支撑机构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12485" y="113140"/>
                            <a:ext cx="1952" cy="64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180" w:firstLineChars="100"/>
                                <w:rPr>
                                  <w:rFonts w:eastAsiaTheme="minorEastAsia"/>
                                  <w:sz w:val="18"/>
                                  <w:szCs w:val="18"/>
                                </w:rPr>
                              </w:pPr>
                              <w:r>
                                <w:rPr>
                                  <w:rFonts w:hint="eastAsia"/>
                                  <w:sz w:val="18"/>
                                  <w:szCs w:val="18"/>
                                </w:rPr>
                                <w:t>燃烧室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12485" y="114099"/>
                            <a:ext cx="1952" cy="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180" w:firstLineChars="100"/>
                                <w:rPr>
                                  <w:rFonts w:eastAsiaTheme="minorEastAsia"/>
                                  <w:sz w:val="18"/>
                                  <w:szCs w:val="18"/>
                                </w:rPr>
                              </w:pPr>
                              <w:r>
                                <w:rPr>
                                  <w:rFonts w:hint="eastAsia"/>
                                  <w:sz w:val="18"/>
                                  <w:szCs w:val="18"/>
                                </w:rPr>
                                <w:t>设备供能系统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12485" y="115042"/>
                            <a:ext cx="2253" cy="62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eastAsiaTheme="minorEastAsia"/>
                                  <w:sz w:val="18"/>
                                  <w:szCs w:val="18"/>
                                </w:rPr>
                              </w:pPr>
                              <w:r>
                                <w:rPr>
                                  <w:rFonts w:hint="eastAsia"/>
                                  <w:sz w:val="18"/>
                                  <w:szCs w:val="18"/>
                                </w:rPr>
                                <w:t>设备主体动力系统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直接连接符 42"/>
                        <wps:cNvCnPr/>
                        <wps:spPr>
                          <a:xfrm>
                            <a:off x="11945" y="112412"/>
                            <a:ext cx="0" cy="2894"/>
                          </a:xfrm>
                          <a:prstGeom prst="line">
                            <a:avLst/>
                          </a:prstGeom>
                        </wps:spPr>
                        <wps:style>
                          <a:lnRef idx="1">
                            <a:schemeClr val="dk1"/>
                          </a:lnRef>
                          <a:fillRef idx="0">
                            <a:schemeClr val="dk1"/>
                          </a:fillRef>
                          <a:effectRef idx="0">
                            <a:schemeClr val="dk1"/>
                          </a:effectRef>
                          <a:fontRef idx="minor">
                            <a:schemeClr val="tx1"/>
                          </a:fontRef>
                        </wps:style>
                        <wps:bodyPr/>
                      </wps:wsp>
                      <wps:wsp>
                        <wps:cNvPr id="43" name="直接连接符 43"/>
                        <wps:cNvCnPr/>
                        <wps:spPr>
                          <a:xfrm flipH="1" flipV="1">
                            <a:off x="11933" y="112416"/>
                            <a:ext cx="539" cy="13"/>
                          </a:xfrm>
                          <a:prstGeom prst="line">
                            <a:avLst/>
                          </a:prstGeom>
                        </wps:spPr>
                        <wps:style>
                          <a:lnRef idx="1">
                            <a:schemeClr val="dk1"/>
                          </a:lnRef>
                          <a:fillRef idx="0">
                            <a:schemeClr val="dk1"/>
                          </a:fillRef>
                          <a:effectRef idx="0">
                            <a:schemeClr val="dk1"/>
                          </a:effectRef>
                          <a:fontRef idx="minor">
                            <a:schemeClr val="tx1"/>
                          </a:fontRef>
                        </wps:style>
                        <wps:bodyPr/>
                      </wps:wsp>
                      <wps:wsp>
                        <wps:cNvPr id="2" name="直接连接符 44"/>
                        <wps:cNvCnPr/>
                        <wps:spPr>
                          <a:xfrm flipH="1" flipV="1">
                            <a:off x="11945" y="113405"/>
                            <a:ext cx="539" cy="13"/>
                          </a:xfrm>
                          <a:prstGeom prst="line">
                            <a:avLst/>
                          </a:prstGeom>
                        </wps:spPr>
                        <wps:style>
                          <a:lnRef idx="1">
                            <a:schemeClr val="dk1"/>
                          </a:lnRef>
                          <a:fillRef idx="0">
                            <a:schemeClr val="dk1"/>
                          </a:fillRef>
                          <a:effectRef idx="0">
                            <a:schemeClr val="dk1"/>
                          </a:effectRef>
                          <a:fontRef idx="minor">
                            <a:schemeClr val="tx1"/>
                          </a:fontRef>
                        </wps:style>
                        <wps:bodyPr/>
                      </wps:wsp>
                      <wps:wsp>
                        <wps:cNvPr id="7" name="直接连接符 45"/>
                        <wps:cNvCnPr/>
                        <wps:spPr>
                          <a:xfrm flipH="1" flipV="1">
                            <a:off x="11945" y="114348"/>
                            <a:ext cx="539" cy="13"/>
                          </a:xfrm>
                          <a:prstGeom prst="line">
                            <a:avLst/>
                          </a:prstGeom>
                        </wps:spPr>
                        <wps:style>
                          <a:lnRef idx="1">
                            <a:schemeClr val="dk1"/>
                          </a:lnRef>
                          <a:fillRef idx="0">
                            <a:schemeClr val="dk1"/>
                          </a:fillRef>
                          <a:effectRef idx="0">
                            <a:schemeClr val="dk1"/>
                          </a:effectRef>
                          <a:fontRef idx="minor">
                            <a:schemeClr val="tx1"/>
                          </a:fontRef>
                        </wps:style>
                        <wps:bodyPr/>
                      </wps:wsp>
                      <wps:wsp>
                        <wps:cNvPr id="46" name="直接连接符 46"/>
                        <wps:cNvCnPr/>
                        <wps:spPr>
                          <a:xfrm flipH="1" flipV="1">
                            <a:off x="11945" y="115291"/>
                            <a:ext cx="539" cy="13"/>
                          </a:xfrm>
                          <a:prstGeom prst="line">
                            <a:avLst/>
                          </a:prstGeom>
                        </wps:spPr>
                        <wps:style>
                          <a:lnRef idx="1">
                            <a:schemeClr val="dk1"/>
                          </a:lnRef>
                          <a:fillRef idx="0">
                            <a:schemeClr val="dk1"/>
                          </a:fillRef>
                          <a:effectRef idx="0">
                            <a:schemeClr val="dk1"/>
                          </a:effectRef>
                          <a:fontRef idx="minor">
                            <a:schemeClr val="tx1"/>
                          </a:fontRef>
                        </wps:style>
                        <wps:bodyPr/>
                      </wps:wsp>
                      <wps:wsp>
                        <wps:cNvPr id="47" name="直接箭头连接符 47"/>
                        <wps:cNvCnPr/>
                        <wps:spPr>
                          <a:xfrm flipH="1" flipV="1">
                            <a:off x="11282" y="113883"/>
                            <a:ext cx="663" cy="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文本框 30"/>
                        <wps:cNvSpPr txBox="1"/>
                        <wps:spPr>
                          <a:xfrm>
                            <a:off x="9306" y="112228"/>
                            <a:ext cx="1952" cy="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180" w:firstLineChars="100"/>
                                <w:rPr>
                                  <w:rFonts w:eastAsiaTheme="minorEastAsia"/>
                                  <w:sz w:val="18"/>
                                  <w:szCs w:val="18"/>
                                </w:rPr>
                              </w:pPr>
                              <w:r>
                                <w:rPr>
                                  <w:rFonts w:hint="eastAsia"/>
                                  <w:sz w:val="18"/>
                                  <w:szCs w:val="18"/>
                                </w:rPr>
                                <w:t xml:space="preserve">污泥进料机构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9330" y="113619"/>
                            <a:ext cx="1965" cy="6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180" w:firstLineChars="100"/>
                                <w:rPr>
                                  <w:rFonts w:eastAsiaTheme="minorEastAsia"/>
                                  <w:sz w:val="18"/>
                                  <w:szCs w:val="18"/>
                                </w:rPr>
                              </w:pPr>
                              <w:r>
                                <w:rPr>
                                  <w:rFonts w:hint="eastAsia"/>
                                  <w:sz w:val="18"/>
                                  <w:szCs w:val="18"/>
                                </w:rPr>
                                <w:t>主 体 设 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文本框 36"/>
                        <wps:cNvSpPr txBox="1"/>
                        <wps:spPr>
                          <a:xfrm>
                            <a:off x="8960" y="115037"/>
                            <a:ext cx="2631" cy="61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sz w:val="18"/>
                                  <w:szCs w:val="18"/>
                                </w:rPr>
                              </w:pPr>
                              <w:r>
                                <w:rPr>
                                  <w:rFonts w:hint="eastAsia"/>
                                  <w:sz w:val="18"/>
                                  <w:szCs w:val="18"/>
                                </w:rPr>
                                <w:t>成品污泥及废气收集系统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文本框 37"/>
                        <wps:cNvSpPr txBox="1"/>
                        <wps:spPr>
                          <a:xfrm>
                            <a:off x="6704" y="113666"/>
                            <a:ext cx="1952" cy="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180" w:firstLineChars="100"/>
                                <w:rPr>
                                  <w:rFonts w:eastAsiaTheme="minorEastAsia"/>
                                  <w:sz w:val="18"/>
                                  <w:szCs w:val="18"/>
                                </w:rPr>
                              </w:pPr>
                              <w:r>
                                <w:rPr>
                                  <w:rFonts w:hint="eastAsia"/>
                                  <w:sz w:val="18"/>
                                  <w:szCs w:val="18"/>
                                </w:rPr>
                                <w:t>智能温控系统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文本框 39"/>
                        <wps:cNvSpPr txBox="1"/>
                        <wps:spPr>
                          <a:xfrm>
                            <a:off x="8963" y="116519"/>
                            <a:ext cx="2613" cy="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540" w:firstLineChars="300"/>
                                <w:rPr>
                                  <w:rFonts w:eastAsiaTheme="minorEastAsia"/>
                                  <w:sz w:val="18"/>
                                  <w:szCs w:val="18"/>
                                </w:rPr>
                              </w:pPr>
                              <w:r>
                                <w:rPr>
                                  <w:rFonts w:hint="eastAsia"/>
                                  <w:sz w:val="18"/>
                                  <w:szCs w:val="18"/>
                                </w:rPr>
                                <w:t>成品排放机构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文本框 40"/>
                        <wps:cNvSpPr txBox="1"/>
                        <wps:spPr>
                          <a:xfrm>
                            <a:off x="9306" y="117898"/>
                            <a:ext cx="1952" cy="66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360" w:firstLineChars="200"/>
                                <w:rPr>
                                  <w:rFonts w:hint="default" w:eastAsiaTheme="minorEastAsia"/>
                                  <w:sz w:val="18"/>
                                  <w:szCs w:val="18"/>
                                  <w:lang w:val="en-US" w:eastAsia="zh-CN"/>
                                </w:rPr>
                              </w:pPr>
                              <w:r>
                                <w:rPr>
                                  <w:rFonts w:hint="eastAsia" w:eastAsiaTheme="minorEastAsia"/>
                                  <w:sz w:val="18"/>
                                  <w:szCs w:val="18"/>
                                  <w:lang w:val="en-US" w:eastAsia="zh-CN"/>
                                </w:rPr>
                                <w:t>成品污泥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直接箭头连接符 50"/>
                        <wps:cNvCnPr/>
                        <wps:spPr>
                          <a:xfrm>
                            <a:off x="10301" y="114247"/>
                            <a:ext cx="0" cy="81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 name="直接箭头连接符 51"/>
                        <wps:cNvCnPr/>
                        <wps:spPr>
                          <a:xfrm>
                            <a:off x="10302" y="115655"/>
                            <a:ext cx="12" cy="88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 name="直接箭头连接符 52"/>
                        <wps:cNvCnPr/>
                        <wps:spPr>
                          <a:xfrm>
                            <a:off x="10288" y="117046"/>
                            <a:ext cx="12" cy="88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 name="直接箭头连接符 48"/>
                        <wps:cNvCnPr/>
                        <wps:spPr>
                          <a:xfrm flipH="1" flipV="1">
                            <a:off x="8293" y="115312"/>
                            <a:ext cx="663" cy="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 name="直接箭头连接符 49"/>
                        <wps:cNvCnPr/>
                        <wps:spPr>
                          <a:xfrm>
                            <a:off x="10276" y="112755"/>
                            <a:ext cx="12" cy="88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直接箭头连接符 53"/>
                        <wps:cNvCnPr/>
                        <wps:spPr>
                          <a:xfrm flipV="1">
                            <a:off x="8668" y="113899"/>
                            <a:ext cx="675" cy="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文本框 21"/>
                        <wps:cNvSpPr txBox="1"/>
                        <wps:spPr>
                          <a:xfrm>
                            <a:off x="9275" y="110839"/>
                            <a:ext cx="1952" cy="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360" w:firstLineChars="200"/>
                                <w:rPr>
                                  <w:rFonts w:eastAsiaTheme="minorEastAsia"/>
                                  <w:sz w:val="18"/>
                                  <w:szCs w:val="18"/>
                                </w:rPr>
                              </w:pPr>
                              <w:r>
                                <w:rPr>
                                  <w:rFonts w:hint="eastAsia"/>
                                  <w:sz w:val="18"/>
                                  <w:szCs w:val="18"/>
                                  <w:lang w:val="en-US" w:eastAsia="zh-CN"/>
                                </w:rPr>
                                <w:t>进料</w:t>
                              </w:r>
                              <w:r>
                                <w:rPr>
                                  <w:rFonts w:hint="eastAsia"/>
                                  <w:sz w:val="18"/>
                                  <w:szCs w:val="18"/>
                                </w:rPr>
                                <w:t xml:space="preserve">污泥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直接箭头连接符 49"/>
                        <wps:cNvCnPr/>
                        <wps:spPr>
                          <a:xfrm>
                            <a:off x="10257" y="111372"/>
                            <a:ext cx="12" cy="88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7.85pt;margin-top:5.2pt;height:242.1pt;width:378.85pt;z-index:251664384;mso-width-relative:page;mso-height-relative:page;" coordorigin="6152,110839" coordsize="8586,7728" o:gfxdata="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">
                <o:lock v:ext="edit" aspectratio="f"/>
                <v:shape id="_x0000_s1026" o:spid="_x0000_s1026" o:spt="202" type="#_x0000_t202" style="position:absolute;left:6152;top:115050;height:682;width:2154;" fillcolor="#FFFFFF [3201]" filled="t" stroked="t" coordsize="21600,21600" o:gfxdata="UEsDBAoAAAAAAIdO4kAAAAAAAAAAAAAAAAAEAAAAZHJzL1BLAwQUAAAACACHTuJASTfSQLQAAADb&#10;AAAADwAAAGRycy9kb3ducmV2LnhtbEVPvQrCMBDeBd8hnOCmaS2IVGNBQRA3tYvb0ZxtsbmUJFp9&#10;ezMIjh/f/6Z4m068yPnWsoJ0noAgrqxuuVZQXg+zFQgfkDV2lknBhzwU2/Fog7m2A5/pdQm1iCHs&#10;c1TQhNDnUvqqIYN+bnviyN2tMxgidLXUDocYbjq5SJKlNNhybGiwp31D1ePyNAqOy124UalPOltk&#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N9JA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rPr>
                            <w:rFonts w:eastAsiaTheme="minorEastAsia"/>
                            <w:sz w:val="18"/>
                            <w:szCs w:val="18"/>
                          </w:rPr>
                        </w:pPr>
                        <w:r>
                          <w:rPr>
                            <w:rFonts w:hint="eastAsia"/>
                            <w:sz w:val="18"/>
                            <w:szCs w:val="18"/>
                          </w:rPr>
                          <w:t>废物排放集中管道</w:t>
                        </w:r>
                      </w:p>
                    </w:txbxContent>
                  </v:textbox>
                </v:shape>
                <v:shape id="_x0000_s1026" o:spid="_x0000_s1026" o:spt="202" type="#_x0000_t202" style="position:absolute;left:12460;top:112307;height:622;width:1952;" fillcolor="#FFFFFF [3201]" filled="t" stroked="t" coordsize="21600,21600" o:gfxdata="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jf5aq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ind w:firstLine="180" w:firstLineChars="100"/>
                          <w:rPr>
                            <w:rFonts w:eastAsiaTheme="minorEastAsia"/>
                            <w:sz w:val="18"/>
                            <w:szCs w:val="18"/>
                          </w:rPr>
                        </w:pPr>
                        <w:r>
                          <w:rPr>
                            <w:rFonts w:hint="eastAsia"/>
                            <w:sz w:val="18"/>
                            <w:szCs w:val="18"/>
                          </w:rPr>
                          <w:t>设备主体支撑机构</w:t>
                        </w:r>
                      </w:p>
                    </w:txbxContent>
                  </v:textbox>
                </v:shape>
                <v:shape id="_x0000_s1026" o:spid="_x0000_s1026" o:spt="202" type="#_x0000_t202" style="position:absolute;left:12485;top:113140;height:648;width:1952;" fillcolor="#FFFFFF [3201]" filled="t" stroked="t" coordsize="21600,21600" o:gfxdata="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eTQDG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ind w:firstLine="180" w:firstLineChars="100"/>
                          <w:rPr>
                            <w:rFonts w:eastAsiaTheme="minorEastAsia"/>
                            <w:sz w:val="18"/>
                            <w:szCs w:val="18"/>
                          </w:rPr>
                        </w:pPr>
                        <w:r>
                          <w:rPr>
                            <w:rFonts w:hint="eastAsia"/>
                            <w:sz w:val="18"/>
                            <w:szCs w:val="18"/>
                          </w:rPr>
                          <w:t>燃烧室</w:t>
                        </w:r>
                      </w:p>
                    </w:txbxContent>
                  </v:textbox>
                </v:shape>
                <v:shape id="_x0000_s1026" o:spid="_x0000_s1026" o:spt="202" type="#_x0000_t202" style="position:absolute;left:12485;top:114099;height:600;width:1952;" fillcolor="#FFFFFF [3201]" filled="t" stroked="t" coordsize="21600,21600" o:gfxdata="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ethF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ind w:firstLine="180" w:firstLineChars="100"/>
                          <w:rPr>
                            <w:rFonts w:eastAsiaTheme="minorEastAsia"/>
                            <w:sz w:val="18"/>
                            <w:szCs w:val="18"/>
                          </w:rPr>
                        </w:pPr>
                        <w:r>
                          <w:rPr>
                            <w:rFonts w:hint="eastAsia"/>
                            <w:sz w:val="18"/>
                            <w:szCs w:val="18"/>
                          </w:rPr>
                          <w:t>设备供能系统</w:t>
                        </w:r>
                      </w:p>
                    </w:txbxContent>
                  </v:textbox>
                </v:shape>
                <v:shape id="_x0000_s1026" o:spid="_x0000_s1026" o:spt="202" type="#_x0000_t202" style="position:absolute;left:12485;top:115042;height:626;width:2253;" fillcolor="#FFFFFF [3201]" filled="t" stroked="t" coordsize="21600,21600" o:gfxdata="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nNn3e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eastAsiaTheme="minorEastAsia"/>
                            <w:sz w:val="18"/>
                            <w:szCs w:val="18"/>
                          </w:rPr>
                        </w:pPr>
                        <w:r>
                          <w:rPr>
                            <w:rFonts w:hint="eastAsia"/>
                            <w:sz w:val="18"/>
                            <w:szCs w:val="18"/>
                          </w:rPr>
                          <w:t>设备主体动力系统</w:t>
                        </w:r>
                      </w:p>
                    </w:txbxContent>
                  </v:textbox>
                </v:shape>
                <v:line id="_x0000_s1026" o:spid="_x0000_s1026" o:spt="20" style="position:absolute;left:11945;top:112412;height:2894;width:0;" filled="f" stroked="t" coordsize="21600,21600" o:gfxdata="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g5V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_x0000_s1026" o:spid="_x0000_s1026" o:spt="20" style="position:absolute;left:11933;top:112416;flip:x y;height:13;width:539;" filled="f" stroked="t" coordsize="21600,21600" o:gfxdata="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Azf+8AAAA&#10;2w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line id="直接连接符 44" o:spid="_x0000_s1026" o:spt="20" style="position:absolute;left:11945;top:113405;flip:x y;height:13;width:539;" filled="f" stroked="t" coordsize="21600,21600" o:gfxdata="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yZh7sAAADa&#10;AAAADwAAAAAAAAABACAAAAAiAAAAZHJzL2Rvd25yZXYueG1sUEsBAhQAFAAAAAgAh07iQDMvBZ47&#10;AAAAOQAAABAAAAAAAAAAAQAgAAAACgEAAGRycy9zaGFwZXhtbC54bWxQSwUGAAAAAAYABgBbAQAA&#10;tAMAAAAA&#10;">
                  <v:fill on="f" focussize="0,0"/>
                  <v:stroke weight="0.5pt" color="#000000 [3200]" miterlimit="8" joinstyle="miter"/>
                  <v:imagedata o:title=""/>
                  <o:lock v:ext="edit" aspectratio="f"/>
                </v:line>
                <v:line id="直接连接符 45" o:spid="_x0000_s1026" o:spt="20" style="position:absolute;left:11945;top:114348;flip:x y;height:13;width:539;" filled="f" stroked="t" coordsize="21600,21600" o:gfxdata="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zofugAAANoA&#10;AAAPAAAAAAAAAAEAIAAAACIAAABkcnMvZG93bnJldi54bWxQSwECFAAUAAAACACHTuJAMy8FnjsA&#10;AAA5AAAAEAAAAAAAAAABACAAAAAJAQAAZHJzL3NoYXBleG1sLnhtbFBLBQYAAAAABgAGAFsBAACz&#10;AwAAAAA=&#10;">
                  <v:fill on="f" focussize="0,0"/>
                  <v:stroke weight="0.5pt" color="#000000 [3200]" miterlimit="8" joinstyle="miter"/>
                  <v:imagedata o:title=""/>
                  <o:lock v:ext="edit" aspectratio="f"/>
                </v:line>
                <v:line id="_x0000_s1026" o:spid="_x0000_s1026" o:spt="20" style="position:absolute;left:11945;top:115291;flip:x y;height:13;width:539;" filled="f" stroked="t" coordsize="21600,21600" o:gfxdata="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3bme8AAAA&#10;2w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shape id="_x0000_s1026" o:spid="_x0000_s1026" o:spt="32" type="#_x0000_t32" style="position:absolute;left:11282;top:113883;flip:x y;height:15;width:663;" filled="f" stroked="t" coordsize="21600,21600" o:gfxdata="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YKzLsAAADb&#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_x0000_s1026" o:spid="_x0000_s1026" o:spt="202" type="#_x0000_t202" style="position:absolute;left:9306;top:112228;height:635;width:1952;" fillcolor="#FFFFFF [3201]" filled="t" stroked="t" coordsize="21600,21600" o:gfxdata="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3Qd5G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ind w:firstLine="180" w:firstLineChars="100"/>
                          <w:rPr>
                            <w:rFonts w:eastAsiaTheme="minorEastAsia"/>
                            <w:sz w:val="18"/>
                            <w:szCs w:val="18"/>
                          </w:rPr>
                        </w:pPr>
                        <w:r>
                          <w:rPr>
                            <w:rFonts w:hint="eastAsia"/>
                            <w:sz w:val="18"/>
                            <w:szCs w:val="18"/>
                          </w:rPr>
                          <w:t xml:space="preserve">污泥进料机构 </w:t>
                        </w:r>
                      </w:p>
                    </w:txbxContent>
                  </v:textbox>
                </v:shape>
                <v:shape id="_x0000_s1026" o:spid="_x0000_s1026" o:spt="202" type="#_x0000_t202" style="position:absolute;left:9330;top:113619;height:630;width:1965;" fillcolor="#FFFFFF [3201]" filled="t" stroked="t" coordsize="21600,21600" o:gfxdata="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gNe92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ind w:firstLine="180" w:firstLineChars="100"/>
                          <w:rPr>
                            <w:rFonts w:eastAsiaTheme="minorEastAsia"/>
                            <w:sz w:val="18"/>
                            <w:szCs w:val="18"/>
                          </w:rPr>
                        </w:pPr>
                        <w:r>
                          <w:rPr>
                            <w:rFonts w:hint="eastAsia"/>
                            <w:sz w:val="18"/>
                            <w:szCs w:val="18"/>
                          </w:rPr>
                          <w:t>主 体 设 备</w:t>
                        </w:r>
                      </w:p>
                    </w:txbxContent>
                  </v:textbox>
                </v:shape>
                <v:shape id="_x0000_s1026" o:spid="_x0000_s1026" o:spt="202" type="#_x0000_t202" style="position:absolute;left:8960;top:115037;height:619;width:2631;" fillcolor="#FFFFFF [3201]" filled="t" stroked="t" coordsize="21600,21600" o:gfxdata="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fk46m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eastAsiaTheme="minorEastAsia"/>
                            <w:sz w:val="18"/>
                            <w:szCs w:val="18"/>
                          </w:rPr>
                        </w:pPr>
                        <w:r>
                          <w:rPr>
                            <w:rFonts w:hint="eastAsia"/>
                            <w:sz w:val="18"/>
                            <w:szCs w:val="18"/>
                          </w:rPr>
                          <w:t>成品污泥及废气收集系统</w:t>
                        </w:r>
                      </w:p>
                    </w:txbxContent>
                  </v:textbox>
                </v:shape>
                <v:shape id="_x0000_s1026" o:spid="_x0000_s1026" o:spt="202" type="#_x0000_t202" style="position:absolute;left:6704;top:113666;height:635;width:1952;" fillcolor="#FFFFFF [3201]" filled="t" stroked="t" coordsize="21600,21600" o:gfxdata="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qEY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ind w:firstLine="180" w:firstLineChars="100"/>
                          <w:rPr>
                            <w:rFonts w:eastAsiaTheme="minorEastAsia"/>
                            <w:sz w:val="18"/>
                            <w:szCs w:val="18"/>
                          </w:rPr>
                        </w:pPr>
                        <w:r>
                          <w:rPr>
                            <w:rFonts w:hint="eastAsia"/>
                            <w:sz w:val="18"/>
                            <w:szCs w:val="18"/>
                          </w:rPr>
                          <w:t>智能温控系统</w:t>
                        </w:r>
                      </w:p>
                    </w:txbxContent>
                  </v:textbox>
                </v:shape>
                <v:shape id="_x0000_s1026" o:spid="_x0000_s1026" o:spt="202" type="#_x0000_t202" style="position:absolute;left:8963;top:116519;height:680;width:2613;" fillcolor="#FFFFFF [3201]" filled="t" stroked="t" coordsize="21600,21600" o:gfxdata="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e3fb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ind w:firstLine="540" w:firstLineChars="300"/>
                          <w:rPr>
                            <w:rFonts w:eastAsiaTheme="minorEastAsia"/>
                            <w:sz w:val="18"/>
                            <w:szCs w:val="18"/>
                          </w:rPr>
                        </w:pPr>
                        <w:r>
                          <w:rPr>
                            <w:rFonts w:hint="eastAsia"/>
                            <w:sz w:val="18"/>
                            <w:szCs w:val="18"/>
                          </w:rPr>
                          <w:t>成品排放机构</w:t>
                        </w:r>
                      </w:p>
                    </w:txbxContent>
                  </v:textbox>
                </v:shape>
                <v:shape id="_x0000_s1026" o:spid="_x0000_s1026" o:spt="202" type="#_x0000_t202" style="position:absolute;left:9306;top:117898;height:669;width:1952;" fillcolor="#FFFFFF [3201]" filled="t" stroked="t" coordsize="21600,21600" o:gfxdata="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vR607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ind w:firstLine="360" w:firstLineChars="200"/>
                          <w:rPr>
                            <w:rFonts w:hint="default" w:eastAsiaTheme="minorEastAsia"/>
                            <w:sz w:val="18"/>
                            <w:szCs w:val="18"/>
                            <w:lang w:val="en-US" w:eastAsia="zh-CN"/>
                          </w:rPr>
                        </w:pPr>
                        <w:r>
                          <w:rPr>
                            <w:rFonts w:hint="eastAsia" w:eastAsiaTheme="minorEastAsia"/>
                            <w:sz w:val="18"/>
                            <w:szCs w:val="18"/>
                            <w:lang w:val="en-US" w:eastAsia="zh-CN"/>
                          </w:rPr>
                          <w:t>成品污泥</w:t>
                        </w:r>
                      </w:p>
                    </w:txbxContent>
                  </v:textbox>
                </v:shape>
                <v:shape id="直接箭头连接符 50" o:spid="_x0000_s1026" o:spt="32" type="#_x0000_t32" style="position:absolute;left:10301;top:114247;height:819;width:0;" filled="f" stroked="t" coordsize="21600,21600" o:gfxdata="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a7Lq8AAAA&#10;2g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直接箭头连接符 51" o:spid="_x0000_s1026" o:spt="32" type="#_x0000_t32" style="position:absolute;left:10302;top:115655;height:881;width:12;" filled="f" stroked="t" coordsize="21600,21600" o:gfxdata="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t8r4A&#10;AADb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直接箭头连接符 52" o:spid="_x0000_s1026" o:spt="32" type="#_x0000_t32" style="position:absolute;left:10288;top:117046;height:881;width:12;" filled="f" stroked="t" coordsize="21600,21600" o:gfxdata="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8BIabsAAADb&#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_x0000_s1026" o:spid="_x0000_s1026" o:spt="32" type="#_x0000_t32" style="position:absolute;left:8293;top:115312;flip:x y;height:15;width:663;" filled="f" stroked="t" coordsize="21600,21600" o:gfxdata="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cmevrgAAADbAAAA&#10;DwAAAAAAAAABACAAAAAiAAAAZHJzL2Rvd25yZXYueG1sUEsBAhQAFAAAAAgAh07iQDMvBZ47AAAA&#10;OQAAABAAAAAAAAAAAQAgAAAABwEAAGRycy9zaGFwZXhtbC54bWxQSwUGAAAAAAYABgBbAQAAsQMA&#10;AAAA&#10;">
                  <v:fill on="f" focussize="0,0"/>
                  <v:stroke weight="0.5pt" color="#000000 [3213]" miterlimit="8" joinstyle="miter" endarrow="open"/>
                  <v:imagedata o:title=""/>
                  <o:lock v:ext="edit" aspectratio="f"/>
                </v:shape>
                <v:shape id="直接箭头连接符 49" o:spid="_x0000_s1026" o:spt="32" type="#_x0000_t32" style="position:absolute;left:10276;top:112755;height:881;width:12;" filled="f" stroked="t" coordsize="21600,21600" o:gfxdata="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LWHrsAAADb&#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直接箭头连接符 53" o:spid="_x0000_s1026" o:spt="32" type="#_x0000_t32" style="position:absolute;left:8668;top:113899;flip:y;height:15;width:675;" filled="f" stroked="t" coordsize="21600,21600" o:gfxdata="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BAme8AAAA&#10;2w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_x0000_s1026" o:spid="_x0000_s1026" o:spt="202" type="#_x0000_t202" style="position:absolute;left:9275;top:110839;height:680;width:1952;" fillcolor="#FFFFFF [3201]" filled="t" stroked="t" coordsize="21600,21600" o:gfxdata="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3U7QC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ind w:firstLine="360" w:firstLineChars="200"/>
                          <w:rPr>
                            <w:rFonts w:eastAsiaTheme="minorEastAsia"/>
                            <w:sz w:val="18"/>
                            <w:szCs w:val="18"/>
                          </w:rPr>
                        </w:pPr>
                        <w:r>
                          <w:rPr>
                            <w:rFonts w:hint="eastAsia"/>
                            <w:sz w:val="18"/>
                            <w:szCs w:val="18"/>
                            <w:lang w:val="en-US" w:eastAsia="zh-CN"/>
                          </w:rPr>
                          <w:t>进料</w:t>
                        </w:r>
                        <w:r>
                          <w:rPr>
                            <w:rFonts w:hint="eastAsia"/>
                            <w:sz w:val="18"/>
                            <w:szCs w:val="18"/>
                          </w:rPr>
                          <w:t xml:space="preserve">污泥 </w:t>
                        </w:r>
                      </w:p>
                    </w:txbxContent>
                  </v:textbox>
                </v:shape>
                <v:shape id="直接箭头连接符 49" o:spid="_x0000_s1026" o:spt="32" type="#_x0000_t32" style="position:absolute;left:10257;top:111372;height:881;width:12;" filled="f" stroked="t" coordsize="21600,21600" o:gfxdata="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HKO8AAAA&#10;2w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group>
            </w:pict>
          </mc:Fallback>
        </mc:AlternateContent>
      </w:r>
    </w:p>
    <w:p>
      <w:pPr>
        <w:pStyle w:val="58"/>
        <w:ind w:firstLine="0" w:firstLineChars="0"/>
        <w:rPr>
          <w:rFonts w:ascii="Times New Roman"/>
        </w:rPr>
      </w:pPr>
    </w:p>
    <w:p>
      <w:pPr>
        <w:pStyle w:val="58"/>
        <w:ind w:firstLine="0" w:firstLineChars="0"/>
        <w:rPr>
          <w:rFonts w:ascii="Times New Roman"/>
        </w:rPr>
      </w:pPr>
    </w:p>
    <w:p>
      <w:pPr>
        <w:pStyle w:val="58"/>
        <w:ind w:firstLine="0" w:firstLineChars="0"/>
        <w:rPr>
          <w:rFonts w:ascii="Times New Roman"/>
        </w:rPr>
      </w:pPr>
    </w:p>
    <w:p>
      <w:pPr>
        <w:pStyle w:val="58"/>
        <w:ind w:firstLine="0" w:firstLineChars="0"/>
        <w:rPr>
          <w:rFonts w:ascii="Times New Roman"/>
        </w:rPr>
      </w:pPr>
    </w:p>
    <w:p>
      <w:pPr>
        <w:pStyle w:val="58"/>
        <w:ind w:firstLine="0" w:firstLineChars="0"/>
        <w:rPr>
          <w:rFonts w:ascii="Times New Roman"/>
        </w:rPr>
      </w:pPr>
    </w:p>
    <w:p>
      <w:pPr>
        <w:pStyle w:val="58"/>
        <w:ind w:firstLine="0" w:firstLineChars="0"/>
        <w:rPr>
          <w:rFonts w:ascii="Times New Roman"/>
        </w:rPr>
      </w:pPr>
    </w:p>
    <w:p>
      <w:pPr>
        <w:pStyle w:val="58"/>
        <w:ind w:firstLine="0" w:firstLineChars="0"/>
        <w:rPr>
          <w:rFonts w:ascii="Times New Roman"/>
        </w:rPr>
      </w:pPr>
    </w:p>
    <w:p>
      <w:pPr>
        <w:pStyle w:val="58"/>
        <w:ind w:firstLine="0" w:firstLineChars="0"/>
        <w:rPr>
          <w:rFonts w:ascii="Times New Roman"/>
        </w:rPr>
      </w:pPr>
    </w:p>
    <w:p>
      <w:pPr>
        <w:pStyle w:val="58"/>
        <w:ind w:firstLine="0" w:firstLineChars="0"/>
        <w:rPr>
          <w:rFonts w:ascii="Times New Roman"/>
        </w:rPr>
      </w:pPr>
    </w:p>
    <w:p>
      <w:pPr>
        <w:pStyle w:val="58"/>
        <w:ind w:firstLine="0" w:firstLineChars="0"/>
        <w:rPr>
          <w:rFonts w:ascii="Times New Roman"/>
        </w:rPr>
      </w:pPr>
    </w:p>
    <w:p>
      <w:pPr>
        <w:pStyle w:val="58"/>
        <w:ind w:firstLine="0" w:firstLineChars="0"/>
        <w:rPr>
          <w:rFonts w:ascii="Times New Roman"/>
        </w:rPr>
      </w:pPr>
    </w:p>
    <w:p>
      <w:pPr>
        <w:pStyle w:val="58"/>
        <w:ind w:firstLine="0" w:firstLineChars="0"/>
        <w:rPr>
          <w:rFonts w:ascii="Times New Roman"/>
        </w:rPr>
      </w:pPr>
    </w:p>
    <w:p>
      <w:pPr>
        <w:pStyle w:val="58"/>
        <w:ind w:firstLine="0" w:firstLineChars="0"/>
        <w:rPr>
          <w:rFonts w:ascii="Times New Roman"/>
        </w:rPr>
      </w:pPr>
    </w:p>
    <w:p>
      <w:pPr>
        <w:pStyle w:val="58"/>
        <w:ind w:firstLine="0" w:firstLineChars="0"/>
        <w:rPr>
          <w:rFonts w:ascii="Times New Roman"/>
        </w:rPr>
      </w:pPr>
    </w:p>
    <w:p>
      <w:pPr>
        <w:pStyle w:val="58"/>
        <w:ind w:firstLine="0" w:firstLineChars="0"/>
        <w:rPr>
          <w:rFonts w:ascii="Times New Roman"/>
        </w:rPr>
      </w:pPr>
    </w:p>
    <w:p>
      <w:pPr>
        <w:pStyle w:val="58"/>
        <w:ind w:firstLine="0" w:firstLineChars="0"/>
        <w:jc w:val="center"/>
        <w:rPr>
          <w:rFonts w:ascii="Times New Roman" w:eastAsia="黑体"/>
        </w:rPr>
      </w:pPr>
    </w:p>
    <w:p>
      <w:pPr>
        <w:pStyle w:val="58"/>
        <w:ind w:firstLine="0" w:firstLineChars="0"/>
        <w:jc w:val="center"/>
        <w:rPr>
          <w:rFonts w:ascii="Times New Roman" w:eastAsia="黑体"/>
          <w:sz w:val="18"/>
          <w:szCs w:val="18"/>
        </w:rPr>
      </w:pPr>
      <w:r>
        <w:rPr>
          <w:rFonts w:ascii="Times New Roman" w:eastAsia="黑体"/>
          <w:sz w:val="18"/>
          <w:szCs w:val="18"/>
        </w:rPr>
        <w:t>图1 工艺拓扑图</w:t>
      </w:r>
    </w:p>
    <w:p>
      <w:pPr>
        <w:pStyle w:val="59"/>
        <w:numPr>
          <w:ilvl w:val="0"/>
          <w:numId w:val="0"/>
        </w:numPr>
        <w:spacing w:before="156" w:after="156"/>
        <w:outlineLvl w:val="2"/>
        <w:rPr>
          <w:rFonts w:ascii="Times New Roman"/>
        </w:rPr>
      </w:pPr>
      <w:r>
        <w:rPr>
          <w:rFonts w:ascii="Times New Roman"/>
        </w:rPr>
        <w:t>4.3  参数要求</w:t>
      </w:r>
    </w:p>
    <w:p>
      <w:pPr>
        <w:pStyle w:val="58"/>
        <w:spacing w:before="156" w:beforeLines="50" w:after="156" w:afterLines="50"/>
        <w:ind w:firstLine="0" w:firstLineChars="0"/>
        <w:outlineLvl w:val="3"/>
        <w:rPr>
          <w:rFonts w:ascii="Times New Roman"/>
        </w:rPr>
      </w:pPr>
      <w:r>
        <w:rPr>
          <w:rFonts w:ascii="Times New Roman" w:eastAsia="黑体"/>
        </w:rPr>
        <w:t>4.3.1 基本参数</w:t>
      </w:r>
    </w:p>
    <w:p>
      <w:pPr>
        <w:pStyle w:val="58"/>
        <w:keepNext w:val="0"/>
        <w:keepLines w:val="0"/>
        <w:pageBreakBefore w:val="0"/>
        <w:widowControl/>
        <w:kinsoku/>
        <w:wordWrap/>
        <w:overflowPunct/>
        <w:topLinePunct w:val="0"/>
        <w:autoSpaceDE w:val="0"/>
        <w:autoSpaceDN w:val="0"/>
        <w:bidi w:val="0"/>
        <w:adjustRightInd/>
        <w:snapToGrid/>
        <w:spacing w:before="156" w:beforeLines="50" w:after="156" w:afterLines="50"/>
        <w:ind w:firstLine="0" w:firstLineChars="0"/>
        <w:jc w:val="center"/>
        <w:textAlignment w:val="auto"/>
        <w:outlineLvl w:val="9"/>
        <w:rPr>
          <w:rFonts w:ascii="Times New Roman" w:eastAsia="黑体"/>
        </w:rPr>
      </w:pPr>
      <w:r>
        <w:rPr>
          <w:rFonts w:ascii="Times New Roman" w:eastAsia="黑体"/>
        </w:rPr>
        <w:t>表</w:t>
      </w:r>
      <w:r>
        <w:rPr>
          <w:rFonts w:hint="eastAsia" w:ascii="Times New Roman" w:eastAsia="黑体"/>
        </w:rPr>
        <w:t>1</w:t>
      </w:r>
      <w:r>
        <w:rPr>
          <w:rFonts w:ascii="Times New Roman" w:eastAsia="黑体"/>
        </w:rPr>
        <w:t xml:space="preserve"> 一体化污泥高效脱水处理设备基本参数</w:t>
      </w:r>
    </w:p>
    <w:tbl>
      <w:tblPr>
        <w:tblStyle w:val="35"/>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1793"/>
        <w:gridCol w:w="1828"/>
        <w:gridCol w:w="1286"/>
        <w:gridCol w:w="2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9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设备型号</w:t>
            </w:r>
          </w:p>
        </w:tc>
        <w:tc>
          <w:tcPr>
            <w:tcW w:w="179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处理规模（</w:t>
            </w:r>
            <w:r>
              <w:rPr>
                <w:rFonts w:hint="eastAsia"/>
                <w:sz w:val="18"/>
                <w:szCs w:val="18"/>
              </w:rPr>
              <w:t>t</w:t>
            </w:r>
            <w:r>
              <w:rPr>
                <w:sz w:val="18"/>
                <w:szCs w:val="18"/>
              </w:rPr>
              <w:t>/d）</w:t>
            </w:r>
          </w:p>
        </w:tc>
        <w:tc>
          <w:tcPr>
            <w:tcW w:w="182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设备占地面积（</w:t>
            </w:r>
            <w:r>
              <w:rPr>
                <w:rFonts w:hint="eastAsia"/>
                <w:sz w:val="18"/>
                <w:szCs w:val="18"/>
              </w:rPr>
              <w:t>m</w:t>
            </w:r>
            <w:r>
              <w:rPr>
                <w:rFonts w:hint="eastAsia"/>
                <w:sz w:val="18"/>
                <w:szCs w:val="18"/>
                <w:vertAlign w:val="superscript"/>
              </w:rPr>
              <w:t>2</w:t>
            </w:r>
            <w:r>
              <w:rPr>
                <w:sz w:val="18"/>
                <w:szCs w:val="18"/>
              </w:rPr>
              <w:t>）</w:t>
            </w:r>
          </w:p>
        </w:tc>
        <w:tc>
          <w:tcPr>
            <w:tcW w:w="12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脱水率（%）</w:t>
            </w:r>
          </w:p>
        </w:tc>
        <w:tc>
          <w:tcPr>
            <w:tcW w:w="253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rFonts w:hint="eastAsia"/>
                <w:sz w:val="18"/>
                <w:szCs w:val="18"/>
              </w:rPr>
              <w:t>设备整机</w:t>
            </w:r>
            <w:r>
              <w:rPr>
                <w:sz w:val="18"/>
                <w:szCs w:val="18"/>
              </w:rPr>
              <w:t>功率（</w:t>
            </w:r>
            <w:r>
              <w:rPr>
                <w:rFonts w:hint="eastAsia"/>
                <w:sz w:val="18"/>
                <w:szCs w:val="18"/>
                <w:lang w:val="en-US" w:eastAsia="zh-CN"/>
              </w:rPr>
              <w:t>k</w:t>
            </w:r>
            <w:r>
              <w:rPr>
                <w:sz w:val="18"/>
                <w:szCs w:val="18"/>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49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RT-WN30T</w:t>
            </w:r>
          </w:p>
        </w:tc>
        <w:tc>
          <w:tcPr>
            <w:tcW w:w="179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30</w:t>
            </w:r>
          </w:p>
        </w:tc>
        <w:tc>
          <w:tcPr>
            <w:tcW w:w="182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200</w:t>
            </w:r>
            <w:r>
              <w:rPr>
                <w:rFonts w:hint="eastAsia"/>
                <w:sz w:val="18"/>
                <w:szCs w:val="18"/>
              </w:rPr>
              <w:t>~300</w:t>
            </w:r>
          </w:p>
        </w:tc>
        <w:tc>
          <w:tcPr>
            <w:tcW w:w="12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77</w:t>
            </w:r>
          </w:p>
        </w:tc>
        <w:tc>
          <w:tcPr>
            <w:tcW w:w="253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49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RT-WN50T</w:t>
            </w:r>
          </w:p>
        </w:tc>
        <w:tc>
          <w:tcPr>
            <w:tcW w:w="179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50</w:t>
            </w:r>
          </w:p>
        </w:tc>
        <w:tc>
          <w:tcPr>
            <w:tcW w:w="182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400</w:t>
            </w:r>
            <w:r>
              <w:rPr>
                <w:rFonts w:hint="eastAsia"/>
                <w:sz w:val="18"/>
                <w:szCs w:val="18"/>
              </w:rPr>
              <w:t>~500</w:t>
            </w:r>
          </w:p>
        </w:tc>
        <w:tc>
          <w:tcPr>
            <w:tcW w:w="12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77</w:t>
            </w:r>
          </w:p>
        </w:tc>
        <w:tc>
          <w:tcPr>
            <w:tcW w:w="253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49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RT-WN100T</w:t>
            </w:r>
          </w:p>
        </w:tc>
        <w:tc>
          <w:tcPr>
            <w:tcW w:w="179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100</w:t>
            </w:r>
          </w:p>
        </w:tc>
        <w:tc>
          <w:tcPr>
            <w:tcW w:w="182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600</w:t>
            </w:r>
            <w:r>
              <w:rPr>
                <w:rFonts w:hint="eastAsia"/>
                <w:sz w:val="18"/>
                <w:szCs w:val="18"/>
              </w:rPr>
              <w:t>~700</w:t>
            </w:r>
          </w:p>
        </w:tc>
        <w:tc>
          <w:tcPr>
            <w:tcW w:w="12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77</w:t>
            </w:r>
          </w:p>
        </w:tc>
        <w:tc>
          <w:tcPr>
            <w:tcW w:w="253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RT-WN120T</w:t>
            </w:r>
          </w:p>
        </w:tc>
        <w:tc>
          <w:tcPr>
            <w:tcW w:w="179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120</w:t>
            </w:r>
          </w:p>
        </w:tc>
        <w:tc>
          <w:tcPr>
            <w:tcW w:w="182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rFonts w:hint="eastAsia"/>
                <w:sz w:val="18"/>
                <w:szCs w:val="18"/>
              </w:rPr>
              <w:t>700~800</w:t>
            </w:r>
          </w:p>
        </w:tc>
        <w:tc>
          <w:tcPr>
            <w:tcW w:w="12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77</w:t>
            </w:r>
          </w:p>
        </w:tc>
        <w:tc>
          <w:tcPr>
            <w:tcW w:w="253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36" w:type="dxa"/>
            <w:gridSpan w:val="5"/>
            <w:vAlign w:val="center"/>
          </w:tcPr>
          <w:p>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eastAsia="宋体"/>
                <w:sz w:val="18"/>
                <w:szCs w:val="18"/>
                <w:lang w:val="en-US" w:eastAsia="zh-CN"/>
              </w:rPr>
            </w:pPr>
            <w:r>
              <w:rPr>
                <w:rFonts w:hint="eastAsia" w:ascii="黑体" w:hAnsi="黑体" w:eastAsia="黑体" w:cs="黑体"/>
                <w:sz w:val="18"/>
                <w:szCs w:val="18"/>
                <w:lang w:val="en-US" w:eastAsia="zh-CN"/>
              </w:rPr>
              <w:t>注：</w:t>
            </w:r>
            <w:r>
              <w:rPr>
                <w:rFonts w:hint="eastAsia" w:ascii="宋体" w:hAnsi="宋体" w:eastAsia="宋体" w:cs="宋体"/>
                <w:sz w:val="18"/>
                <w:szCs w:val="18"/>
                <w:lang w:val="en-US" w:eastAsia="zh-CN"/>
              </w:rPr>
              <w:t>设备整机功率为满负荷运行时的功率</w:t>
            </w:r>
            <w:r>
              <w:rPr>
                <w:rFonts w:hint="eastAsia" w:ascii="宋体" w:hAnsi="宋体" w:cs="宋体"/>
                <w:sz w:val="18"/>
                <w:szCs w:val="18"/>
                <w:lang w:val="en-US" w:eastAsia="zh-CN"/>
              </w:rPr>
              <w:t>。</w:t>
            </w:r>
          </w:p>
        </w:tc>
      </w:tr>
    </w:tbl>
    <w:p>
      <w:pPr>
        <w:pStyle w:val="58"/>
        <w:ind w:firstLine="0" w:firstLineChars="0"/>
        <w:rPr>
          <w:rFonts w:ascii="Times New Roman"/>
          <w:highlight w:val="yellow"/>
        </w:rPr>
      </w:pPr>
    </w:p>
    <w:p>
      <w:pPr>
        <w:pStyle w:val="58"/>
        <w:spacing w:before="156" w:beforeLines="50" w:after="156" w:afterLines="50"/>
        <w:ind w:firstLine="0" w:firstLineChars="0"/>
        <w:outlineLvl w:val="3"/>
        <w:rPr>
          <w:rFonts w:ascii="Times New Roman" w:eastAsia="黑体"/>
        </w:rPr>
      </w:pPr>
      <w:r>
        <w:rPr>
          <w:rFonts w:ascii="Times New Roman" w:eastAsia="黑体"/>
        </w:rPr>
        <w:t>4.3.2 工作环境参数</w:t>
      </w:r>
    </w:p>
    <w:p>
      <w:pPr>
        <w:pStyle w:val="58"/>
        <w:ind w:firstLine="420"/>
        <w:rPr>
          <w:rFonts w:ascii="Times New Roman"/>
          <w:kern w:val="2"/>
          <w:szCs w:val="24"/>
        </w:rPr>
      </w:pPr>
      <w:r>
        <w:rPr>
          <w:rFonts w:ascii="Times New Roman"/>
          <w:kern w:val="2"/>
          <w:szCs w:val="24"/>
        </w:rPr>
        <w:t>一体化污泥高效脱水处理设备工作环境温度宜为-20℃</w:t>
      </w:r>
      <w:r>
        <w:rPr>
          <w:rFonts w:hint="eastAsia" w:ascii="Times New Roman"/>
          <w:kern w:val="2"/>
          <w:szCs w:val="24"/>
        </w:rPr>
        <w:t>~</w:t>
      </w:r>
      <w:r>
        <w:rPr>
          <w:rFonts w:ascii="Times New Roman"/>
          <w:kern w:val="2"/>
          <w:szCs w:val="24"/>
        </w:rPr>
        <w:t>60℃。</w:t>
      </w:r>
    </w:p>
    <w:p>
      <w:pPr>
        <w:pStyle w:val="59"/>
        <w:numPr>
          <w:ilvl w:val="0"/>
          <w:numId w:val="0"/>
        </w:numPr>
        <w:spacing w:before="312" w:beforeLines="100" w:after="312" w:afterLines="100"/>
        <w:jc w:val="left"/>
        <w:outlineLvl w:val="0"/>
        <w:rPr>
          <w:rFonts w:ascii="Times New Roman"/>
        </w:rPr>
      </w:pPr>
      <w:bookmarkStart w:id="13" w:name="_Toc28006"/>
      <w:r>
        <w:rPr>
          <w:rFonts w:ascii="Times New Roman"/>
        </w:rPr>
        <w:t>5 技术要求</w:t>
      </w:r>
      <w:bookmarkEnd w:id="13"/>
      <w:r>
        <w:rPr>
          <w:rFonts w:ascii="Times New Roman"/>
        </w:rPr>
        <w:t xml:space="preserve">        </w:t>
      </w:r>
    </w:p>
    <w:p>
      <w:pPr>
        <w:pStyle w:val="59"/>
        <w:numPr>
          <w:ilvl w:val="0"/>
          <w:numId w:val="0"/>
        </w:numPr>
        <w:spacing w:before="156" w:after="156"/>
        <w:jc w:val="left"/>
        <w:outlineLvl w:val="2"/>
        <w:rPr>
          <w:rFonts w:ascii="Times New Roman"/>
        </w:rPr>
      </w:pPr>
      <w:r>
        <w:rPr>
          <w:rFonts w:ascii="Times New Roman"/>
        </w:rPr>
        <w:t>5.1 一般要求</w:t>
      </w:r>
    </w:p>
    <w:p>
      <w:pPr>
        <w:pStyle w:val="59"/>
        <w:numPr>
          <w:ilvl w:val="0"/>
          <w:numId w:val="0"/>
        </w:numPr>
        <w:spacing w:before="156" w:after="156"/>
        <w:jc w:val="left"/>
        <w:outlineLvl w:val="3"/>
        <w:rPr>
          <w:rFonts w:ascii="Times New Roman"/>
        </w:rPr>
      </w:pPr>
      <w:r>
        <w:rPr>
          <w:rFonts w:ascii="Times New Roman"/>
        </w:rPr>
        <w:t>5.1.1整机外观要求</w:t>
      </w:r>
    </w:p>
    <w:p>
      <w:pPr>
        <w:jc w:val="left"/>
      </w:pPr>
      <w:r>
        <w:t>5.1.1.1一体化污泥高效脱水处理设备外观应平整光洁，无明显凹凸疤痕</w:t>
      </w:r>
      <w:r>
        <w:rPr>
          <w:rFonts w:hint="eastAsia"/>
        </w:rPr>
        <w:t>、</w:t>
      </w:r>
      <w:r>
        <w:t>破损裂纹；油漆表面光洁牢固、</w:t>
      </w:r>
      <w:r>
        <w:rPr>
          <w:highlight w:val="none"/>
        </w:rPr>
        <w:t>无明显流挂</w:t>
      </w:r>
      <w:r>
        <w:t>、漆粒</w:t>
      </w:r>
      <w:r>
        <w:rPr>
          <w:rFonts w:hint="eastAsia"/>
        </w:rPr>
        <w:t>、</w:t>
      </w:r>
      <w:r>
        <w:t>裂纹起壳；表面光滑、无锈蚀。</w:t>
      </w:r>
    </w:p>
    <w:p>
      <w:pPr>
        <w:jc w:val="left"/>
      </w:pPr>
      <w:r>
        <w:t>5.1.1.2一体化污泥高效脱水处理设备应配置调节机构、检测试验装置、观察孔和检查口。</w:t>
      </w:r>
    </w:p>
    <w:p>
      <w:pPr>
        <w:pStyle w:val="59"/>
        <w:numPr>
          <w:ilvl w:val="0"/>
          <w:numId w:val="0"/>
        </w:numPr>
        <w:spacing w:before="156" w:after="156"/>
        <w:jc w:val="left"/>
        <w:outlineLvl w:val="3"/>
        <w:rPr>
          <w:rFonts w:ascii="Times New Roman"/>
        </w:rPr>
      </w:pPr>
      <w:r>
        <w:rPr>
          <w:rFonts w:ascii="Times New Roman"/>
        </w:rPr>
        <w:t>5.1.2 整机外形、位置尺寸偏差要求</w:t>
      </w:r>
    </w:p>
    <w:p>
      <w:pPr>
        <w:pStyle w:val="21"/>
        <w:keepNext w:val="0"/>
        <w:keepLines w:val="0"/>
        <w:pageBreakBefore w:val="0"/>
        <w:widowControl w:val="0"/>
        <w:kinsoku/>
        <w:wordWrap/>
        <w:overflowPunct/>
        <w:topLinePunct w:val="0"/>
        <w:autoSpaceDE/>
        <w:autoSpaceDN/>
        <w:bidi w:val="0"/>
        <w:adjustRightInd/>
        <w:snapToGrid/>
        <w:ind w:firstLine="420" w:firstLineChars="200"/>
        <w:textAlignment w:val="auto"/>
      </w:pPr>
      <w:r>
        <w:t>一体化污泥高效脱水处理设备制造装配完成后，应</w:t>
      </w:r>
      <w:r>
        <w:rPr>
          <w:rFonts w:hint="eastAsia"/>
          <w:lang w:val="en-US" w:eastAsia="zh-CN"/>
        </w:rPr>
        <w:t>分别</w:t>
      </w:r>
      <w:r>
        <w:t>进行整机外形尺寸偏差</w:t>
      </w:r>
      <w:r>
        <w:rPr>
          <w:rFonts w:hint="eastAsia"/>
          <w:lang w:eastAsia="zh-CN"/>
        </w:rPr>
        <w:t>、</w:t>
      </w:r>
      <w:r>
        <w:rPr>
          <w:rFonts w:hint="eastAsia"/>
        </w:rPr>
        <w:t>整机位置尺寸偏差</w:t>
      </w:r>
      <w:r>
        <w:t>检测，整机外形尺寸偏差应不大于5mm，</w:t>
      </w:r>
      <w:r>
        <w:rPr>
          <w:rFonts w:hint="eastAsia"/>
        </w:rPr>
        <w:t>整机位置</w:t>
      </w:r>
      <w:r>
        <w:t>尺寸偏差应不大于1mm</w:t>
      </w:r>
      <w:r>
        <w:rPr>
          <w:rFonts w:hint="eastAsia"/>
          <w:lang w:eastAsia="zh-CN"/>
        </w:rPr>
        <w:t>，</w:t>
      </w:r>
      <w:r>
        <w:t>并</w:t>
      </w:r>
      <w:r>
        <w:rPr>
          <w:rFonts w:hint="eastAsia"/>
          <w:lang w:val="en-US" w:eastAsia="zh-CN"/>
        </w:rPr>
        <w:t>应</w:t>
      </w:r>
      <w:r>
        <w:t>符合GB/T 19804、NB/T 47003.1的规定。</w:t>
      </w:r>
    </w:p>
    <w:p>
      <w:pPr>
        <w:pStyle w:val="59"/>
        <w:numPr>
          <w:ilvl w:val="0"/>
          <w:numId w:val="0"/>
        </w:numPr>
        <w:spacing w:before="156" w:after="156"/>
        <w:jc w:val="left"/>
        <w:outlineLvl w:val="3"/>
        <w:rPr>
          <w:rFonts w:ascii="Times New Roman"/>
        </w:rPr>
      </w:pPr>
      <w:r>
        <w:rPr>
          <w:rFonts w:ascii="Times New Roman"/>
        </w:rPr>
        <w:t>5.1.3</w:t>
      </w:r>
      <w:r>
        <w:rPr>
          <w:rFonts w:hint="eastAsia" w:ascii="Times New Roman"/>
        </w:rPr>
        <w:t>污泥进料机构</w:t>
      </w:r>
      <w:r>
        <w:rPr>
          <w:rFonts w:ascii="Times New Roman"/>
        </w:rPr>
        <w:t>要求</w:t>
      </w:r>
    </w:p>
    <w:p>
      <w:pPr>
        <w:jc w:val="left"/>
      </w:pPr>
      <w:r>
        <w:t>5.1.3.1一体化污泥高效脱水处理设备应根据进料量、</w:t>
      </w:r>
      <w:r>
        <w:rPr>
          <w:rFonts w:hint="eastAsia"/>
        </w:rPr>
        <w:t>进料</w:t>
      </w:r>
      <w:r>
        <w:t>污泥</w:t>
      </w:r>
      <w:r>
        <w:rPr>
          <w:rFonts w:hint="eastAsia"/>
        </w:rPr>
        <w:t>有机物含量及</w:t>
      </w:r>
      <w:r>
        <w:t>含水率、</w:t>
      </w:r>
      <w:r>
        <w:rPr>
          <w:rFonts w:hint="eastAsia"/>
        </w:rPr>
        <w:t>成品</w:t>
      </w:r>
      <w:r>
        <w:t>污泥</w:t>
      </w:r>
      <w:r>
        <w:rPr>
          <w:rFonts w:hint="eastAsia"/>
        </w:rPr>
        <w:t>有机物</w:t>
      </w:r>
      <w:r>
        <w:t>含量</w:t>
      </w:r>
      <w:r>
        <w:rPr>
          <w:rFonts w:hint="eastAsia"/>
        </w:rPr>
        <w:t>及含水率</w:t>
      </w:r>
      <w:r>
        <w:t>确定污泥</w:t>
      </w:r>
      <w:r>
        <w:rPr>
          <w:rFonts w:hint="eastAsia"/>
        </w:rPr>
        <w:t>进料机构</w:t>
      </w:r>
      <w:r>
        <w:t>处理负荷。</w:t>
      </w:r>
    </w:p>
    <w:p>
      <w:pPr>
        <w:jc w:val="left"/>
      </w:pPr>
      <w:r>
        <w:t>5.1.3.2一体化污泥高效脱水处理设备的</w:t>
      </w:r>
      <w:r>
        <w:rPr>
          <w:rFonts w:hint="eastAsia"/>
        </w:rPr>
        <w:t>污泥进料机构</w:t>
      </w:r>
      <w:r>
        <w:t>应按6.1.1</w:t>
      </w:r>
      <w:r>
        <w:rPr>
          <w:rFonts w:hint="eastAsia"/>
          <w:lang w:val="en-US" w:eastAsia="zh-CN"/>
        </w:rPr>
        <w:t>4</w:t>
      </w:r>
      <w:r>
        <w:t>的要求进行空载运行试验，</w:t>
      </w:r>
      <w:r>
        <w:rPr>
          <w:rFonts w:hint="eastAsia"/>
        </w:rPr>
        <w:t>试验</w:t>
      </w:r>
      <w:r>
        <w:t>合格后方可送料运行。</w:t>
      </w:r>
    </w:p>
    <w:p>
      <w:pPr>
        <w:pStyle w:val="59"/>
        <w:numPr>
          <w:ilvl w:val="0"/>
          <w:numId w:val="0"/>
        </w:numPr>
        <w:spacing w:before="156" w:after="156"/>
        <w:jc w:val="left"/>
        <w:outlineLvl w:val="3"/>
        <w:rPr>
          <w:rFonts w:ascii="Times New Roman"/>
        </w:rPr>
      </w:pPr>
      <w:r>
        <w:rPr>
          <w:rFonts w:ascii="Times New Roman"/>
        </w:rPr>
        <w:t>5.1.4燃烧室要求</w:t>
      </w:r>
    </w:p>
    <w:p>
      <w:pPr>
        <w:jc w:val="left"/>
        <w:rPr>
          <w:color w:val="000000" w:themeColor="text1"/>
          <w:highlight w:val="yellow"/>
          <w14:textFill>
            <w14:solidFill>
              <w14:schemeClr w14:val="tx1"/>
            </w14:solidFill>
          </w14:textFill>
        </w:rPr>
      </w:pPr>
      <w:r>
        <w:rPr>
          <w:rFonts w:hint="eastAsia"/>
        </w:rPr>
        <w:t>5.1.</w:t>
      </w:r>
      <w:r>
        <w:t>4</w:t>
      </w:r>
      <w:r>
        <w:rPr>
          <w:rFonts w:hint="eastAsia"/>
        </w:rPr>
        <w:t>.1</w:t>
      </w:r>
      <w:r>
        <w:t>一体化污泥高效脱水处理设备制造装配完成后，应进行供能系统负荷调节</w:t>
      </w:r>
      <w:r>
        <w:rPr>
          <w:rFonts w:hint="eastAsia"/>
        </w:rPr>
        <w:t>，并符合6.1.8的规定。</w:t>
      </w:r>
    </w:p>
    <w:p>
      <w:pPr>
        <w:jc w:val="left"/>
      </w:pPr>
      <w:r>
        <w:rPr>
          <w:rFonts w:hint="eastAsia"/>
        </w:rPr>
        <w:t>5.1.</w:t>
      </w:r>
      <w:r>
        <w:t>4</w:t>
      </w:r>
      <w:r>
        <w:rPr>
          <w:rFonts w:hint="eastAsia"/>
        </w:rPr>
        <w:t>.2</w:t>
      </w:r>
      <w:r>
        <w:t>一体化污泥高效脱水处理设备燃烧室应保证污泥燃烧充分，燃烧产生热源能量输入</w:t>
      </w:r>
      <w:r>
        <w:rPr>
          <w:rFonts w:hint="eastAsia"/>
        </w:rPr>
        <w:t>应</w:t>
      </w:r>
      <w:r>
        <w:t>满足</w:t>
      </w:r>
      <w:r>
        <w:rPr>
          <w:rFonts w:hint="eastAsia"/>
        </w:rPr>
        <w:t>5</w:t>
      </w:r>
      <w:r>
        <w:t>.1.5温控要求。</w:t>
      </w:r>
    </w:p>
    <w:p>
      <w:pPr>
        <w:pStyle w:val="59"/>
        <w:numPr>
          <w:ilvl w:val="0"/>
          <w:numId w:val="0"/>
        </w:numPr>
        <w:spacing w:before="156" w:after="156"/>
        <w:jc w:val="left"/>
        <w:outlineLvl w:val="3"/>
        <w:rPr>
          <w:rFonts w:ascii="Times New Roman"/>
        </w:rPr>
      </w:pPr>
      <w:r>
        <w:rPr>
          <w:rFonts w:ascii="Times New Roman"/>
        </w:rPr>
        <w:t>5.1.5 干化碳化要求</w:t>
      </w:r>
    </w:p>
    <w:p>
      <w:pPr>
        <w:ind w:firstLine="420" w:firstLineChars="200"/>
        <w:jc w:val="left"/>
      </w:pPr>
      <w:r>
        <w:t>一体化污泥高效脱水处理设备初级干化阶段温度宜</w:t>
      </w:r>
      <w:r>
        <w:rPr>
          <w:rFonts w:hint="eastAsia"/>
        </w:rPr>
        <w:t>为</w:t>
      </w:r>
      <w:r>
        <w:t>200℃</w:t>
      </w:r>
      <w:r>
        <w:rPr>
          <w:rFonts w:hint="eastAsia"/>
        </w:rPr>
        <w:t>~</w:t>
      </w:r>
      <w:r>
        <w:t>350℃；深度干化阶段温度宜</w:t>
      </w:r>
      <w:r>
        <w:rPr>
          <w:rFonts w:hint="eastAsia"/>
        </w:rPr>
        <w:t>为</w:t>
      </w:r>
      <w:r>
        <w:t>350℃</w:t>
      </w:r>
      <w:r>
        <w:rPr>
          <w:rFonts w:hint="eastAsia"/>
        </w:rPr>
        <w:t>~</w:t>
      </w:r>
      <w:r>
        <w:t>450℃；碳化阶段温度宜</w:t>
      </w:r>
      <w:r>
        <w:rPr>
          <w:rFonts w:hint="eastAsia"/>
        </w:rPr>
        <w:t>为</w:t>
      </w:r>
      <w:r>
        <w:t>450℃</w:t>
      </w:r>
      <w:r>
        <w:rPr>
          <w:rFonts w:hint="eastAsia"/>
        </w:rPr>
        <w:t>~</w:t>
      </w:r>
      <w:r>
        <w:t>650℃。</w:t>
      </w:r>
    </w:p>
    <w:p>
      <w:pPr>
        <w:pStyle w:val="59"/>
        <w:numPr>
          <w:ilvl w:val="0"/>
          <w:numId w:val="0"/>
        </w:numPr>
        <w:spacing w:before="156" w:after="156"/>
        <w:jc w:val="left"/>
        <w:outlineLvl w:val="3"/>
        <w:rPr>
          <w:rFonts w:ascii="Times New Roman"/>
        </w:rPr>
      </w:pPr>
      <w:r>
        <w:rPr>
          <w:rFonts w:ascii="Times New Roman"/>
        </w:rPr>
        <w:t>5.1.6 电控系统要求</w:t>
      </w:r>
    </w:p>
    <w:p>
      <w:pPr>
        <w:jc w:val="left"/>
      </w:pPr>
      <w:r>
        <w:rPr>
          <w:rFonts w:eastAsia="黑体"/>
        </w:rPr>
        <w:t>5.1.6.1</w:t>
      </w:r>
      <w:r>
        <w:rPr>
          <w:rFonts w:hint="eastAsia"/>
        </w:rPr>
        <w:t xml:space="preserve"> </w:t>
      </w:r>
      <w:r>
        <w:rPr>
          <w:kern w:val="0"/>
          <w:szCs w:val="20"/>
        </w:rPr>
        <w:t>一体化污泥高效脱水处理设备</w:t>
      </w:r>
      <w:r>
        <w:rPr>
          <w:rFonts w:eastAsiaTheme="majorEastAsia"/>
          <w:kern w:val="0"/>
          <w:szCs w:val="20"/>
        </w:rPr>
        <w:t>应采用中央集成控制</w:t>
      </w:r>
      <w:r>
        <w:rPr>
          <w:rFonts w:hint="eastAsia" w:eastAsiaTheme="majorEastAsia"/>
          <w:kern w:val="0"/>
          <w:szCs w:val="20"/>
          <w:lang w:val="en-US" w:eastAsia="zh-CN"/>
        </w:rPr>
        <w:t>系统</w:t>
      </w:r>
      <w:r>
        <w:rPr>
          <w:rFonts w:eastAsiaTheme="majorEastAsia"/>
          <w:kern w:val="0"/>
          <w:szCs w:val="20"/>
        </w:rPr>
        <w:t>，加装现场</w:t>
      </w:r>
      <w:r>
        <w:rPr>
          <w:rFonts w:hint="eastAsia" w:eastAsiaTheme="majorEastAsia"/>
          <w:kern w:val="0"/>
          <w:szCs w:val="20"/>
        </w:rPr>
        <w:t>应采用</w:t>
      </w:r>
      <w:r>
        <w:rPr>
          <w:rFonts w:eastAsiaTheme="majorEastAsia"/>
          <w:kern w:val="0"/>
          <w:szCs w:val="20"/>
        </w:rPr>
        <w:t>控制柜紧急控制</w:t>
      </w:r>
      <w:r>
        <w:rPr>
          <w:rFonts w:hint="eastAsia" w:eastAsiaTheme="majorEastAsia"/>
          <w:kern w:val="0"/>
          <w:szCs w:val="20"/>
          <w:lang w:eastAsia="zh-CN"/>
        </w:rPr>
        <w:t>；</w:t>
      </w:r>
      <w:r>
        <w:rPr>
          <w:kern w:val="0"/>
          <w:szCs w:val="20"/>
        </w:rPr>
        <w:t>一体化污泥高效脱水处理设备</w:t>
      </w:r>
      <w:r>
        <w:t>控制室、控制柜</w:t>
      </w:r>
      <w:r>
        <w:rPr>
          <w:rFonts w:hint="eastAsia"/>
        </w:rPr>
        <w:t>与</w:t>
      </w:r>
      <w:r>
        <w:t>各</w:t>
      </w:r>
      <w:r>
        <w:rPr>
          <w:rFonts w:hint="eastAsia"/>
        </w:rPr>
        <w:t>个</w:t>
      </w:r>
      <w:r>
        <w:t>被控制设备之间的连接线缆必须</w:t>
      </w:r>
      <w:r>
        <w:rPr>
          <w:rFonts w:hint="eastAsia"/>
        </w:rPr>
        <w:t>设置</w:t>
      </w:r>
      <w:r>
        <w:t>金属管保护</w:t>
      </w:r>
      <w:r>
        <w:rPr>
          <w:rFonts w:hint="eastAsia"/>
        </w:rPr>
        <w:t>，且</w:t>
      </w:r>
      <w:r>
        <w:t>强弱电线缆</w:t>
      </w:r>
      <w:r>
        <w:rPr>
          <w:rFonts w:hint="eastAsia"/>
        </w:rPr>
        <w:t>应</w:t>
      </w:r>
      <w:r>
        <w:t>分开敷设。</w:t>
      </w:r>
    </w:p>
    <w:p>
      <w:pPr>
        <w:jc w:val="left"/>
      </w:pPr>
      <w:r>
        <w:rPr>
          <w:rFonts w:eastAsia="黑体"/>
        </w:rPr>
        <w:t>5.1.6.</w:t>
      </w:r>
      <w:r>
        <w:rPr>
          <w:rFonts w:hint="eastAsia" w:eastAsia="黑体"/>
          <w:lang w:val="en-US" w:eastAsia="zh-CN"/>
        </w:rPr>
        <w:t xml:space="preserve">2 </w:t>
      </w:r>
      <w:r>
        <w:rPr>
          <w:kern w:val="0"/>
          <w:szCs w:val="20"/>
        </w:rPr>
        <w:t>一体化污泥高效脱水处理设备</w:t>
      </w:r>
      <w:r>
        <w:t>应采用智能温控系统，</w:t>
      </w:r>
      <w:r>
        <w:rPr>
          <w:rFonts w:hint="eastAsia"/>
        </w:rPr>
        <w:t>宜设置可</w:t>
      </w:r>
      <w:r>
        <w:t>模拟显示物料运行的控制系统</w:t>
      </w:r>
      <w:r>
        <w:rPr>
          <w:rFonts w:hint="eastAsia"/>
        </w:rPr>
        <w:t>。</w:t>
      </w:r>
    </w:p>
    <w:p>
      <w:pPr>
        <w:pStyle w:val="59"/>
        <w:numPr>
          <w:ilvl w:val="0"/>
          <w:numId w:val="0"/>
        </w:numPr>
        <w:spacing w:before="156" w:after="156"/>
        <w:jc w:val="left"/>
        <w:outlineLvl w:val="3"/>
        <w:rPr>
          <w:rFonts w:ascii="Times New Roman"/>
        </w:rPr>
      </w:pPr>
      <w:r>
        <w:rPr>
          <w:rFonts w:ascii="Times New Roman"/>
        </w:rPr>
        <w:t>5.1.7 安装要求</w:t>
      </w:r>
    </w:p>
    <w:p>
      <w:pPr>
        <w:pStyle w:val="58"/>
        <w:ind w:firstLine="420"/>
        <w:jc w:val="left"/>
        <w:rPr>
          <w:rFonts w:ascii="Times New Roman" w:eastAsia="黑体"/>
          <w:highlight w:val="none"/>
        </w:rPr>
      </w:pPr>
      <w:r>
        <w:rPr>
          <w:rFonts w:ascii="Times New Roman"/>
          <w:highlight w:val="none"/>
        </w:rPr>
        <w:t>一体化污泥高效脱水处理设备应易于安装</w:t>
      </w:r>
      <w:r>
        <w:rPr>
          <w:rFonts w:hint="eastAsia" w:ascii="Times New Roman"/>
          <w:highlight w:val="none"/>
        </w:rPr>
        <w:t>，</w:t>
      </w:r>
      <w:r>
        <w:rPr>
          <w:rFonts w:ascii="Times New Roman"/>
          <w:highlight w:val="none"/>
        </w:rPr>
        <w:t>安装时</w:t>
      </w:r>
      <w:r>
        <w:rPr>
          <w:rFonts w:hint="eastAsia" w:ascii="Times New Roman"/>
          <w:highlight w:val="none"/>
        </w:rPr>
        <w:t>应</w:t>
      </w:r>
      <w:r>
        <w:rPr>
          <w:rFonts w:ascii="Times New Roman"/>
          <w:highlight w:val="none"/>
        </w:rPr>
        <w:t>充分考虑热变形、高温、重载、动载荷等</w:t>
      </w:r>
      <w:r>
        <w:rPr>
          <w:rFonts w:hint="eastAsia" w:ascii="Times New Roman"/>
          <w:highlight w:val="none"/>
        </w:rPr>
        <w:t>影响</w:t>
      </w:r>
      <w:r>
        <w:rPr>
          <w:rFonts w:hint="eastAsia" w:ascii="Times New Roman"/>
          <w:highlight w:val="none"/>
          <w:lang w:eastAsia="zh-CN"/>
        </w:rPr>
        <w:t>，</w:t>
      </w:r>
      <w:r>
        <w:rPr>
          <w:highlight w:val="none"/>
        </w:rPr>
        <w:t>所有连接处不得有泄漏</w:t>
      </w:r>
      <w:r>
        <w:rPr>
          <w:rFonts w:ascii="Times New Roman"/>
          <w:highlight w:val="none"/>
        </w:rPr>
        <w:t>。</w:t>
      </w:r>
    </w:p>
    <w:p>
      <w:pPr>
        <w:pStyle w:val="59"/>
        <w:numPr>
          <w:ilvl w:val="0"/>
          <w:numId w:val="0"/>
        </w:numPr>
        <w:spacing w:before="156" w:after="156"/>
        <w:jc w:val="left"/>
        <w:outlineLvl w:val="2"/>
        <w:rPr>
          <w:rFonts w:ascii="Times New Roman"/>
        </w:rPr>
      </w:pPr>
      <w:r>
        <w:rPr>
          <w:rFonts w:ascii="Times New Roman"/>
        </w:rPr>
        <w:t>5.2 适用性要求</w:t>
      </w:r>
    </w:p>
    <w:p>
      <w:pPr>
        <w:widowControl/>
        <w:jc w:val="left"/>
        <w:rPr>
          <w:rFonts w:eastAsiaTheme="majorEastAsia"/>
          <w:kern w:val="0"/>
          <w:szCs w:val="20"/>
        </w:rPr>
      </w:pPr>
      <w:r>
        <w:rPr>
          <w:rFonts w:eastAsia="黑体"/>
          <w:kern w:val="0"/>
          <w:szCs w:val="20"/>
        </w:rPr>
        <w:t>5.2.1</w:t>
      </w:r>
      <w:r>
        <w:rPr>
          <w:rFonts w:eastAsiaTheme="majorEastAsia"/>
          <w:kern w:val="0"/>
          <w:szCs w:val="20"/>
        </w:rPr>
        <w:t>一体化污泥高效脱水处理设备</w:t>
      </w:r>
      <w:r>
        <w:rPr>
          <w:rFonts w:hint="eastAsia" w:eastAsiaTheme="majorEastAsia"/>
          <w:kern w:val="0"/>
          <w:szCs w:val="20"/>
        </w:rPr>
        <w:t>的型号宜</w:t>
      </w:r>
      <w:r>
        <w:rPr>
          <w:rFonts w:eastAsiaTheme="majorEastAsia"/>
          <w:kern w:val="0"/>
          <w:szCs w:val="20"/>
        </w:rPr>
        <w:t>满足人口居住密集、生活污泥量大的城镇污水处理厂</w:t>
      </w:r>
      <w:r>
        <w:rPr>
          <w:rFonts w:hint="eastAsia" w:eastAsiaTheme="majorEastAsia"/>
          <w:kern w:val="0"/>
          <w:szCs w:val="20"/>
        </w:rPr>
        <w:t>的使用</w:t>
      </w:r>
      <w:r>
        <w:rPr>
          <w:rFonts w:eastAsiaTheme="majorEastAsia"/>
          <w:kern w:val="0"/>
          <w:szCs w:val="20"/>
        </w:rPr>
        <w:t>要求。</w:t>
      </w:r>
    </w:p>
    <w:p>
      <w:pPr>
        <w:widowControl/>
        <w:jc w:val="left"/>
        <w:rPr>
          <w:rFonts w:eastAsiaTheme="majorEastAsia"/>
          <w:kern w:val="0"/>
          <w:szCs w:val="20"/>
        </w:rPr>
      </w:pPr>
      <w:r>
        <w:rPr>
          <w:rFonts w:eastAsia="黑体"/>
          <w:kern w:val="0"/>
          <w:szCs w:val="20"/>
        </w:rPr>
        <w:t>5.2.2</w:t>
      </w:r>
      <w:r>
        <w:rPr>
          <w:rFonts w:eastAsiaTheme="majorEastAsia"/>
          <w:kern w:val="0"/>
          <w:szCs w:val="20"/>
        </w:rPr>
        <w:t>一体化污泥高效脱水处理设备</w:t>
      </w:r>
      <w:r>
        <w:rPr>
          <w:rFonts w:hint="eastAsia" w:eastAsiaTheme="majorEastAsia"/>
          <w:kern w:val="0"/>
          <w:szCs w:val="20"/>
        </w:rPr>
        <w:t>进料</w:t>
      </w:r>
      <w:r>
        <w:rPr>
          <w:rFonts w:eastAsiaTheme="majorEastAsia"/>
          <w:kern w:val="0"/>
          <w:szCs w:val="20"/>
        </w:rPr>
        <w:t>污泥含水率应</w:t>
      </w:r>
      <w:r>
        <w:rPr>
          <w:rFonts w:hint="eastAsia" w:eastAsiaTheme="majorEastAsia"/>
          <w:kern w:val="0"/>
          <w:szCs w:val="20"/>
        </w:rPr>
        <w:t>不</w:t>
      </w:r>
      <w:r>
        <w:rPr>
          <w:rFonts w:eastAsiaTheme="majorEastAsia"/>
          <w:kern w:val="0"/>
          <w:szCs w:val="20"/>
        </w:rPr>
        <w:t>大于85%，处理后的</w:t>
      </w:r>
      <w:r>
        <w:t>成品污泥含水率</w:t>
      </w:r>
      <w:r>
        <w:rPr>
          <w:rFonts w:hint="eastAsia"/>
          <w:lang w:val="en-US" w:eastAsia="zh-CN"/>
        </w:rPr>
        <w:t>应</w:t>
      </w:r>
      <w:r>
        <w:t>不</w:t>
      </w:r>
      <w:r>
        <w:rPr>
          <w:rFonts w:hint="eastAsia"/>
        </w:rPr>
        <w:t>大于</w:t>
      </w:r>
      <w:r>
        <w:t>10%。</w:t>
      </w:r>
    </w:p>
    <w:p>
      <w:pPr>
        <w:pStyle w:val="59"/>
        <w:numPr>
          <w:ilvl w:val="0"/>
          <w:numId w:val="0"/>
        </w:numPr>
        <w:spacing w:before="156" w:after="156"/>
        <w:jc w:val="left"/>
        <w:outlineLvl w:val="2"/>
        <w:rPr>
          <w:rFonts w:ascii="Times New Roman"/>
        </w:rPr>
      </w:pPr>
      <w:r>
        <w:rPr>
          <w:rFonts w:ascii="Times New Roman"/>
        </w:rPr>
        <w:t>5.3 安全和环境要求</w:t>
      </w:r>
    </w:p>
    <w:p>
      <w:pPr>
        <w:widowControl/>
        <w:autoSpaceDE w:val="0"/>
        <w:autoSpaceDN w:val="0"/>
        <w:spacing w:before="156" w:beforeLines="50" w:after="156" w:afterLines="50"/>
        <w:jc w:val="left"/>
        <w:outlineLvl w:val="3"/>
        <w:rPr>
          <w:rFonts w:eastAsia="黑体"/>
          <w:kern w:val="0"/>
          <w:szCs w:val="20"/>
        </w:rPr>
      </w:pPr>
      <w:r>
        <w:rPr>
          <w:rFonts w:eastAsia="黑体"/>
          <w:kern w:val="0"/>
          <w:szCs w:val="20"/>
        </w:rPr>
        <w:t>5.3.1 安全要求</w:t>
      </w:r>
    </w:p>
    <w:p>
      <w:pPr>
        <w:widowControl/>
        <w:autoSpaceDE w:val="0"/>
        <w:autoSpaceDN w:val="0"/>
        <w:jc w:val="left"/>
        <w:rPr>
          <w:kern w:val="0"/>
          <w:szCs w:val="20"/>
          <w:highlight w:val="yellow"/>
        </w:rPr>
      </w:pPr>
      <w:r>
        <w:rPr>
          <w:rFonts w:eastAsia="黑体"/>
          <w:kern w:val="0"/>
          <w:szCs w:val="20"/>
        </w:rPr>
        <w:t xml:space="preserve">5.3.1.1 </w:t>
      </w:r>
      <w:r>
        <w:rPr>
          <w:kern w:val="0"/>
          <w:szCs w:val="20"/>
        </w:rPr>
        <w:t>一体化污泥高效脱水处理设备应合理布置动力输入点和支撑点，</w:t>
      </w:r>
      <w:r>
        <w:rPr>
          <w:rFonts w:hint="eastAsia"/>
          <w:kern w:val="0"/>
          <w:szCs w:val="20"/>
        </w:rPr>
        <w:t>并应按6.1.4的要求</w:t>
      </w:r>
      <w:r>
        <w:rPr>
          <w:rFonts w:eastAsiaTheme="majorEastAsia"/>
        </w:rPr>
        <w:t>进行主动力输入系统平衡检查</w:t>
      </w:r>
      <w:r>
        <w:rPr>
          <w:rFonts w:hint="eastAsia" w:eastAsiaTheme="majorEastAsia"/>
          <w:kern w:val="0"/>
          <w:szCs w:val="20"/>
          <w:lang w:eastAsia="zh-CN"/>
        </w:rPr>
        <w:t>；</w:t>
      </w:r>
      <w:r>
        <w:rPr>
          <w:kern w:val="0"/>
          <w:szCs w:val="20"/>
          <w:highlight w:val="none"/>
        </w:rPr>
        <w:t>一体化污泥高效脱水处理设备</w:t>
      </w:r>
      <w:r>
        <w:rPr>
          <w:rFonts w:hint="eastAsia"/>
          <w:kern w:val="0"/>
          <w:szCs w:val="20"/>
          <w:highlight w:val="none"/>
        </w:rPr>
        <w:t>应避免</w:t>
      </w:r>
      <w:r>
        <w:rPr>
          <w:kern w:val="0"/>
          <w:szCs w:val="20"/>
          <w:highlight w:val="none"/>
        </w:rPr>
        <w:t>装置内热重力变形引起的动平衡问题。</w:t>
      </w:r>
    </w:p>
    <w:p>
      <w:pPr>
        <w:widowControl/>
        <w:autoSpaceDE w:val="0"/>
        <w:autoSpaceDN w:val="0"/>
        <w:jc w:val="left"/>
        <w:rPr>
          <w:kern w:val="0"/>
          <w:szCs w:val="20"/>
        </w:rPr>
      </w:pPr>
      <w:r>
        <w:rPr>
          <w:kern w:val="0"/>
          <w:szCs w:val="20"/>
        </w:rPr>
        <w:t>5.3.1.2 一体化污泥高效脱水处理设备传动部分宜采用柔性齿圈结构，主釜支撑及齿轮传动部分</w:t>
      </w:r>
      <w:r>
        <w:rPr>
          <w:rFonts w:hint="eastAsia"/>
          <w:kern w:val="0"/>
          <w:szCs w:val="20"/>
        </w:rPr>
        <w:t>宜</w:t>
      </w:r>
      <w:r>
        <w:rPr>
          <w:kern w:val="0"/>
          <w:szCs w:val="20"/>
        </w:rPr>
        <w:t>采用浸油润滑。</w:t>
      </w:r>
    </w:p>
    <w:p>
      <w:pPr>
        <w:widowControl/>
        <w:autoSpaceDE w:val="0"/>
        <w:autoSpaceDN w:val="0"/>
        <w:jc w:val="left"/>
        <w:rPr>
          <w:rFonts w:hint="eastAsia" w:eastAsia="宋体"/>
          <w:color w:val="auto"/>
          <w:kern w:val="0"/>
          <w:szCs w:val="20"/>
          <w:highlight w:val="none"/>
          <w:lang w:eastAsia="zh-CN"/>
        </w:rPr>
      </w:pPr>
      <w:r>
        <w:rPr>
          <w:rFonts w:eastAsia="黑体"/>
          <w:kern w:val="0"/>
          <w:szCs w:val="20"/>
        </w:rPr>
        <w:t>5.3.1.</w:t>
      </w:r>
      <w:r>
        <w:rPr>
          <w:rFonts w:hint="eastAsia" w:eastAsia="黑体"/>
          <w:kern w:val="0"/>
          <w:szCs w:val="20"/>
          <w:lang w:val="en-US" w:eastAsia="zh-CN"/>
        </w:rPr>
        <w:t xml:space="preserve">3 </w:t>
      </w:r>
      <w:r>
        <w:rPr>
          <w:kern w:val="0"/>
          <w:szCs w:val="20"/>
        </w:rPr>
        <w:t>一体化污泥高效脱水处理设备应设置检测、控制、报警、应急处理、紧急排放装置</w:t>
      </w:r>
      <w:r>
        <w:rPr>
          <w:rFonts w:hint="eastAsia"/>
          <w:kern w:val="0"/>
          <w:szCs w:val="20"/>
          <w:lang w:eastAsia="zh-CN"/>
        </w:rPr>
        <w:t>；</w:t>
      </w:r>
      <w:r>
        <w:rPr>
          <w:color w:val="auto"/>
          <w:kern w:val="0"/>
          <w:szCs w:val="20"/>
          <w:highlight w:val="none"/>
        </w:rPr>
        <w:t>一体化污泥高效脱水处理设备的电源应有漏电、过载、缺相、欠压</w:t>
      </w:r>
      <w:r>
        <w:rPr>
          <w:rFonts w:hint="eastAsia"/>
          <w:color w:val="auto"/>
          <w:kern w:val="0"/>
          <w:szCs w:val="20"/>
          <w:highlight w:val="none"/>
        </w:rPr>
        <w:t>的</w:t>
      </w:r>
      <w:r>
        <w:rPr>
          <w:color w:val="auto"/>
          <w:kern w:val="0"/>
          <w:szCs w:val="20"/>
          <w:highlight w:val="none"/>
        </w:rPr>
        <w:t>保护装置。</w:t>
      </w:r>
    </w:p>
    <w:p>
      <w:pPr>
        <w:widowControl/>
        <w:autoSpaceDE w:val="0"/>
        <w:autoSpaceDN w:val="0"/>
        <w:jc w:val="left"/>
        <w:rPr>
          <w:kern w:val="0"/>
          <w:szCs w:val="20"/>
        </w:rPr>
      </w:pPr>
      <w:r>
        <w:rPr>
          <w:kern w:val="0"/>
          <w:szCs w:val="20"/>
        </w:rPr>
        <w:t>5.3.1.</w:t>
      </w:r>
      <w:r>
        <w:rPr>
          <w:rFonts w:hint="eastAsia"/>
          <w:kern w:val="0"/>
          <w:szCs w:val="20"/>
          <w:lang w:val="en-US" w:eastAsia="zh-CN"/>
        </w:rPr>
        <w:t>4</w:t>
      </w:r>
      <w:r>
        <w:rPr>
          <w:kern w:val="0"/>
          <w:szCs w:val="20"/>
        </w:rPr>
        <w:t xml:space="preserve"> 一体化污泥高效脱水处理设备必须</w:t>
      </w:r>
      <w:r>
        <w:rPr>
          <w:rFonts w:hint="eastAsia"/>
          <w:kern w:val="0"/>
          <w:szCs w:val="20"/>
        </w:rPr>
        <w:t>设置</w:t>
      </w:r>
      <w:r>
        <w:rPr>
          <w:kern w:val="0"/>
          <w:szCs w:val="20"/>
        </w:rPr>
        <w:t>防爆措施及装置。</w:t>
      </w:r>
    </w:p>
    <w:p>
      <w:pPr>
        <w:widowControl/>
        <w:autoSpaceDE w:val="0"/>
        <w:autoSpaceDN w:val="0"/>
        <w:jc w:val="left"/>
        <w:rPr>
          <w:kern w:val="0"/>
          <w:szCs w:val="20"/>
        </w:rPr>
      </w:pPr>
      <w:r>
        <w:t>5.3.1.</w:t>
      </w:r>
      <w:r>
        <w:rPr>
          <w:rFonts w:hint="eastAsia"/>
          <w:lang w:val="en-US" w:eastAsia="zh-CN"/>
        </w:rPr>
        <w:t>5</w:t>
      </w:r>
      <w:r>
        <w:rPr>
          <w:kern w:val="0"/>
          <w:szCs w:val="20"/>
        </w:rPr>
        <w:t xml:space="preserve"> 一体化污泥高效脱水处理设备燃烧器应设有安全保护装置，</w:t>
      </w:r>
      <w:r>
        <w:rPr>
          <w:rFonts w:hint="eastAsia"/>
          <w:kern w:val="0"/>
          <w:szCs w:val="20"/>
        </w:rPr>
        <w:t>整机</w:t>
      </w:r>
      <w:r>
        <w:t>设备制造装配完成后</w:t>
      </w:r>
      <w:r>
        <w:rPr>
          <w:rFonts w:hint="eastAsia"/>
          <w:kern w:val="0"/>
          <w:szCs w:val="20"/>
        </w:rPr>
        <w:t>应按6.1.6的要求</w:t>
      </w:r>
      <w:r>
        <w:rPr>
          <w:kern w:val="0"/>
          <w:szCs w:val="20"/>
        </w:rPr>
        <w:t>进行燃烧器点火</w:t>
      </w:r>
      <w:r>
        <w:rPr>
          <w:rFonts w:hint="eastAsia"/>
          <w:kern w:val="0"/>
          <w:szCs w:val="20"/>
        </w:rPr>
        <w:t>试验</w:t>
      </w:r>
      <w:r>
        <w:rPr>
          <w:kern w:val="0"/>
          <w:szCs w:val="20"/>
        </w:rPr>
        <w:t>。</w:t>
      </w:r>
    </w:p>
    <w:p>
      <w:pPr>
        <w:widowControl/>
        <w:autoSpaceDE w:val="0"/>
        <w:autoSpaceDN w:val="0"/>
        <w:jc w:val="left"/>
        <w:rPr>
          <w:kern w:val="0"/>
          <w:szCs w:val="20"/>
        </w:rPr>
      </w:pPr>
      <w:r>
        <w:t>5.3.1.</w:t>
      </w:r>
      <w:r>
        <w:rPr>
          <w:rFonts w:hint="eastAsia"/>
          <w:lang w:val="en-US" w:eastAsia="zh-CN"/>
        </w:rPr>
        <w:t>6</w:t>
      </w:r>
      <w:r>
        <w:rPr>
          <w:kern w:val="0"/>
          <w:szCs w:val="20"/>
        </w:rPr>
        <w:t xml:space="preserve"> 一体化污泥高效脱水处理设备停止运行（包括正常停机和安全停机）前，必须对</w:t>
      </w:r>
      <w:r>
        <w:rPr>
          <w:rFonts w:hint="eastAsia"/>
          <w:kern w:val="0"/>
          <w:szCs w:val="20"/>
        </w:rPr>
        <w:t>整机设备</w:t>
      </w:r>
      <w:r>
        <w:rPr>
          <w:kern w:val="0"/>
          <w:szCs w:val="20"/>
        </w:rPr>
        <w:t>进行冷却控制</w:t>
      </w:r>
      <w:r>
        <w:rPr>
          <w:rFonts w:hint="eastAsia"/>
          <w:kern w:val="0"/>
          <w:szCs w:val="20"/>
        </w:rPr>
        <w:t>。</w:t>
      </w:r>
    </w:p>
    <w:p>
      <w:pPr>
        <w:widowControl/>
        <w:autoSpaceDE w:val="0"/>
        <w:autoSpaceDN w:val="0"/>
        <w:jc w:val="left"/>
      </w:pPr>
      <w:r>
        <w:t>5.3.1.</w:t>
      </w:r>
      <w:r>
        <w:rPr>
          <w:rFonts w:hint="eastAsia"/>
          <w:lang w:val="en-US" w:eastAsia="zh-CN"/>
        </w:rPr>
        <w:t>7</w:t>
      </w:r>
      <w:r>
        <w:t xml:space="preserve"> </w:t>
      </w:r>
      <w:r>
        <w:rPr>
          <w:kern w:val="0"/>
          <w:szCs w:val="20"/>
        </w:rPr>
        <w:t>一体化污泥高效脱水处理设备</w:t>
      </w:r>
      <w:r>
        <w:t>宜设置</w:t>
      </w:r>
      <w:r>
        <w:rPr>
          <w:rFonts w:hint="eastAsia"/>
        </w:rPr>
        <w:t>带有</w:t>
      </w:r>
      <w:r>
        <w:t>反馈调节燃烧机档位</w:t>
      </w:r>
      <w:r>
        <w:rPr>
          <w:rFonts w:hint="eastAsia"/>
        </w:rPr>
        <w:t>的</w:t>
      </w:r>
      <w:r>
        <w:t>温控报警装置，当</w:t>
      </w:r>
      <w:r>
        <w:rPr>
          <w:rFonts w:hint="eastAsia"/>
        </w:rPr>
        <w:t>整机设备</w:t>
      </w:r>
      <w:r>
        <w:t>长时间温度过高无法温降，</w:t>
      </w:r>
      <w:r>
        <w:rPr>
          <w:rFonts w:hint="eastAsia"/>
        </w:rPr>
        <w:t>必须</w:t>
      </w:r>
      <w:r>
        <w:t>切断燃烧机电源。</w:t>
      </w:r>
    </w:p>
    <w:p>
      <w:pPr>
        <w:widowControl/>
        <w:jc w:val="left"/>
        <w:rPr>
          <w:rFonts w:eastAsiaTheme="majorEastAsia"/>
          <w:kern w:val="0"/>
          <w:szCs w:val="20"/>
        </w:rPr>
      </w:pPr>
      <w:r>
        <w:t>5.3.1.</w:t>
      </w:r>
      <w:r>
        <w:rPr>
          <w:rFonts w:hint="eastAsia"/>
          <w:lang w:val="en-US" w:eastAsia="zh-CN"/>
        </w:rPr>
        <w:t>8</w:t>
      </w:r>
      <w:r>
        <w:rPr>
          <w:rFonts w:eastAsia="黑体"/>
          <w:kern w:val="0"/>
          <w:szCs w:val="20"/>
        </w:rPr>
        <w:t xml:space="preserve"> </w:t>
      </w:r>
      <w:r>
        <w:rPr>
          <w:kern w:val="0"/>
          <w:szCs w:val="20"/>
        </w:rPr>
        <w:t>一体化污泥高效脱水处理设备</w:t>
      </w:r>
      <w:r>
        <w:rPr>
          <w:rFonts w:hint="eastAsia"/>
          <w:kern w:val="0"/>
          <w:szCs w:val="20"/>
        </w:rPr>
        <w:t>的污泥</w:t>
      </w:r>
      <w:r>
        <w:rPr>
          <w:rFonts w:hint="eastAsia" w:eastAsiaTheme="majorEastAsia"/>
          <w:kern w:val="0"/>
          <w:szCs w:val="20"/>
        </w:rPr>
        <w:t>进料机构应</w:t>
      </w:r>
      <w:r>
        <w:rPr>
          <w:rFonts w:eastAsiaTheme="majorEastAsia"/>
          <w:kern w:val="0"/>
          <w:szCs w:val="20"/>
        </w:rPr>
        <w:t>设置堵料报警装置</w:t>
      </w:r>
      <w:r>
        <w:rPr>
          <w:rFonts w:hint="eastAsia" w:eastAsiaTheme="majorEastAsia"/>
          <w:kern w:val="0"/>
          <w:szCs w:val="20"/>
        </w:rPr>
        <w:t>，当</w:t>
      </w:r>
      <w:r>
        <w:rPr>
          <w:rFonts w:eastAsiaTheme="majorEastAsia"/>
          <w:kern w:val="0"/>
          <w:szCs w:val="20"/>
        </w:rPr>
        <w:t>主机出料螺旋输送机卡阻</w:t>
      </w:r>
      <w:r>
        <w:rPr>
          <w:rFonts w:hint="eastAsia" w:eastAsiaTheme="majorEastAsia"/>
          <w:kern w:val="0"/>
          <w:szCs w:val="20"/>
        </w:rPr>
        <w:t>时</w:t>
      </w:r>
      <w:r>
        <w:rPr>
          <w:rFonts w:eastAsiaTheme="majorEastAsia"/>
          <w:kern w:val="0"/>
          <w:szCs w:val="20"/>
        </w:rPr>
        <w:t>，堵料报警装置报警</w:t>
      </w:r>
      <w:r>
        <w:rPr>
          <w:rFonts w:hint="eastAsia" w:eastAsiaTheme="majorEastAsia"/>
          <w:kern w:val="0"/>
          <w:szCs w:val="20"/>
        </w:rPr>
        <w:t>，设备应自动</w:t>
      </w:r>
      <w:r>
        <w:rPr>
          <w:rFonts w:eastAsiaTheme="majorEastAsia"/>
          <w:kern w:val="0"/>
          <w:szCs w:val="20"/>
        </w:rPr>
        <w:t>切断原料输送机电源。</w:t>
      </w:r>
    </w:p>
    <w:p>
      <w:pPr>
        <w:widowControl/>
        <w:autoSpaceDE w:val="0"/>
        <w:autoSpaceDN w:val="0"/>
        <w:spacing w:before="156" w:beforeLines="50" w:after="156" w:afterLines="50"/>
        <w:jc w:val="left"/>
        <w:outlineLvl w:val="3"/>
        <w:rPr>
          <w:rFonts w:eastAsia="黑体"/>
          <w:kern w:val="0"/>
          <w:szCs w:val="20"/>
        </w:rPr>
      </w:pPr>
      <w:r>
        <w:rPr>
          <w:rFonts w:eastAsia="黑体"/>
          <w:kern w:val="0"/>
          <w:szCs w:val="20"/>
        </w:rPr>
        <w:t>5.3.2 环境要求</w:t>
      </w:r>
    </w:p>
    <w:p>
      <w:pPr>
        <w:pStyle w:val="59"/>
        <w:numPr>
          <w:ilvl w:val="0"/>
          <w:numId w:val="0"/>
        </w:numPr>
        <w:spacing w:before="156" w:after="156"/>
        <w:jc w:val="left"/>
        <w:outlineLvl w:val="9"/>
        <w:rPr>
          <w:rFonts w:ascii="Times New Roman"/>
        </w:rPr>
      </w:pPr>
      <w:r>
        <w:rPr>
          <w:rFonts w:ascii="Times New Roman"/>
        </w:rPr>
        <w:t>5.3.2.1 污水排放要求</w:t>
      </w:r>
    </w:p>
    <w:p>
      <w:pPr>
        <w:pStyle w:val="2"/>
        <w:ind w:right="0" w:rightChars="0" w:firstLine="420" w:firstLineChars="200"/>
        <w:jc w:val="left"/>
        <w:rPr>
          <w:rFonts w:eastAsiaTheme="majorEastAsia"/>
          <w:kern w:val="0"/>
          <w:sz w:val="21"/>
          <w:szCs w:val="20"/>
        </w:rPr>
      </w:pPr>
      <w:r>
        <w:rPr>
          <w:rFonts w:eastAsiaTheme="majorEastAsia"/>
          <w:kern w:val="0"/>
          <w:sz w:val="21"/>
          <w:szCs w:val="20"/>
        </w:rPr>
        <w:t>一体化污泥高效脱水处理设备运行过程中的污水排放应符合GB 8978的规定。</w:t>
      </w:r>
    </w:p>
    <w:p>
      <w:pPr>
        <w:pStyle w:val="59"/>
        <w:numPr>
          <w:ilvl w:val="0"/>
          <w:numId w:val="0"/>
        </w:numPr>
        <w:spacing w:before="156" w:after="156"/>
        <w:jc w:val="left"/>
        <w:outlineLvl w:val="9"/>
        <w:rPr>
          <w:rFonts w:ascii="Times New Roman"/>
        </w:rPr>
      </w:pPr>
      <w:r>
        <w:rPr>
          <w:rFonts w:ascii="Times New Roman"/>
        </w:rPr>
        <w:t>5.3.2.2 废气处理要求</w:t>
      </w:r>
    </w:p>
    <w:p>
      <w:pPr>
        <w:pStyle w:val="2"/>
        <w:ind w:right="0" w:rightChars="0"/>
        <w:jc w:val="left"/>
        <w:rPr>
          <w:rFonts w:hint="default" w:ascii="Times New Roman" w:hAnsi="Times New Roman" w:cs="Times New Roman" w:eastAsiaTheme="majorEastAsia"/>
          <w:kern w:val="0"/>
          <w:sz w:val="21"/>
          <w:szCs w:val="20"/>
        </w:rPr>
      </w:pPr>
      <w:r>
        <w:rPr>
          <w:rFonts w:hint="default" w:ascii="Times New Roman" w:hAnsi="Times New Roman" w:cs="Times New Roman" w:eastAsiaTheme="majorEastAsia"/>
          <w:kern w:val="0"/>
          <w:sz w:val="21"/>
          <w:szCs w:val="20"/>
        </w:rPr>
        <w:t>5.3.2.2.1 一体化污泥高效脱水处理设备生产、运行过程中的废气排放应符合</w:t>
      </w:r>
      <w:r>
        <w:rPr>
          <w:rFonts w:hint="eastAsia" w:cs="Times New Roman" w:eastAsiaTheme="majorEastAsia"/>
          <w:spacing w:val="-20"/>
          <w:kern w:val="0"/>
          <w:sz w:val="21"/>
          <w:szCs w:val="20"/>
          <w:lang w:val="en-US" w:eastAsia="zh-CN"/>
        </w:rPr>
        <w:t xml:space="preserve">GB 16297 </w:t>
      </w:r>
      <w:r>
        <w:rPr>
          <w:rFonts w:hint="default" w:ascii="Times New Roman" w:hAnsi="Times New Roman" w:cs="Times New Roman" w:eastAsiaTheme="majorEastAsia"/>
          <w:spacing w:val="-20"/>
          <w:kern w:val="0"/>
          <w:sz w:val="21"/>
          <w:szCs w:val="20"/>
        </w:rPr>
        <w:t>、GB</w:t>
      </w:r>
      <w:r>
        <w:rPr>
          <w:rFonts w:hint="eastAsia" w:cs="Times New Roman" w:eastAsiaTheme="majorEastAsia"/>
          <w:spacing w:val="-20"/>
          <w:kern w:val="0"/>
          <w:sz w:val="21"/>
          <w:szCs w:val="20"/>
          <w:lang w:val="en-US" w:eastAsia="zh-CN"/>
        </w:rPr>
        <w:t xml:space="preserve"> 14554</w:t>
      </w:r>
      <w:r>
        <w:rPr>
          <w:rFonts w:hint="default" w:ascii="Times New Roman" w:hAnsi="Times New Roman" w:cs="Times New Roman" w:eastAsiaTheme="majorEastAsia"/>
          <w:kern w:val="0"/>
          <w:sz w:val="21"/>
          <w:szCs w:val="20"/>
        </w:rPr>
        <w:t>的规定。</w:t>
      </w:r>
    </w:p>
    <w:p>
      <w:pPr>
        <w:jc w:val="left"/>
        <w:rPr>
          <w:rFonts w:eastAsiaTheme="majorEastAsia"/>
          <w:kern w:val="0"/>
          <w:szCs w:val="20"/>
        </w:rPr>
      </w:pPr>
      <w:r>
        <w:rPr>
          <w:rFonts w:eastAsiaTheme="majorEastAsia"/>
          <w:kern w:val="0"/>
          <w:szCs w:val="20"/>
        </w:rPr>
        <w:t>5.3.2.2.2 一体化污泥高效脱水处理设备宜采用全封闭的自动连续</w:t>
      </w:r>
      <w:r>
        <w:rPr>
          <w:rFonts w:hint="eastAsia" w:eastAsiaTheme="majorEastAsia"/>
          <w:kern w:val="0"/>
          <w:szCs w:val="20"/>
        </w:rPr>
        <w:t>进料</w:t>
      </w:r>
      <w:r>
        <w:rPr>
          <w:rFonts w:eastAsiaTheme="majorEastAsia"/>
          <w:kern w:val="0"/>
          <w:szCs w:val="20"/>
        </w:rPr>
        <w:t>，</w:t>
      </w:r>
      <w:r>
        <w:rPr>
          <w:rFonts w:hint="eastAsia" w:eastAsiaTheme="majorEastAsia"/>
          <w:kern w:val="0"/>
          <w:szCs w:val="20"/>
          <w:lang w:val="en-US" w:eastAsia="zh-CN"/>
        </w:rPr>
        <w:t>整机</w:t>
      </w:r>
      <w:r>
        <w:rPr>
          <w:rFonts w:eastAsiaTheme="majorEastAsia"/>
          <w:kern w:val="0"/>
          <w:szCs w:val="20"/>
        </w:rPr>
        <w:t>设备内部</w:t>
      </w:r>
      <w:r>
        <w:rPr>
          <w:rFonts w:hint="eastAsia" w:eastAsiaTheme="majorEastAsia"/>
          <w:kern w:val="0"/>
          <w:szCs w:val="20"/>
        </w:rPr>
        <w:t>宜</w:t>
      </w:r>
      <w:r>
        <w:rPr>
          <w:rFonts w:eastAsiaTheme="majorEastAsia"/>
          <w:kern w:val="0"/>
          <w:szCs w:val="20"/>
        </w:rPr>
        <w:t>保持微负压状态，</w:t>
      </w:r>
      <w:r>
        <w:rPr>
          <w:rFonts w:hint="eastAsia" w:eastAsiaTheme="majorEastAsia"/>
          <w:kern w:val="0"/>
          <w:szCs w:val="20"/>
        </w:rPr>
        <w:t>严禁</w:t>
      </w:r>
      <w:r>
        <w:rPr>
          <w:rFonts w:eastAsiaTheme="majorEastAsia"/>
          <w:kern w:val="0"/>
          <w:szCs w:val="20"/>
        </w:rPr>
        <w:t>臭气外逸污染环境。</w:t>
      </w:r>
    </w:p>
    <w:p>
      <w:pPr>
        <w:pStyle w:val="2"/>
        <w:jc w:val="left"/>
        <w:rPr>
          <w:rFonts w:eastAsiaTheme="majorEastAsia"/>
          <w:kern w:val="0"/>
          <w:sz w:val="21"/>
          <w:szCs w:val="20"/>
        </w:rPr>
      </w:pPr>
      <w:r>
        <w:rPr>
          <w:rFonts w:eastAsiaTheme="majorEastAsia"/>
          <w:kern w:val="0"/>
          <w:sz w:val="21"/>
          <w:szCs w:val="20"/>
        </w:rPr>
        <w:t>5.3.2.2.3</w:t>
      </w:r>
      <w:r>
        <w:rPr>
          <w:rFonts w:hint="eastAsia" w:eastAsiaTheme="majorEastAsia"/>
          <w:kern w:val="0"/>
          <w:sz w:val="21"/>
          <w:szCs w:val="20"/>
        </w:rPr>
        <w:t xml:space="preserve"> </w:t>
      </w:r>
      <w:r>
        <w:rPr>
          <w:rFonts w:eastAsiaTheme="majorEastAsia"/>
          <w:kern w:val="0"/>
          <w:sz w:val="21"/>
          <w:szCs w:val="20"/>
        </w:rPr>
        <w:t>一体化污泥高效脱水处理设备尾气处理系统</w:t>
      </w:r>
      <w:r>
        <w:rPr>
          <w:rFonts w:hint="eastAsia" w:eastAsiaTheme="majorEastAsia"/>
          <w:kern w:val="0"/>
          <w:sz w:val="21"/>
          <w:szCs w:val="20"/>
        </w:rPr>
        <w:t>应</w:t>
      </w:r>
      <w:r>
        <w:rPr>
          <w:rFonts w:eastAsiaTheme="majorEastAsia"/>
          <w:kern w:val="0"/>
          <w:sz w:val="21"/>
          <w:szCs w:val="20"/>
        </w:rPr>
        <w:t>在中高压风机进风管道处</w:t>
      </w:r>
      <w:r>
        <w:rPr>
          <w:rFonts w:hint="eastAsia" w:eastAsiaTheme="majorEastAsia"/>
          <w:kern w:val="0"/>
          <w:sz w:val="21"/>
          <w:szCs w:val="20"/>
        </w:rPr>
        <w:t>设置</w:t>
      </w:r>
      <w:r>
        <w:rPr>
          <w:rFonts w:eastAsiaTheme="majorEastAsia"/>
          <w:kern w:val="0"/>
          <w:sz w:val="21"/>
          <w:szCs w:val="20"/>
        </w:rPr>
        <w:t>有机废气浓度</w:t>
      </w:r>
      <w:r>
        <w:rPr>
          <w:rFonts w:hint="eastAsia" w:eastAsiaTheme="majorEastAsia"/>
          <w:kern w:val="0"/>
          <w:sz w:val="21"/>
          <w:szCs w:val="20"/>
        </w:rPr>
        <w:t>在线</w:t>
      </w:r>
      <w:r>
        <w:rPr>
          <w:rFonts w:eastAsiaTheme="majorEastAsia"/>
          <w:kern w:val="0"/>
          <w:sz w:val="21"/>
          <w:szCs w:val="20"/>
        </w:rPr>
        <w:t>检测报警</w:t>
      </w:r>
      <w:r>
        <w:rPr>
          <w:rFonts w:hint="eastAsia" w:eastAsiaTheme="majorEastAsia"/>
          <w:kern w:val="0"/>
          <w:sz w:val="21"/>
          <w:szCs w:val="20"/>
        </w:rPr>
        <w:t>装置</w:t>
      </w:r>
      <w:r>
        <w:rPr>
          <w:rFonts w:eastAsiaTheme="majorEastAsia"/>
          <w:kern w:val="0"/>
          <w:sz w:val="21"/>
          <w:szCs w:val="20"/>
        </w:rPr>
        <w:t>。</w:t>
      </w:r>
    </w:p>
    <w:p>
      <w:pPr>
        <w:pStyle w:val="59"/>
        <w:numPr>
          <w:ilvl w:val="0"/>
          <w:numId w:val="0"/>
        </w:numPr>
        <w:spacing w:before="156" w:after="156"/>
        <w:jc w:val="left"/>
        <w:outlineLvl w:val="9"/>
        <w:rPr>
          <w:rFonts w:ascii="Times New Roman"/>
        </w:rPr>
      </w:pPr>
      <w:r>
        <w:rPr>
          <w:rFonts w:ascii="Times New Roman"/>
        </w:rPr>
        <w:t>5.3.2.3 废渣处理要求</w:t>
      </w:r>
    </w:p>
    <w:p>
      <w:pPr>
        <w:widowControl/>
        <w:ind w:firstLine="420" w:firstLineChars="200"/>
        <w:jc w:val="left"/>
        <w:rPr>
          <w:rFonts w:eastAsiaTheme="majorEastAsia"/>
          <w:kern w:val="0"/>
          <w:szCs w:val="20"/>
        </w:rPr>
      </w:pPr>
      <w:r>
        <w:rPr>
          <w:rFonts w:hint="eastAsia" w:eastAsiaTheme="majorEastAsia"/>
          <w:kern w:val="0"/>
          <w:szCs w:val="20"/>
        </w:rPr>
        <w:t>进料</w:t>
      </w:r>
      <w:r>
        <w:rPr>
          <w:rFonts w:eastAsiaTheme="majorEastAsia"/>
          <w:kern w:val="0"/>
          <w:szCs w:val="20"/>
        </w:rPr>
        <w:t>污泥经减量化</w:t>
      </w:r>
      <w:r>
        <w:rPr>
          <w:rFonts w:hint="eastAsia" w:eastAsiaTheme="majorEastAsia"/>
          <w:kern w:val="0"/>
          <w:szCs w:val="20"/>
        </w:rPr>
        <w:t>、稳定化、</w:t>
      </w:r>
      <w:r>
        <w:rPr>
          <w:rFonts w:eastAsiaTheme="majorEastAsia"/>
          <w:kern w:val="0"/>
          <w:szCs w:val="20"/>
        </w:rPr>
        <w:t>无害化处理后的</w:t>
      </w:r>
      <w:r>
        <w:rPr>
          <w:rFonts w:hint="eastAsia" w:eastAsiaTheme="majorEastAsia"/>
          <w:kern w:val="0"/>
          <w:szCs w:val="20"/>
        </w:rPr>
        <w:t>成品污泥</w:t>
      </w:r>
      <w:r>
        <w:rPr>
          <w:rFonts w:eastAsiaTheme="majorEastAsia"/>
          <w:kern w:val="0"/>
          <w:szCs w:val="20"/>
        </w:rPr>
        <w:t>应为无二次污染、无菌无臭的无机残渣</w:t>
      </w:r>
      <w:r>
        <w:rPr>
          <w:rFonts w:hint="eastAsia" w:eastAsiaTheme="majorEastAsia"/>
          <w:kern w:val="0"/>
          <w:szCs w:val="20"/>
        </w:rPr>
        <w:t>，且不应</w:t>
      </w:r>
      <w:r>
        <w:rPr>
          <w:rFonts w:eastAsiaTheme="majorEastAsia"/>
          <w:kern w:val="0"/>
          <w:szCs w:val="20"/>
        </w:rPr>
        <w:t>进行可逆反应</w:t>
      </w:r>
      <w:r>
        <w:rPr>
          <w:rFonts w:hint="eastAsia" w:eastAsiaTheme="majorEastAsia"/>
          <w:kern w:val="0"/>
          <w:szCs w:val="20"/>
        </w:rPr>
        <w:t>。</w:t>
      </w:r>
      <w:r>
        <w:rPr>
          <w:rFonts w:hint="eastAsia" w:eastAsiaTheme="majorEastAsia"/>
          <w:kern w:val="0"/>
          <w:szCs w:val="20"/>
          <w:lang w:val="en-US" w:eastAsia="zh-CN"/>
        </w:rPr>
        <w:t>处理后的</w:t>
      </w:r>
      <w:r>
        <w:rPr>
          <w:rFonts w:hint="eastAsia" w:eastAsiaTheme="majorEastAsia"/>
          <w:kern w:val="0"/>
          <w:szCs w:val="20"/>
        </w:rPr>
        <w:t>成品污泥</w:t>
      </w:r>
      <w:r>
        <w:rPr>
          <w:rFonts w:hint="eastAsia" w:eastAsiaTheme="majorEastAsia"/>
          <w:kern w:val="0"/>
          <w:szCs w:val="20"/>
          <w:lang w:val="en-US" w:eastAsia="zh-CN"/>
        </w:rPr>
        <w:t>宜</w:t>
      </w:r>
      <w:r>
        <w:rPr>
          <w:rFonts w:hint="eastAsia" w:eastAsiaTheme="majorEastAsia"/>
          <w:kern w:val="0"/>
          <w:szCs w:val="20"/>
        </w:rPr>
        <w:t>满足</w:t>
      </w:r>
      <w:r>
        <w:rPr>
          <w:rFonts w:eastAsiaTheme="majorEastAsia"/>
          <w:kern w:val="0"/>
          <w:szCs w:val="20"/>
        </w:rPr>
        <w:t>城镇</w:t>
      </w:r>
      <w:r>
        <w:rPr>
          <w:rFonts w:hint="eastAsia" w:eastAsiaTheme="majorEastAsia"/>
          <w:kern w:val="0"/>
          <w:szCs w:val="20"/>
        </w:rPr>
        <w:t>郊区、</w:t>
      </w:r>
      <w:r>
        <w:rPr>
          <w:rFonts w:eastAsiaTheme="majorEastAsia"/>
          <w:kern w:val="0"/>
          <w:szCs w:val="20"/>
        </w:rPr>
        <w:t>居民区附近使用</w:t>
      </w:r>
      <w:r>
        <w:rPr>
          <w:rFonts w:hint="eastAsia" w:eastAsiaTheme="majorEastAsia"/>
          <w:kern w:val="0"/>
          <w:szCs w:val="20"/>
        </w:rPr>
        <w:t>的要求</w:t>
      </w:r>
      <w:r>
        <w:rPr>
          <w:rFonts w:eastAsiaTheme="majorEastAsia"/>
          <w:kern w:val="0"/>
          <w:szCs w:val="20"/>
        </w:rPr>
        <w:t>。</w:t>
      </w:r>
    </w:p>
    <w:p>
      <w:pPr>
        <w:pStyle w:val="59"/>
        <w:numPr>
          <w:ilvl w:val="0"/>
          <w:numId w:val="0"/>
        </w:numPr>
        <w:spacing w:before="156" w:after="156"/>
        <w:jc w:val="left"/>
        <w:outlineLvl w:val="9"/>
        <w:rPr>
          <w:rFonts w:ascii="Times New Roman"/>
        </w:rPr>
      </w:pPr>
      <w:r>
        <w:rPr>
          <w:rFonts w:ascii="Times New Roman"/>
        </w:rPr>
        <w:t>5.3.2.4 噪声要求</w:t>
      </w:r>
    </w:p>
    <w:p>
      <w:pPr>
        <w:pStyle w:val="2"/>
        <w:ind w:right="0" w:rightChars="0" w:firstLine="420" w:firstLineChars="200"/>
        <w:jc w:val="left"/>
        <w:rPr>
          <w:rFonts w:eastAsiaTheme="majorEastAsia"/>
          <w:kern w:val="0"/>
          <w:sz w:val="21"/>
          <w:szCs w:val="20"/>
        </w:rPr>
      </w:pPr>
      <w:r>
        <w:rPr>
          <w:rFonts w:eastAsiaTheme="majorEastAsia"/>
          <w:kern w:val="0"/>
          <w:sz w:val="21"/>
          <w:szCs w:val="20"/>
        </w:rPr>
        <w:t>一体化污泥高效脱水处理设备运行过程中的噪音应符合GB 12348的规定</w:t>
      </w:r>
    </w:p>
    <w:p>
      <w:pPr>
        <w:pStyle w:val="59"/>
        <w:numPr>
          <w:ilvl w:val="0"/>
          <w:numId w:val="0"/>
        </w:numPr>
        <w:spacing w:before="156" w:after="156"/>
        <w:jc w:val="left"/>
        <w:outlineLvl w:val="9"/>
        <w:rPr>
          <w:rFonts w:ascii="Times New Roman"/>
        </w:rPr>
      </w:pPr>
      <w:r>
        <w:rPr>
          <w:rFonts w:ascii="Times New Roman"/>
        </w:rPr>
        <w:t>5.3.2.5 其他环境要求</w:t>
      </w:r>
    </w:p>
    <w:p>
      <w:pPr>
        <w:ind w:firstLine="420" w:firstLineChars="200"/>
        <w:jc w:val="left"/>
        <w:rPr>
          <w:rFonts w:eastAsiaTheme="majorEastAsia"/>
          <w:kern w:val="0"/>
          <w:szCs w:val="20"/>
        </w:rPr>
      </w:pPr>
      <w:r>
        <w:rPr>
          <w:rFonts w:eastAsiaTheme="majorEastAsia"/>
          <w:kern w:val="0"/>
          <w:szCs w:val="20"/>
        </w:rPr>
        <w:t>一体化污泥高效脱水处理设备</w:t>
      </w:r>
      <w:r>
        <w:rPr>
          <w:rFonts w:hint="eastAsia" w:eastAsiaTheme="majorEastAsia"/>
          <w:kern w:val="0"/>
          <w:szCs w:val="20"/>
        </w:rPr>
        <w:t>运行中不添加任何化学药剂；排放</w:t>
      </w:r>
      <w:r>
        <w:rPr>
          <w:rFonts w:eastAsiaTheme="majorEastAsia"/>
          <w:kern w:val="0"/>
          <w:szCs w:val="20"/>
        </w:rPr>
        <w:t>废气中二噁英浓度占标率不</w:t>
      </w:r>
      <w:r>
        <w:rPr>
          <w:rFonts w:hint="eastAsia" w:eastAsiaTheme="majorEastAsia"/>
          <w:kern w:val="0"/>
          <w:szCs w:val="20"/>
        </w:rPr>
        <w:t>大于</w:t>
      </w:r>
      <w:r>
        <w:rPr>
          <w:rFonts w:eastAsiaTheme="majorEastAsia"/>
          <w:kern w:val="0"/>
          <w:szCs w:val="20"/>
        </w:rPr>
        <w:t>5‰，VOCs 排放总量小于20 mg/</w:t>
      </w:r>
      <w:r>
        <w:rPr>
          <w:rFonts w:hint="eastAsia" w:eastAsiaTheme="majorEastAsia"/>
          <w:kern w:val="0"/>
          <w:szCs w:val="20"/>
          <w:lang w:val="en-US" w:eastAsia="zh-CN"/>
        </w:rPr>
        <w:t>m</w:t>
      </w:r>
      <w:r>
        <w:rPr>
          <w:rFonts w:eastAsiaTheme="majorEastAsia"/>
          <w:kern w:val="0"/>
          <w:szCs w:val="20"/>
        </w:rPr>
        <w:t>³，颗粒物粉尘排放总量小于10 mg/</w:t>
      </w:r>
      <w:r>
        <w:rPr>
          <w:rFonts w:hint="eastAsia" w:eastAsiaTheme="majorEastAsia"/>
          <w:kern w:val="0"/>
          <w:szCs w:val="20"/>
          <w:lang w:val="en-US" w:eastAsia="zh-CN"/>
        </w:rPr>
        <w:t>m</w:t>
      </w:r>
      <w:r>
        <w:rPr>
          <w:rFonts w:eastAsiaTheme="majorEastAsia"/>
          <w:kern w:val="0"/>
          <w:szCs w:val="20"/>
        </w:rPr>
        <w:t>³。</w:t>
      </w:r>
    </w:p>
    <w:p>
      <w:pPr>
        <w:pStyle w:val="59"/>
        <w:numPr>
          <w:ilvl w:val="0"/>
          <w:numId w:val="0"/>
        </w:numPr>
        <w:spacing w:before="156" w:after="156"/>
        <w:jc w:val="left"/>
        <w:outlineLvl w:val="2"/>
        <w:rPr>
          <w:rFonts w:ascii="Times New Roman"/>
        </w:rPr>
      </w:pPr>
      <w:r>
        <w:rPr>
          <w:rFonts w:ascii="Times New Roman"/>
        </w:rPr>
        <w:t>5.4</w:t>
      </w:r>
      <w:r>
        <w:rPr>
          <w:rFonts w:hint="eastAsia" w:ascii="Times New Roman"/>
        </w:rPr>
        <w:t xml:space="preserve"> </w:t>
      </w:r>
      <w:r>
        <w:rPr>
          <w:rFonts w:ascii="Times New Roman"/>
        </w:rPr>
        <w:t>其他要求</w:t>
      </w:r>
    </w:p>
    <w:p>
      <w:pPr>
        <w:widowControl/>
        <w:autoSpaceDE w:val="0"/>
        <w:autoSpaceDN w:val="0"/>
        <w:spacing w:before="156" w:beforeLines="50" w:after="156" w:afterLines="50"/>
        <w:jc w:val="left"/>
        <w:outlineLvl w:val="3"/>
        <w:rPr>
          <w:rFonts w:eastAsia="黑体"/>
          <w:kern w:val="0"/>
          <w:szCs w:val="20"/>
        </w:rPr>
      </w:pPr>
      <w:r>
        <w:rPr>
          <w:rFonts w:eastAsia="黑体"/>
          <w:kern w:val="0"/>
          <w:szCs w:val="20"/>
        </w:rPr>
        <w:t>5.4.1</w:t>
      </w:r>
      <w:r>
        <w:rPr>
          <w:rFonts w:hint="eastAsia" w:eastAsia="黑体"/>
          <w:kern w:val="0"/>
          <w:szCs w:val="20"/>
        </w:rPr>
        <w:t xml:space="preserve"> </w:t>
      </w:r>
      <w:r>
        <w:rPr>
          <w:rFonts w:eastAsia="黑体"/>
          <w:kern w:val="0"/>
          <w:szCs w:val="20"/>
        </w:rPr>
        <w:t>结构要求</w:t>
      </w:r>
    </w:p>
    <w:p>
      <w:pPr>
        <w:jc w:val="left"/>
        <w:rPr>
          <w:rFonts w:eastAsiaTheme="majorEastAsia"/>
          <w:kern w:val="0"/>
          <w:szCs w:val="20"/>
        </w:rPr>
      </w:pPr>
      <w:r>
        <w:rPr>
          <w:rFonts w:hint="eastAsia" w:eastAsiaTheme="majorEastAsia"/>
          <w:kern w:val="0"/>
          <w:szCs w:val="20"/>
        </w:rPr>
        <w:t>5.4.1.1</w:t>
      </w:r>
      <w:r>
        <w:rPr>
          <w:rFonts w:eastAsiaTheme="majorEastAsia"/>
          <w:kern w:val="0"/>
          <w:szCs w:val="20"/>
        </w:rPr>
        <w:t>一体化污泥高效脱水处理设备的设计使用寿命宜不低于15年</w:t>
      </w:r>
      <w:r>
        <w:rPr>
          <w:rFonts w:hint="eastAsia" w:eastAsiaTheme="majorEastAsia"/>
          <w:kern w:val="0"/>
          <w:szCs w:val="20"/>
        </w:rPr>
        <w:t>。</w:t>
      </w:r>
    </w:p>
    <w:p>
      <w:pPr>
        <w:jc w:val="left"/>
        <w:rPr>
          <w:rFonts w:eastAsiaTheme="majorEastAsia"/>
          <w:kern w:val="0"/>
          <w:szCs w:val="20"/>
        </w:rPr>
      </w:pPr>
      <w:r>
        <w:rPr>
          <w:rFonts w:hint="eastAsia" w:eastAsiaTheme="majorEastAsia"/>
          <w:kern w:val="0"/>
          <w:szCs w:val="20"/>
        </w:rPr>
        <w:t>5.4.1.2</w:t>
      </w:r>
      <w:r>
        <w:rPr>
          <w:rFonts w:eastAsiaTheme="majorEastAsia"/>
          <w:kern w:val="0"/>
          <w:szCs w:val="20"/>
        </w:rPr>
        <w:t>一体化污泥高效脱水处理设备应采用热变形冗余结构</w:t>
      </w:r>
      <w:r>
        <w:rPr>
          <w:rFonts w:eastAsiaTheme="majorEastAsia"/>
          <w:kern w:val="0"/>
          <w:szCs w:val="20"/>
          <w:highlight w:val="none"/>
        </w:rPr>
        <w:t>，</w:t>
      </w:r>
      <w:r>
        <w:rPr>
          <w:rFonts w:eastAsiaTheme="majorEastAsia"/>
          <w:kern w:val="0"/>
          <w:szCs w:val="20"/>
        </w:rPr>
        <w:t>冗余能力不低于10%。</w:t>
      </w:r>
    </w:p>
    <w:p>
      <w:pPr>
        <w:widowControl/>
        <w:autoSpaceDE w:val="0"/>
        <w:autoSpaceDN w:val="0"/>
        <w:spacing w:before="156" w:beforeLines="50" w:after="156" w:afterLines="50"/>
        <w:jc w:val="left"/>
        <w:outlineLvl w:val="3"/>
        <w:rPr>
          <w:rFonts w:eastAsia="黑体"/>
          <w:kern w:val="0"/>
          <w:szCs w:val="20"/>
        </w:rPr>
      </w:pPr>
      <w:r>
        <w:rPr>
          <w:rFonts w:eastAsia="黑体"/>
          <w:kern w:val="0"/>
          <w:szCs w:val="20"/>
        </w:rPr>
        <w:t>5.4.2</w:t>
      </w:r>
      <w:r>
        <w:rPr>
          <w:rFonts w:hint="eastAsia" w:eastAsia="黑体"/>
          <w:kern w:val="0"/>
          <w:szCs w:val="20"/>
        </w:rPr>
        <w:t xml:space="preserve"> </w:t>
      </w:r>
      <w:r>
        <w:rPr>
          <w:rFonts w:eastAsia="黑体"/>
          <w:kern w:val="0"/>
          <w:szCs w:val="20"/>
        </w:rPr>
        <w:t>材料要求</w:t>
      </w:r>
    </w:p>
    <w:p>
      <w:pPr>
        <w:jc w:val="left"/>
        <w:rPr>
          <w:rFonts w:hint="eastAsia" w:eastAsia="宋体"/>
          <w:kern w:val="0"/>
          <w:szCs w:val="20"/>
          <w:lang w:eastAsia="zh-CN"/>
        </w:rPr>
      </w:pPr>
      <w:r>
        <w:rPr>
          <w:rFonts w:eastAsiaTheme="majorEastAsia"/>
          <w:kern w:val="0"/>
          <w:szCs w:val="20"/>
        </w:rPr>
        <w:t>5.4.2.1 一体化污泥高效脱水处理设备应</w:t>
      </w:r>
      <w:r>
        <w:rPr>
          <w:rFonts w:hint="eastAsia" w:eastAsiaTheme="majorEastAsia"/>
          <w:kern w:val="0"/>
          <w:szCs w:val="20"/>
        </w:rPr>
        <w:t>采用</w:t>
      </w:r>
      <w:r>
        <w:rPr>
          <w:rFonts w:eastAsiaTheme="majorEastAsia"/>
          <w:kern w:val="0"/>
          <w:szCs w:val="20"/>
        </w:rPr>
        <w:t>热强度</w:t>
      </w:r>
      <w:r>
        <w:rPr>
          <w:rFonts w:hint="eastAsia" w:eastAsiaTheme="majorEastAsia"/>
          <w:kern w:val="0"/>
          <w:szCs w:val="20"/>
        </w:rPr>
        <w:t>好</w:t>
      </w:r>
      <w:r>
        <w:rPr>
          <w:rFonts w:eastAsiaTheme="majorEastAsia"/>
          <w:kern w:val="0"/>
          <w:szCs w:val="20"/>
        </w:rPr>
        <w:t>、热膨胀性能</w:t>
      </w:r>
      <w:r>
        <w:rPr>
          <w:rFonts w:hint="eastAsia" w:eastAsiaTheme="majorEastAsia"/>
          <w:kern w:val="0"/>
          <w:szCs w:val="20"/>
        </w:rPr>
        <w:t>低、</w:t>
      </w:r>
      <w:r>
        <w:rPr>
          <w:rFonts w:eastAsiaTheme="majorEastAsia"/>
          <w:kern w:val="0"/>
          <w:szCs w:val="20"/>
        </w:rPr>
        <w:t>耐高温、耐腐蚀</w:t>
      </w:r>
      <w:r>
        <w:rPr>
          <w:rFonts w:hint="eastAsia" w:eastAsiaTheme="majorEastAsia"/>
          <w:kern w:val="0"/>
          <w:szCs w:val="20"/>
        </w:rPr>
        <w:t>的材料</w:t>
      </w:r>
      <w:r>
        <w:rPr>
          <w:rFonts w:hint="eastAsia" w:eastAsiaTheme="majorEastAsia"/>
          <w:kern w:val="0"/>
          <w:szCs w:val="20"/>
          <w:lang w:eastAsia="zh-CN"/>
        </w:rPr>
        <w:t>；</w:t>
      </w:r>
      <w:r>
        <w:rPr>
          <w:kern w:val="0"/>
          <w:szCs w:val="20"/>
        </w:rPr>
        <w:t>高温部分应</w:t>
      </w:r>
      <w:r>
        <w:rPr>
          <w:rFonts w:hint="eastAsia"/>
          <w:kern w:val="0"/>
          <w:szCs w:val="20"/>
        </w:rPr>
        <w:t>采用</w:t>
      </w:r>
      <w:r>
        <w:rPr>
          <w:kern w:val="0"/>
          <w:szCs w:val="20"/>
        </w:rPr>
        <w:t>耐高温</w:t>
      </w:r>
      <w:r>
        <w:rPr>
          <w:rFonts w:hint="eastAsia"/>
          <w:kern w:val="0"/>
          <w:szCs w:val="20"/>
          <w:lang w:val="en-US" w:eastAsia="zh-CN"/>
        </w:rPr>
        <w:t>涂</w:t>
      </w:r>
      <w:r>
        <w:rPr>
          <w:kern w:val="0"/>
          <w:szCs w:val="20"/>
        </w:rPr>
        <w:t>层</w:t>
      </w:r>
      <w:r>
        <w:rPr>
          <w:rFonts w:hint="eastAsia"/>
          <w:kern w:val="0"/>
          <w:szCs w:val="20"/>
          <w:lang w:val="en-US" w:eastAsia="zh-CN"/>
        </w:rPr>
        <w:t>及耐高温</w:t>
      </w:r>
      <w:r>
        <w:rPr>
          <w:kern w:val="0"/>
          <w:szCs w:val="20"/>
        </w:rPr>
        <w:t>密封</w:t>
      </w:r>
      <w:r>
        <w:rPr>
          <w:rFonts w:hint="eastAsia"/>
          <w:kern w:val="0"/>
          <w:szCs w:val="20"/>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0" w:lineRule="atLeast"/>
        <w:ind w:left="0" w:right="0" w:firstLine="0"/>
        <w:textAlignment w:val="auto"/>
        <w:outlineLvl w:val="9"/>
        <w:rPr>
          <w:rFonts w:eastAsiaTheme="majorEastAsia"/>
          <w:kern w:val="0"/>
          <w:sz w:val="21"/>
          <w:szCs w:val="20"/>
        </w:rPr>
      </w:pPr>
      <w:r>
        <w:rPr>
          <w:rFonts w:ascii="Times New Roman" w:hAnsi="Times New Roman" w:cs="Times New Roman" w:eastAsiaTheme="majorEastAsia"/>
          <w:b w:val="0"/>
          <w:bCs w:val="0"/>
          <w:kern w:val="0"/>
          <w:sz w:val="21"/>
          <w:szCs w:val="20"/>
          <w:lang w:val="en-US" w:eastAsia="zh-CN" w:bidi="ar-SA"/>
        </w:rPr>
        <w:t>5.4.2.2 一体化污泥高效脱水处理设备燃烧室应</w:t>
      </w:r>
      <w:r>
        <w:rPr>
          <w:rFonts w:hint="eastAsia" w:ascii="Times New Roman" w:hAnsi="Times New Roman" w:cs="Times New Roman" w:eastAsiaTheme="majorEastAsia"/>
          <w:b w:val="0"/>
          <w:bCs w:val="0"/>
          <w:kern w:val="0"/>
          <w:sz w:val="21"/>
          <w:szCs w:val="20"/>
          <w:lang w:val="en-US" w:eastAsia="zh-CN" w:bidi="ar-SA"/>
        </w:rPr>
        <w:t>采用</w:t>
      </w:r>
      <w:r>
        <w:rPr>
          <w:rFonts w:ascii="Times New Roman" w:hAnsi="Times New Roman" w:cs="Times New Roman" w:eastAsiaTheme="majorEastAsia"/>
          <w:b w:val="0"/>
          <w:bCs w:val="0"/>
          <w:kern w:val="0"/>
          <w:sz w:val="21"/>
          <w:szCs w:val="20"/>
          <w:lang w:val="en-US" w:eastAsia="zh-CN" w:bidi="ar-SA"/>
        </w:rPr>
        <w:t>能承受设备</w:t>
      </w:r>
      <w:r>
        <w:rPr>
          <w:rFonts w:hint="eastAsia" w:ascii="Times New Roman" w:hAnsi="Times New Roman" w:cs="Times New Roman" w:eastAsiaTheme="majorEastAsia"/>
          <w:b w:val="0"/>
          <w:bCs w:val="0"/>
          <w:kern w:val="0"/>
          <w:sz w:val="21"/>
          <w:szCs w:val="20"/>
          <w:lang w:val="en-US" w:eastAsia="zh-CN" w:bidi="ar-SA"/>
        </w:rPr>
        <w:t>高温</w:t>
      </w:r>
      <w:r>
        <w:rPr>
          <w:rFonts w:ascii="Times New Roman" w:hAnsi="Times New Roman" w:cs="Times New Roman" w:eastAsiaTheme="majorEastAsia"/>
          <w:b w:val="0"/>
          <w:bCs w:val="0"/>
          <w:kern w:val="0"/>
          <w:sz w:val="21"/>
          <w:szCs w:val="20"/>
          <w:lang w:val="en-US" w:eastAsia="zh-CN" w:bidi="ar-SA"/>
        </w:rPr>
        <w:t>运行产生的交变热应力</w:t>
      </w:r>
      <w:r>
        <w:rPr>
          <w:rFonts w:hint="eastAsia" w:ascii="Times New Roman" w:hAnsi="Times New Roman" w:cs="Times New Roman" w:eastAsiaTheme="majorEastAsia"/>
          <w:b w:val="0"/>
          <w:bCs w:val="0"/>
          <w:kern w:val="0"/>
          <w:sz w:val="21"/>
          <w:szCs w:val="20"/>
          <w:lang w:val="en-US" w:eastAsia="zh-CN" w:bidi="ar-SA"/>
        </w:rPr>
        <w:t>的材料，应符合GB</w:t>
      </w:r>
      <w:r>
        <w:rPr>
          <w:rFonts w:hint="eastAsia" w:cs="Times New Roman" w:eastAsiaTheme="majorEastAsia"/>
          <w:b w:val="0"/>
          <w:bCs w:val="0"/>
          <w:kern w:val="0"/>
          <w:sz w:val="21"/>
          <w:szCs w:val="20"/>
          <w:lang w:val="en-US" w:eastAsia="zh-CN" w:bidi="ar-SA"/>
        </w:rPr>
        <w:t xml:space="preserve"> </w:t>
      </w:r>
      <w:r>
        <w:rPr>
          <w:rFonts w:hint="eastAsia" w:ascii="Times New Roman" w:hAnsi="Times New Roman" w:cs="Times New Roman" w:eastAsiaTheme="majorEastAsia"/>
          <w:b w:val="0"/>
          <w:bCs w:val="0"/>
          <w:kern w:val="0"/>
          <w:sz w:val="21"/>
          <w:szCs w:val="20"/>
          <w:lang w:val="en-US" w:eastAsia="zh-CN" w:bidi="ar-SA"/>
        </w:rPr>
        <w:t>5021</w:t>
      </w:r>
      <w:r>
        <w:rPr>
          <w:rFonts w:hint="eastAsia" w:cs="Times New Roman" w:eastAsiaTheme="majorEastAsia"/>
          <w:b w:val="0"/>
          <w:bCs w:val="0"/>
          <w:kern w:val="0"/>
          <w:sz w:val="21"/>
          <w:szCs w:val="20"/>
          <w:lang w:val="en-US" w:eastAsia="zh-CN" w:bidi="ar-SA"/>
        </w:rPr>
        <w:t>1</w:t>
      </w:r>
      <w:r>
        <w:rPr>
          <w:rFonts w:hint="eastAsia" w:ascii="Times New Roman" w:hAnsi="Times New Roman" w:cs="Times New Roman" w:eastAsiaTheme="majorEastAsia"/>
          <w:b w:val="0"/>
          <w:bCs w:val="0"/>
          <w:kern w:val="0"/>
          <w:sz w:val="21"/>
          <w:szCs w:val="20"/>
          <w:lang w:val="en-US" w:eastAsia="zh-CN" w:bidi="ar-SA"/>
        </w:rPr>
        <w:t>的规定。</w:t>
      </w:r>
    </w:p>
    <w:p>
      <w:pPr>
        <w:pStyle w:val="59"/>
        <w:keepNext w:val="0"/>
        <w:keepLines w:val="0"/>
        <w:pageBreakBefore w:val="0"/>
        <w:widowControl/>
        <w:numPr>
          <w:ilvl w:val="0"/>
          <w:numId w:val="0"/>
        </w:numPr>
        <w:kinsoku/>
        <w:wordWrap/>
        <w:overflowPunct/>
        <w:topLinePunct w:val="0"/>
        <w:autoSpaceDE/>
        <w:autoSpaceDN/>
        <w:bidi w:val="0"/>
        <w:adjustRightInd/>
        <w:snapToGrid/>
        <w:spacing w:before="312" w:beforeLines="100" w:after="312" w:afterLines="100"/>
        <w:jc w:val="left"/>
        <w:textAlignment w:val="auto"/>
        <w:outlineLvl w:val="0"/>
        <w:rPr>
          <w:rFonts w:hint="default" w:ascii="Times New Roman" w:eastAsia="黑体"/>
          <w:lang w:val="en-US" w:eastAsia="zh-CN"/>
        </w:rPr>
      </w:pPr>
      <w:bookmarkStart w:id="14" w:name="_Toc1881"/>
      <w:r>
        <w:rPr>
          <w:rFonts w:ascii="Times New Roman"/>
        </w:rPr>
        <w:t>6</w:t>
      </w:r>
      <w:r>
        <w:rPr>
          <w:rFonts w:hint="eastAsia" w:ascii="Times New Roman"/>
        </w:rPr>
        <w:t xml:space="preserve"> </w:t>
      </w:r>
      <w:r>
        <w:rPr>
          <w:rFonts w:ascii="Times New Roman"/>
        </w:rPr>
        <w:t>试验</w:t>
      </w:r>
      <w:bookmarkEnd w:id="14"/>
      <w:r>
        <w:rPr>
          <w:rFonts w:hint="eastAsia" w:ascii="Times New Roman"/>
          <w:lang w:val="en-US" w:eastAsia="zh-CN"/>
        </w:rPr>
        <w:t xml:space="preserve">和计算方法 </w:t>
      </w:r>
    </w:p>
    <w:p>
      <w:pPr>
        <w:pStyle w:val="59"/>
        <w:numPr>
          <w:ilvl w:val="0"/>
          <w:numId w:val="0"/>
        </w:numPr>
        <w:spacing w:before="156" w:after="156"/>
        <w:jc w:val="left"/>
        <w:outlineLvl w:val="2"/>
        <w:rPr>
          <w:rFonts w:ascii="Times New Roman"/>
        </w:rPr>
      </w:pPr>
      <w:r>
        <w:rPr>
          <w:rFonts w:ascii="Times New Roman"/>
        </w:rPr>
        <w:t>6.1 试验方法</w:t>
      </w:r>
    </w:p>
    <w:p>
      <w:pPr>
        <w:pStyle w:val="58"/>
        <w:spacing w:before="156" w:beforeLines="50" w:after="156" w:afterLines="50"/>
        <w:ind w:firstLine="0" w:firstLineChars="0"/>
        <w:jc w:val="left"/>
        <w:outlineLvl w:val="3"/>
        <w:rPr>
          <w:rFonts w:ascii="Times New Roman" w:eastAsia="黑体"/>
        </w:rPr>
      </w:pPr>
      <w:r>
        <w:rPr>
          <w:rFonts w:ascii="Times New Roman" w:eastAsia="黑体"/>
        </w:rPr>
        <w:t>6.1.1 整机外观检查</w:t>
      </w:r>
    </w:p>
    <w:p>
      <w:pPr>
        <w:pStyle w:val="2"/>
        <w:ind w:right="0" w:rightChars="0" w:firstLine="420" w:firstLineChars="200"/>
        <w:jc w:val="left"/>
        <w:rPr>
          <w:rFonts w:eastAsiaTheme="majorEastAsia"/>
          <w:kern w:val="0"/>
          <w:sz w:val="21"/>
          <w:szCs w:val="20"/>
        </w:rPr>
      </w:pPr>
      <w:r>
        <w:rPr>
          <w:rFonts w:eastAsiaTheme="majorEastAsia"/>
          <w:kern w:val="0"/>
          <w:sz w:val="21"/>
          <w:szCs w:val="20"/>
        </w:rPr>
        <w:t>一体化污泥高效脱水处理设备制造装配完成后，</w:t>
      </w:r>
      <w:r>
        <w:rPr>
          <w:rFonts w:hint="eastAsia" w:eastAsiaTheme="majorEastAsia"/>
          <w:kern w:val="0"/>
          <w:sz w:val="21"/>
          <w:szCs w:val="20"/>
        </w:rPr>
        <w:t>应</w:t>
      </w:r>
      <w:r>
        <w:rPr>
          <w:rFonts w:eastAsiaTheme="majorEastAsia"/>
          <w:kern w:val="0"/>
          <w:sz w:val="21"/>
          <w:szCs w:val="20"/>
        </w:rPr>
        <w:t>按</w:t>
      </w:r>
      <w:r>
        <w:rPr>
          <w:rFonts w:hint="eastAsia" w:eastAsiaTheme="majorEastAsia"/>
          <w:kern w:val="0"/>
          <w:sz w:val="21"/>
          <w:szCs w:val="20"/>
        </w:rPr>
        <w:t>5.1.1的</w:t>
      </w:r>
      <w:r>
        <w:rPr>
          <w:rFonts w:eastAsiaTheme="majorEastAsia"/>
          <w:kern w:val="0"/>
          <w:sz w:val="21"/>
          <w:szCs w:val="20"/>
        </w:rPr>
        <w:t>要求进行外观检查。</w:t>
      </w:r>
    </w:p>
    <w:p>
      <w:pPr>
        <w:pStyle w:val="58"/>
        <w:spacing w:before="156" w:beforeLines="50" w:after="156" w:afterLines="50"/>
        <w:ind w:firstLine="0" w:firstLineChars="0"/>
        <w:jc w:val="left"/>
        <w:outlineLvl w:val="3"/>
        <w:rPr>
          <w:rFonts w:ascii="Times New Roman" w:eastAsia="黑体"/>
        </w:rPr>
      </w:pPr>
      <w:r>
        <w:rPr>
          <w:rFonts w:ascii="Times New Roman" w:eastAsia="黑体"/>
        </w:rPr>
        <w:t>6.1.2 整机外形</w:t>
      </w:r>
      <w:r>
        <w:rPr>
          <w:rFonts w:hint="eastAsia" w:ascii="Times New Roman" w:eastAsia="黑体"/>
          <w:lang w:eastAsia="zh-CN"/>
        </w:rPr>
        <w:t>、</w:t>
      </w:r>
      <w:r>
        <w:rPr>
          <w:rFonts w:hint="eastAsia" w:ascii="Times New Roman" w:eastAsia="黑体"/>
          <w:lang w:val="en-US" w:eastAsia="zh-CN"/>
        </w:rPr>
        <w:t>位置</w:t>
      </w:r>
      <w:r>
        <w:rPr>
          <w:rFonts w:ascii="Times New Roman" w:eastAsia="黑体"/>
        </w:rPr>
        <w:t>尺寸偏差检查</w:t>
      </w:r>
    </w:p>
    <w:p>
      <w:pPr>
        <w:pStyle w:val="2"/>
        <w:ind w:right="0" w:rightChars="0" w:firstLine="420" w:firstLineChars="200"/>
        <w:jc w:val="left"/>
        <w:rPr>
          <w:rFonts w:eastAsiaTheme="majorEastAsia"/>
          <w:kern w:val="0"/>
          <w:sz w:val="21"/>
          <w:szCs w:val="20"/>
        </w:rPr>
      </w:pPr>
      <w:r>
        <w:rPr>
          <w:rFonts w:eastAsiaTheme="majorEastAsia"/>
          <w:kern w:val="0"/>
          <w:sz w:val="21"/>
          <w:szCs w:val="20"/>
        </w:rPr>
        <w:t>一体化污泥高效脱水处理设备制造装配完成后，应</w:t>
      </w:r>
      <w:r>
        <w:rPr>
          <w:rFonts w:hint="eastAsia" w:eastAsiaTheme="majorEastAsia"/>
          <w:kern w:val="0"/>
          <w:sz w:val="21"/>
          <w:szCs w:val="20"/>
        </w:rPr>
        <w:t>按5.1.2的要求</w:t>
      </w:r>
      <w:r>
        <w:rPr>
          <w:rFonts w:eastAsiaTheme="majorEastAsia"/>
          <w:kern w:val="0"/>
          <w:sz w:val="21"/>
          <w:szCs w:val="20"/>
        </w:rPr>
        <w:t>进行</w:t>
      </w:r>
      <w:r>
        <w:rPr>
          <w:rFonts w:hint="eastAsia" w:eastAsiaTheme="majorEastAsia"/>
          <w:kern w:val="0"/>
          <w:sz w:val="21"/>
          <w:szCs w:val="20"/>
        </w:rPr>
        <w:t>整机</w:t>
      </w:r>
      <w:r>
        <w:rPr>
          <w:rFonts w:eastAsiaTheme="majorEastAsia"/>
          <w:kern w:val="0"/>
          <w:sz w:val="21"/>
          <w:szCs w:val="20"/>
        </w:rPr>
        <w:t>外形</w:t>
      </w:r>
      <w:r>
        <w:rPr>
          <w:rFonts w:hint="eastAsia" w:eastAsiaTheme="majorEastAsia"/>
          <w:kern w:val="0"/>
          <w:sz w:val="21"/>
          <w:szCs w:val="20"/>
          <w:lang w:eastAsia="zh-CN"/>
        </w:rPr>
        <w:t>、</w:t>
      </w:r>
      <w:r>
        <w:rPr>
          <w:rFonts w:hint="eastAsia" w:eastAsiaTheme="majorEastAsia"/>
          <w:kern w:val="0"/>
          <w:sz w:val="21"/>
          <w:szCs w:val="20"/>
          <w:lang w:val="en-US" w:eastAsia="zh-CN"/>
        </w:rPr>
        <w:t>位置</w:t>
      </w:r>
      <w:r>
        <w:rPr>
          <w:rFonts w:eastAsiaTheme="majorEastAsia"/>
          <w:kern w:val="0"/>
          <w:sz w:val="21"/>
          <w:szCs w:val="20"/>
        </w:rPr>
        <w:t>尺寸</w:t>
      </w:r>
      <w:r>
        <w:rPr>
          <w:rFonts w:hint="eastAsia" w:eastAsiaTheme="majorEastAsia"/>
          <w:kern w:val="0"/>
          <w:sz w:val="21"/>
          <w:szCs w:val="20"/>
        </w:rPr>
        <w:t>偏差</w:t>
      </w:r>
      <w:r>
        <w:rPr>
          <w:rFonts w:eastAsiaTheme="majorEastAsia"/>
          <w:kern w:val="0"/>
          <w:sz w:val="21"/>
          <w:szCs w:val="20"/>
        </w:rPr>
        <w:t>检</w:t>
      </w:r>
      <w:r>
        <w:rPr>
          <w:rFonts w:hint="eastAsia" w:eastAsiaTheme="majorEastAsia"/>
          <w:kern w:val="0"/>
          <w:sz w:val="21"/>
          <w:szCs w:val="20"/>
        </w:rPr>
        <w:t>查。</w:t>
      </w:r>
    </w:p>
    <w:p>
      <w:pPr>
        <w:pStyle w:val="58"/>
        <w:spacing w:before="156" w:beforeLines="50" w:after="156" w:afterLines="50"/>
        <w:ind w:firstLine="0" w:firstLineChars="0"/>
        <w:jc w:val="left"/>
        <w:outlineLvl w:val="3"/>
        <w:rPr>
          <w:rFonts w:ascii="Times New Roman" w:eastAsia="黑体"/>
        </w:rPr>
      </w:pPr>
      <w:r>
        <w:rPr>
          <w:rFonts w:ascii="Times New Roman" w:eastAsia="黑体"/>
        </w:rPr>
        <w:t>6.1.</w:t>
      </w:r>
      <w:r>
        <w:rPr>
          <w:rFonts w:hint="eastAsia" w:ascii="Times New Roman" w:eastAsia="黑体"/>
          <w:lang w:val="en-US" w:eastAsia="zh-CN"/>
        </w:rPr>
        <w:t>3</w:t>
      </w:r>
      <w:r>
        <w:rPr>
          <w:rFonts w:ascii="Times New Roman" w:eastAsia="黑体"/>
        </w:rPr>
        <w:t xml:space="preserve"> 主动力输入系统平衡</w:t>
      </w:r>
    </w:p>
    <w:p>
      <w:pPr>
        <w:pStyle w:val="21"/>
        <w:ind w:firstLine="420" w:firstLineChars="200"/>
        <w:rPr>
          <w:rFonts w:eastAsiaTheme="majorEastAsia"/>
          <w:kern w:val="0"/>
          <w:szCs w:val="20"/>
        </w:rPr>
      </w:pPr>
      <w:r>
        <w:rPr>
          <w:rFonts w:eastAsiaTheme="majorEastAsia"/>
        </w:rPr>
        <w:t>一体化污泥高效脱水处理设备制造装配完成后，应进行主动力输入系统平衡检查：</w:t>
      </w:r>
    </w:p>
    <w:p>
      <w:pPr>
        <w:pStyle w:val="21"/>
        <w:ind w:firstLine="420" w:firstLineChars="200"/>
        <w:rPr>
          <w:rFonts w:eastAsiaTheme="majorEastAsia"/>
        </w:rPr>
      </w:pPr>
      <w:r>
        <w:rPr>
          <w:rFonts w:eastAsiaTheme="majorEastAsia"/>
        </w:rPr>
        <w:t>1）运转、传动部件间隙检查确认</w:t>
      </w:r>
      <w:r>
        <w:rPr>
          <w:rFonts w:hint="eastAsia" w:eastAsiaTheme="majorEastAsia"/>
        </w:rPr>
        <w:t>；</w:t>
      </w:r>
    </w:p>
    <w:p>
      <w:pPr>
        <w:pStyle w:val="21"/>
        <w:ind w:firstLine="420" w:firstLineChars="200"/>
        <w:rPr>
          <w:rFonts w:eastAsiaTheme="majorEastAsia"/>
        </w:rPr>
      </w:pPr>
      <w:r>
        <w:rPr>
          <w:rFonts w:eastAsiaTheme="majorEastAsia"/>
        </w:rPr>
        <w:t>2）冷却润滑油液位确认</w:t>
      </w:r>
      <w:r>
        <w:rPr>
          <w:rFonts w:hint="eastAsia" w:eastAsiaTheme="majorEastAsia"/>
        </w:rPr>
        <w:t>；</w:t>
      </w:r>
    </w:p>
    <w:p>
      <w:pPr>
        <w:pStyle w:val="21"/>
        <w:ind w:firstLine="420" w:firstLineChars="200"/>
        <w:rPr>
          <w:rFonts w:eastAsiaTheme="majorEastAsia"/>
        </w:rPr>
      </w:pPr>
      <w:r>
        <w:rPr>
          <w:rFonts w:eastAsiaTheme="majorEastAsia"/>
        </w:rPr>
        <w:t>3）根据运转负荷自动调节模拟量输入从而达到主动力平稳输出</w:t>
      </w:r>
      <w:r>
        <w:rPr>
          <w:rFonts w:hint="eastAsia" w:eastAsiaTheme="majorEastAsia"/>
        </w:rPr>
        <w:t>。</w:t>
      </w:r>
    </w:p>
    <w:p>
      <w:pPr>
        <w:pStyle w:val="58"/>
        <w:spacing w:before="156" w:beforeLines="50" w:after="156" w:afterLines="50"/>
        <w:ind w:firstLine="0" w:firstLineChars="0"/>
        <w:jc w:val="left"/>
        <w:outlineLvl w:val="3"/>
        <w:rPr>
          <w:rFonts w:ascii="Times New Roman" w:eastAsia="黑体"/>
        </w:rPr>
      </w:pPr>
      <w:r>
        <w:rPr>
          <w:rFonts w:ascii="Times New Roman" w:eastAsia="黑体"/>
        </w:rPr>
        <w:t>6.1.</w:t>
      </w:r>
      <w:r>
        <w:rPr>
          <w:rFonts w:hint="eastAsia" w:ascii="Times New Roman" w:eastAsia="黑体"/>
          <w:lang w:val="en-US" w:eastAsia="zh-CN"/>
        </w:rPr>
        <w:t>4</w:t>
      </w:r>
      <w:r>
        <w:rPr>
          <w:rFonts w:ascii="Times New Roman" w:eastAsia="黑体"/>
        </w:rPr>
        <w:t xml:space="preserve"> 进料</w:t>
      </w:r>
      <w:r>
        <w:rPr>
          <w:rFonts w:hint="eastAsia" w:ascii="Times New Roman" w:eastAsia="黑体"/>
        </w:rPr>
        <w:t>负荷</w:t>
      </w:r>
      <w:r>
        <w:rPr>
          <w:rFonts w:ascii="Times New Roman" w:eastAsia="黑体"/>
        </w:rPr>
        <w:t>调节</w:t>
      </w:r>
    </w:p>
    <w:p>
      <w:pPr>
        <w:pStyle w:val="21"/>
        <w:ind w:firstLine="420" w:firstLineChars="200"/>
        <w:rPr>
          <w:rFonts w:eastAsiaTheme="majorEastAsia"/>
        </w:rPr>
      </w:pPr>
      <w:r>
        <w:rPr>
          <w:rFonts w:eastAsiaTheme="majorEastAsia"/>
        </w:rPr>
        <w:t>一体化污泥高效脱水处理设备制造装配完成后，</w:t>
      </w:r>
      <w:r>
        <w:rPr>
          <w:rFonts w:hint="eastAsia" w:eastAsiaTheme="majorEastAsia"/>
        </w:rPr>
        <w:t>宜</w:t>
      </w:r>
      <w:r>
        <w:t>采用智能变频系统</w:t>
      </w:r>
      <w:r>
        <w:rPr>
          <w:rFonts w:eastAsiaTheme="majorEastAsia"/>
        </w:rPr>
        <w:t>对</w:t>
      </w:r>
      <w:r>
        <w:rPr>
          <w:rFonts w:hint="eastAsia" w:eastAsiaTheme="majorEastAsia"/>
        </w:rPr>
        <w:t>污泥进料机构的</w:t>
      </w:r>
      <w:r>
        <w:rPr>
          <w:rFonts w:eastAsiaTheme="majorEastAsia"/>
        </w:rPr>
        <w:t>进料</w:t>
      </w:r>
      <w:r>
        <w:rPr>
          <w:rFonts w:hint="eastAsia" w:eastAsiaTheme="majorEastAsia"/>
          <w:lang w:val="en-US" w:eastAsia="zh-CN"/>
        </w:rPr>
        <w:t>负荷</w:t>
      </w:r>
      <w:r>
        <w:rPr>
          <w:rFonts w:eastAsiaTheme="majorEastAsia"/>
        </w:rPr>
        <w:t>进行调节：</w:t>
      </w:r>
    </w:p>
    <w:p>
      <w:pPr>
        <w:pStyle w:val="21"/>
        <w:ind w:firstLine="420" w:firstLineChars="200"/>
        <w:rPr>
          <w:rFonts w:eastAsiaTheme="majorEastAsia"/>
        </w:rPr>
      </w:pPr>
      <w:r>
        <w:rPr>
          <w:rFonts w:eastAsiaTheme="majorEastAsia"/>
        </w:rPr>
        <w:t>1）根据主釜预设温度，自动调节电机频率从而达到釜内温度稳定在合理的区间内</w:t>
      </w:r>
      <w:r>
        <w:rPr>
          <w:rFonts w:hint="eastAsia" w:eastAsiaTheme="majorEastAsia"/>
        </w:rPr>
        <w:t>；</w:t>
      </w:r>
    </w:p>
    <w:p>
      <w:pPr>
        <w:pStyle w:val="21"/>
        <w:ind w:firstLine="420" w:firstLineChars="200"/>
        <w:rPr>
          <w:rFonts w:eastAsiaTheme="majorEastAsia"/>
        </w:rPr>
      </w:pPr>
      <w:r>
        <w:rPr>
          <w:rFonts w:eastAsiaTheme="majorEastAsia"/>
        </w:rPr>
        <w:t>2）堵料预警，根据堵料传感器检测信号，反馈给控制系统，发出报警。</w:t>
      </w:r>
    </w:p>
    <w:p>
      <w:pPr>
        <w:pStyle w:val="58"/>
        <w:spacing w:before="156" w:beforeLines="50" w:after="156" w:afterLines="50"/>
        <w:ind w:firstLine="0" w:firstLineChars="0"/>
        <w:jc w:val="left"/>
        <w:outlineLvl w:val="3"/>
        <w:rPr>
          <w:rFonts w:ascii="Times New Roman" w:eastAsia="黑体"/>
        </w:rPr>
      </w:pPr>
      <w:r>
        <w:rPr>
          <w:rFonts w:ascii="Times New Roman" w:eastAsia="黑体"/>
        </w:rPr>
        <w:t>6.1.</w:t>
      </w:r>
      <w:r>
        <w:rPr>
          <w:rFonts w:hint="eastAsia" w:ascii="Times New Roman" w:eastAsia="黑体"/>
          <w:lang w:val="en-US" w:eastAsia="zh-CN"/>
        </w:rPr>
        <w:t>5</w:t>
      </w:r>
      <w:r>
        <w:rPr>
          <w:rFonts w:ascii="Times New Roman" w:eastAsia="黑体"/>
        </w:rPr>
        <w:t xml:space="preserve"> 燃烧器安全保护</w:t>
      </w:r>
    </w:p>
    <w:p>
      <w:pPr>
        <w:pStyle w:val="21"/>
        <w:ind w:firstLine="420" w:firstLineChars="200"/>
        <w:rPr>
          <w:rFonts w:eastAsiaTheme="majorEastAsia"/>
        </w:rPr>
      </w:pPr>
      <w:r>
        <w:rPr>
          <w:rFonts w:eastAsiaTheme="majorEastAsia"/>
        </w:rPr>
        <w:t>一体化污泥高效脱水处理设备燃烧器启动后，</w:t>
      </w:r>
      <w:r>
        <w:rPr>
          <w:rFonts w:hint="eastAsia" w:eastAsiaTheme="majorEastAsia"/>
        </w:rPr>
        <w:t>当燃烧器</w:t>
      </w:r>
      <w:r>
        <w:rPr>
          <w:rFonts w:eastAsiaTheme="majorEastAsia"/>
        </w:rPr>
        <w:t>点火不正常时</w:t>
      </w:r>
      <w:r>
        <w:rPr>
          <w:rFonts w:hint="eastAsia" w:eastAsiaTheme="majorEastAsia"/>
        </w:rPr>
        <w:t>，</w:t>
      </w:r>
      <w:r>
        <w:rPr>
          <w:rFonts w:eastAsiaTheme="majorEastAsia"/>
        </w:rPr>
        <w:t>安全保护装置自动启动切断燃料供应，进行有效吹扫并报警。</w:t>
      </w:r>
    </w:p>
    <w:p>
      <w:pPr>
        <w:pStyle w:val="58"/>
        <w:spacing w:before="156" w:beforeLines="50" w:after="156" w:afterLines="50"/>
        <w:ind w:firstLine="0" w:firstLineChars="0"/>
        <w:jc w:val="left"/>
        <w:outlineLvl w:val="3"/>
        <w:rPr>
          <w:rFonts w:ascii="Times New Roman" w:eastAsia="黑体"/>
        </w:rPr>
      </w:pPr>
      <w:r>
        <w:rPr>
          <w:rFonts w:ascii="Times New Roman" w:eastAsia="黑体"/>
        </w:rPr>
        <w:t>6.1.</w:t>
      </w:r>
      <w:r>
        <w:rPr>
          <w:rFonts w:hint="eastAsia" w:ascii="Times New Roman" w:eastAsia="黑体"/>
          <w:lang w:val="en-US" w:eastAsia="zh-CN"/>
        </w:rPr>
        <w:t>6</w:t>
      </w:r>
      <w:r>
        <w:rPr>
          <w:rFonts w:ascii="Times New Roman" w:eastAsia="黑体"/>
        </w:rPr>
        <w:t xml:space="preserve"> 燃烧器点火试验</w:t>
      </w:r>
    </w:p>
    <w:p>
      <w:pPr>
        <w:pStyle w:val="21"/>
        <w:ind w:firstLine="420" w:firstLineChars="200"/>
        <w:rPr>
          <w:rFonts w:eastAsiaTheme="majorEastAsia"/>
        </w:rPr>
      </w:pPr>
      <w:r>
        <w:rPr>
          <w:rFonts w:eastAsiaTheme="majorEastAsia"/>
        </w:rPr>
        <w:t>燃气型设备的安全点火时间为（35</w:t>
      </w:r>
      <w:r>
        <w:rPr>
          <w:rFonts w:hint="eastAsia" w:eastAsiaTheme="majorEastAsia"/>
        </w:rPr>
        <w:t>~</w:t>
      </w:r>
      <w:r>
        <w:rPr>
          <w:rFonts w:eastAsiaTheme="majorEastAsia"/>
        </w:rPr>
        <w:t>45)s，如果出现点火失败或故障熄灭，安全保护装置动作，进行有效吹扫后再进入下一次点火，时序间隔以有效吹扫完成为准。上述试验，每隔5min进行一次，连续试验10次，成功率应为100%。</w:t>
      </w:r>
    </w:p>
    <w:p>
      <w:pPr>
        <w:pStyle w:val="58"/>
        <w:spacing w:before="156" w:beforeLines="50" w:after="156" w:afterLines="50"/>
        <w:ind w:firstLine="0" w:firstLineChars="0"/>
        <w:jc w:val="left"/>
        <w:outlineLvl w:val="3"/>
        <w:rPr>
          <w:rFonts w:ascii="Times New Roman" w:eastAsia="黑体"/>
        </w:rPr>
      </w:pPr>
      <w:r>
        <w:rPr>
          <w:rFonts w:ascii="Times New Roman" w:eastAsia="黑体"/>
        </w:rPr>
        <w:t>6.1.</w:t>
      </w:r>
      <w:r>
        <w:rPr>
          <w:rFonts w:hint="eastAsia" w:ascii="Times New Roman" w:eastAsia="黑体"/>
          <w:lang w:val="en-US" w:eastAsia="zh-CN"/>
        </w:rPr>
        <w:t>7</w:t>
      </w:r>
      <w:r>
        <w:rPr>
          <w:rFonts w:hint="eastAsia" w:ascii="Times New Roman" w:eastAsia="黑体"/>
        </w:rPr>
        <w:t xml:space="preserve"> </w:t>
      </w:r>
      <w:r>
        <w:rPr>
          <w:rFonts w:ascii="Times New Roman" w:eastAsia="黑体"/>
        </w:rPr>
        <w:t>设备供能系统负荷调节</w:t>
      </w:r>
    </w:p>
    <w:p>
      <w:pPr>
        <w:pStyle w:val="58"/>
        <w:ind w:firstLine="420"/>
        <w:jc w:val="left"/>
        <w:rPr>
          <w:rFonts w:ascii="Times New Roman" w:eastAsiaTheme="majorEastAsia"/>
        </w:rPr>
      </w:pPr>
      <w:r>
        <w:rPr>
          <w:rFonts w:ascii="Times New Roman" w:eastAsiaTheme="majorEastAsia"/>
        </w:rPr>
        <w:t>一体化污泥高效脱水处理设备供能系统</w:t>
      </w:r>
      <w:r>
        <w:rPr>
          <w:rFonts w:hint="eastAsia" w:ascii="Times New Roman" w:eastAsiaTheme="majorEastAsia"/>
        </w:rPr>
        <w:t>负荷调节宜</w:t>
      </w:r>
      <w:r>
        <w:rPr>
          <w:rFonts w:ascii="Times New Roman" w:eastAsiaTheme="majorEastAsia"/>
        </w:rPr>
        <w:t>采用4mmA~20mmA模拟量比例控制</w:t>
      </w:r>
      <w:r>
        <w:rPr>
          <w:rFonts w:hint="eastAsia" w:ascii="Times New Roman" w:eastAsiaTheme="majorEastAsia"/>
        </w:rPr>
        <w:t>，</w:t>
      </w:r>
      <w:r>
        <w:rPr>
          <w:rFonts w:ascii="Times New Roman" w:eastAsiaTheme="majorEastAsia"/>
        </w:rPr>
        <w:t>控制软件</w:t>
      </w:r>
      <w:r>
        <w:rPr>
          <w:rFonts w:hint="eastAsia" w:ascii="Times New Roman" w:eastAsiaTheme="majorEastAsia"/>
        </w:rPr>
        <w:t>应</w:t>
      </w:r>
      <w:r>
        <w:rPr>
          <w:rFonts w:ascii="Times New Roman" w:eastAsiaTheme="majorEastAsia"/>
        </w:rPr>
        <w:t>根据负荷自动变换燃烧器模拟量输入。</w:t>
      </w:r>
    </w:p>
    <w:p>
      <w:pPr>
        <w:pStyle w:val="58"/>
        <w:spacing w:before="156" w:beforeLines="50" w:after="156" w:afterLines="50"/>
        <w:ind w:firstLine="0" w:firstLineChars="0"/>
        <w:jc w:val="left"/>
        <w:outlineLvl w:val="3"/>
        <w:rPr>
          <w:rFonts w:ascii="Times New Roman" w:eastAsia="黑体"/>
        </w:rPr>
      </w:pPr>
      <w:r>
        <w:rPr>
          <w:rFonts w:ascii="Times New Roman" w:eastAsia="黑体"/>
        </w:rPr>
        <w:t>6.1.</w:t>
      </w:r>
      <w:r>
        <w:rPr>
          <w:rFonts w:hint="eastAsia" w:ascii="Times New Roman" w:eastAsia="黑体"/>
          <w:lang w:val="en-US" w:eastAsia="zh-CN"/>
        </w:rPr>
        <w:t>8</w:t>
      </w:r>
      <w:r>
        <w:rPr>
          <w:rFonts w:ascii="Times New Roman" w:eastAsia="黑体"/>
        </w:rPr>
        <w:t xml:space="preserve"> 整机温控</w:t>
      </w:r>
      <w:r>
        <w:rPr>
          <w:rFonts w:hint="eastAsia" w:ascii="Times New Roman" w:eastAsia="黑体"/>
        </w:rPr>
        <w:t>检查</w:t>
      </w:r>
    </w:p>
    <w:p>
      <w:pPr>
        <w:pStyle w:val="58"/>
        <w:ind w:firstLine="420"/>
        <w:jc w:val="left"/>
        <w:rPr>
          <w:rFonts w:ascii="Times New Roman" w:eastAsiaTheme="majorEastAsia"/>
        </w:rPr>
      </w:pPr>
      <w:r>
        <w:rPr>
          <w:rFonts w:ascii="Times New Roman" w:eastAsiaTheme="majorEastAsia"/>
        </w:rPr>
        <w:t>一体化污泥高效脱水处理设备制造装配完成后</w:t>
      </w:r>
      <w:r>
        <w:rPr>
          <w:rFonts w:hint="eastAsia" w:ascii="Times New Roman" w:eastAsiaTheme="majorEastAsia"/>
        </w:rPr>
        <w:t>应进行</w:t>
      </w:r>
      <w:r>
        <w:rPr>
          <w:rFonts w:ascii="Times New Roman" w:eastAsiaTheme="majorEastAsia"/>
        </w:rPr>
        <w:t>整机温控</w:t>
      </w:r>
      <w:r>
        <w:rPr>
          <w:rFonts w:hint="eastAsia" w:ascii="Times New Roman" w:eastAsiaTheme="majorEastAsia"/>
        </w:rPr>
        <w:t>检测，并应符合5.1.</w:t>
      </w:r>
      <w:r>
        <w:rPr>
          <w:rFonts w:hint="eastAsia" w:ascii="Times New Roman" w:eastAsiaTheme="majorEastAsia"/>
          <w:lang w:val="en-US" w:eastAsia="zh-CN"/>
        </w:rPr>
        <w:t>5</w:t>
      </w:r>
      <w:r>
        <w:rPr>
          <w:rFonts w:hint="eastAsia" w:ascii="Times New Roman" w:eastAsiaTheme="majorEastAsia"/>
        </w:rPr>
        <w:t>的规定。</w:t>
      </w:r>
    </w:p>
    <w:p>
      <w:pPr>
        <w:pStyle w:val="58"/>
        <w:spacing w:before="156" w:beforeLines="50" w:after="156" w:afterLines="50"/>
        <w:ind w:firstLine="0" w:firstLineChars="0"/>
        <w:jc w:val="left"/>
        <w:outlineLvl w:val="3"/>
        <w:rPr>
          <w:rFonts w:ascii="Times New Roman" w:eastAsia="黑体"/>
        </w:rPr>
      </w:pPr>
      <w:r>
        <w:rPr>
          <w:rFonts w:ascii="Times New Roman" w:eastAsia="黑体"/>
        </w:rPr>
        <w:t>6.1.</w:t>
      </w:r>
      <w:r>
        <w:rPr>
          <w:rFonts w:hint="eastAsia" w:ascii="Times New Roman" w:eastAsia="黑体"/>
          <w:lang w:val="en-US" w:eastAsia="zh-CN"/>
        </w:rPr>
        <w:t>9</w:t>
      </w:r>
      <w:r>
        <w:rPr>
          <w:rFonts w:ascii="Times New Roman" w:eastAsia="黑体"/>
        </w:rPr>
        <w:t xml:space="preserve"> 电气安全控制 </w:t>
      </w:r>
    </w:p>
    <w:p>
      <w:pPr>
        <w:spacing w:line="360" w:lineRule="auto"/>
        <w:ind w:firstLine="420" w:firstLineChars="200"/>
        <w:jc w:val="left"/>
      </w:pPr>
      <w:r>
        <w:rPr>
          <w:rFonts w:eastAsiaTheme="majorEastAsia"/>
          <w:kern w:val="0"/>
          <w:szCs w:val="20"/>
        </w:rPr>
        <w:t>一体化污泥高效脱水处理设备电气安全控制</w:t>
      </w:r>
      <w:r>
        <w:t>应符合GB 5226.1的规定。</w:t>
      </w:r>
    </w:p>
    <w:p>
      <w:pPr>
        <w:pStyle w:val="58"/>
        <w:spacing w:before="156" w:beforeLines="50" w:after="156" w:afterLines="50"/>
        <w:ind w:firstLine="0" w:firstLineChars="0"/>
        <w:jc w:val="left"/>
        <w:outlineLvl w:val="3"/>
        <w:rPr>
          <w:rFonts w:ascii="Times New Roman" w:eastAsia="黑体"/>
        </w:rPr>
      </w:pPr>
      <w:r>
        <w:rPr>
          <w:rFonts w:ascii="Times New Roman" w:eastAsia="黑体"/>
        </w:rPr>
        <w:t>6.1.1</w:t>
      </w:r>
      <w:r>
        <w:rPr>
          <w:rFonts w:hint="eastAsia" w:ascii="Times New Roman" w:eastAsia="黑体"/>
          <w:lang w:val="en-US" w:eastAsia="zh-CN"/>
        </w:rPr>
        <w:t>0</w:t>
      </w:r>
      <w:r>
        <w:rPr>
          <w:rFonts w:ascii="Times New Roman" w:eastAsia="黑体"/>
        </w:rPr>
        <w:t xml:space="preserve"> 整机防爆装置</w:t>
      </w:r>
    </w:p>
    <w:p>
      <w:pPr>
        <w:pStyle w:val="58"/>
        <w:spacing w:before="156" w:beforeLines="50" w:after="156" w:afterLines="50"/>
        <w:ind w:firstLine="420"/>
        <w:jc w:val="left"/>
        <w:rPr>
          <w:rFonts w:ascii="Times New Roman" w:eastAsiaTheme="majorEastAsia"/>
        </w:rPr>
      </w:pPr>
      <w:r>
        <w:rPr>
          <w:rFonts w:ascii="Times New Roman" w:eastAsiaTheme="majorEastAsia"/>
        </w:rPr>
        <w:t>整机防爆装置检查应符合GB 567的规定。</w:t>
      </w:r>
    </w:p>
    <w:p>
      <w:pPr>
        <w:pStyle w:val="58"/>
        <w:spacing w:before="156" w:beforeLines="50" w:after="156" w:afterLines="50"/>
        <w:ind w:firstLine="0" w:firstLineChars="0"/>
        <w:jc w:val="left"/>
        <w:outlineLvl w:val="3"/>
        <w:rPr>
          <w:rFonts w:ascii="Times New Roman" w:eastAsia="黑体"/>
        </w:rPr>
      </w:pPr>
      <w:r>
        <w:rPr>
          <w:rFonts w:ascii="Times New Roman" w:eastAsia="黑体"/>
        </w:rPr>
        <w:t>6.1.1</w:t>
      </w:r>
      <w:r>
        <w:rPr>
          <w:rFonts w:hint="eastAsia" w:ascii="Times New Roman" w:eastAsia="黑体"/>
          <w:lang w:val="en-US" w:eastAsia="zh-CN"/>
        </w:rPr>
        <w:t>1</w:t>
      </w:r>
      <w:r>
        <w:rPr>
          <w:rFonts w:ascii="Times New Roman" w:eastAsia="黑体"/>
        </w:rPr>
        <w:t xml:space="preserve"> 废气排放</w:t>
      </w:r>
    </w:p>
    <w:p>
      <w:pPr>
        <w:pStyle w:val="21"/>
        <w:ind w:firstLine="420" w:firstLineChars="200"/>
        <w:rPr>
          <w:rFonts w:eastAsiaTheme="majorEastAsia"/>
          <w:kern w:val="0"/>
          <w:szCs w:val="20"/>
        </w:rPr>
      </w:pPr>
      <w:r>
        <w:rPr>
          <w:rFonts w:eastAsiaTheme="majorEastAsia"/>
          <w:kern w:val="0"/>
          <w:szCs w:val="20"/>
        </w:rPr>
        <w:t>废气排放应符合</w:t>
      </w:r>
      <w:r>
        <w:rPr>
          <w:rFonts w:hint="eastAsia" w:eastAsiaTheme="majorEastAsia"/>
          <w:kern w:val="0"/>
          <w:szCs w:val="20"/>
        </w:rPr>
        <w:t>5.3.2.2</w:t>
      </w:r>
      <w:r>
        <w:rPr>
          <w:rFonts w:eastAsiaTheme="majorEastAsia"/>
          <w:kern w:val="0"/>
          <w:szCs w:val="20"/>
        </w:rPr>
        <w:t>和</w:t>
      </w:r>
      <w:r>
        <w:rPr>
          <w:rFonts w:hint="eastAsia" w:eastAsiaTheme="majorEastAsia"/>
          <w:kern w:val="0"/>
          <w:szCs w:val="20"/>
        </w:rPr>
        <w:t>7.5</w:t>
      </w:r>
      <w:r>
        <w:rPr>
          <w:rFonts w:eastAsiaTheme="majorEastAsia"/>
          <w:kern w:val="0"/>
          <w:szCs w:val="20"/>
        </w:rPr>
        <w:t>的</w:t>
      </w:r>
      <w:r>
        <w:rPr>
          <w:rFonts w:hint="eastAsia" w:eastAsiaTheme="majorEastAsia"/>
          <w:kern w:val="0"/>
          <w:szCs w:val="20"/>
        </w:rPr>
        <w:t>规定</w:t>
      </w:r>
      <w:r>
        <w:rPr>
          <w:rFonts w:eastAsiaTheme="majorEastAsia"/>
          <w:kern w:val="0"/>
          <w:szCs w:val="20"/>
        </w:rPr>
        <w:t>。</w:t>
      </w:r>
    </w:p>
    <w:p>
      <w:pPr>
        <w:pStyle w:val="58"/>
        <w:spacing w:before="156" w:beforeLines="50" w:after="156" w:afterLines="50"/>
        <w:ind w:firstLine="0" w:firstLineChars="0"/>
        <w:jc w:val="left"/>
        <w:outlineLvl w:val="3"/>
        <w:rPr>
          <w:rFonts w:ascii="Times New Roman" w:eastAsia="黑体"/>
        </w:rPr>
      </w:pPr>
      <w:r>
        <w:rPr>
          <w:rFonts w:ascii="Times New Roman" w:eastAsia="黑体"/>
        </w:rPr>
        <w:t>6.1.1</w:t>
      </w:r>
      <w:r>
        <w:rPr>
          <w:rFonts w:hint="eastAsia" w:ascii="Times New Roman" w:eastAsia="黑体"/>
          <w:lang w:val="en-US" w:eastAsia="zh-CN"/>
        </w:rPr>
        <w:t>2</w:t>
      </w:r>
      <w:r>
        <w:rPr>
          <w:rFonts w:ascii="Times New Roman" w:eastAsia="黑体"/>
        </w:rPr>
        <w:t xml:space="preserve"> 整机噪音</w:t>
      </w:r>
    </w:p>
    <w:p>
      <w:pPr>
        <w:pStyle w:val="21"/>
        <w:ind w:firstLine="420" w:firstLineChars="200"/>
      </w:pPr>
      <w:r>
        <w:rPr>
          <w:rFonts w:eastAsiaTheme="majorEastAsia"/>
        </w:rPr>
        <w:t>整机噪音测量</w:t>
      </w:r>
      <w:r>
        <w:t>应符合GB 12348的规定。</w:t>
      </w:r>
    </w:p>
    <w:p>
      <w:pPr>
        <w:pStyle w:val="58"/>
        <w:spacing w:before="156" w:beforeLines="50" w:after="156" w:afterLines="50"/>
        <w:ind w:firstLine="0" w:firstLineChars="0"/>
        <w:jc w:val="left"/>
        <w:outlineLvl w:val="3"/>
        <w:rPr>
          <w:rFonts w:ascii="Times New Roman" w:eastAsia="黑体"/>
        </w:rPr>
      </w:pPr>
      <w:r>
        <w:rPr>
          <w:rFonts w:ascii="Times New Roman" w:eastAsia="黑体"/>
        </w:rPr>
        <w:t>6.1.1</w:t>
      </w:r>
      <w:r>
        <w:rPr>
          <w:rFonts w:hint="eastAsia" w:ascii="Times New Roman" w:eastAsia="黑体"/>
          <w:lang w:val="en-US" w:eastAsia="zh-CN"/>
        </w:rPr>
        <w:t>3</w:t>
      </w:r>
      <w:r>
        <w:rPr>
          <w:rFonts w:ascii="Times New Roman" w:eastAsia="黑体"/>
        </w:rPr>
        <w:t xml:space="preserve"> 成品污泥含水率</w:t>
      </w:r>
    </w:p>
    <w:p>
      <w:pPr>
        <w:pStyle w:val="58"/>
        <w:spacing w:before="156" w:beforeLines="50" w:after="156" w:afterLines="50"/>
        <w:ind w:firstLine="420"/>
        <w:jc w:val="left"/>
        <w:rPr>
          <w:rFonts w:ascii="Times New Roman"/>
        </w:rPr>
      </w:pPr>
      <w:r>
        <w:rPr>
          <w:rFonts w:ascii="Times New Roman"/>
        </w:rPr>
        <w:t>成品污泥含水率试验</w:t>
      </w:r>
      <w:r>
        <w:rPr>
          <w:rFonts w:hint="eastAsia" w:ascii="Times New Roman"/>
        </w:rPr>
        <w:t>方法</w:t>
      </w:r>
      <w:r>
        <w:rPr>
          <w:rFonts w:ascii="Times New Roman"/>
        </w:rPr>
        <w:t>应符合CJ/T 221</w:t>
      </w:r>
      <w:r>
        <w:rPr>
          <w:rFonts w:hint="eastAsia" w:ascii="Times New Roman"/>
          <w:lang w:val="en-US" w:eastAsia="zh-CN"/>
        </w:rPr>
        <w:t>中2.4和2.5</w:t>
      </w:r>
      <w:r>
        <w:rPr>
          <w:rFonts w:ascii="Times New Roman"/>
        </w:rPr>
        <w:t>的规定。</w:t>
      </w:r>
    </w:p>
    <w:p>
      <w:pPr>
        <w:pStyle w:val="58"/>
        <w:spacing w:before="156" w:beforeLines="50" w:after="156" w:afterLines="50"/>
        <w:ind w:firstLine="0" w:firstLineChars="0"/>
        <w:jc w:val="left"/>
        <w:outlineLvl w:val="3"/>
        <w:rPr>
          <w:rFonts w:ascii="Times New Roman" w:eastAsia="黑体"/>
        </w:rPr>
      </w:pPr>
      <w:r>
        <w:rPr>
          <w:rFonts w:ascii="Times New Roman" w:eastAsia="黑体"/>
        </w:rPr>
        <w:t>6.1.1</w:t>
      </w:r>
      <w:r>
        <w:rPr>
          <w:rFonts w:hint="eastAsia" w:ascii="Times New Roman" w:eastAsia="黑体"/>
          <w:lang w:val="en-US" w:eastAsia="zh-CN"/>
        </w:rPr>
        <w:t>4</w:t>
      </w:r>
      <w:r>
        <w:rPr>
          <w:rFonts w:ascii="Times New Roman" w:eastAsia="黑体"/>
        </w:rPr>
        <w:t xml:space="preserve"> 空载运行</w:t>
      </w:r>
    </w:p>
    <w:p>
      <w:pPr>
        <w:pStyle w:val="2"/>
        <w:ind w:right="0" w:rightChars="0"/>
        <w:jc w:val="left"/>
        <w:rPr>
          <w:rFonts w:eastAsiaTheme="majorEastAsia"/>
          <w:kern w:val="0"/>
          <w:sz w:val="21"/>
          <w:szCs w:val="20"/>
        </w:rPr>
      </w:pPr>
      <w:r>
        <w:rPr>
          <w:rFonts w:hint="eastAsia" w:eastAsiaTheme="majorEastAsia"/>
          <w:kern w:val="0"/>
          <w:sz w:val="21"/>
          <w:szCs w:val="20"/>
        </w:rPr>
        <w:t>6.1.1</w:t>
      </w:r>
      <w:r>
        <w:rPr>
          <w:rFonts w:hint="eastAsia" w:eastAsiaTheme="majorEastAsia"/>
          <w:kern w:val="0"/>
          <w:sz w:val="21"/>
          <w:szCs w:val="20"/>
          <w:lang w:val="en-US" w:eastAsia="zh-CN"/>
        </w:rPr>
        <w:t>4</w:t>
      </w:r>
      <w:r>
        <w:rPr>
          <w:rFonts w:hint="eastAsia" w:eastAsiaTheme="majorEastAsia"/>
          <w:kern w:val="0"/>
          <w:sz w:val="21"/>
          <w:szCs w:val="20"/>
        </w:rPr>
        <w:t xml:space="preserve">.1 </w:t>
      </w:r>
      <w:r>
        <w:rPr>
          <w:rFonts w:eastAsiaTheme="majorEastAsia"/>
          <w:kern w:val="0"/>
          <w:sz w:val="21"/>
          <w:szCs w:val="20"/>
        </w:rPr>
        <w:t>一体化污泥高效脱水处理设备的</w:t>
      </w:r>
      <w:r>
        <w:rPr>
          <w:rFonts w:hint="eastAsia" w:eastAsiaTheme="majorEastAsia"/>
          <w:kern w:val="0"/>
          <w:sz w:val="21"/>
          <w:szCs w:val="20"/>
        </w:rPr>
        <w:t>污泥进料机构进料前</w:t>
      </w:r>
      <w:r>
        <w:rPr>
          <w:rFonts w:eastAsiaTheme="majorEastAsia"/>
          <w:kern w:val="0"/>
          <w:sz w:val="21"/>
          <w:szCs w:val="20"/>
        </w:rPr>
        <w:t>，应进行空载运行试验</w:t>
      </w:r>
      <w:r>
        <w:rPr>
          <w:rFonts w:hint="eastAsia" w:eastAsiaTheme="majorEastAsia"/>
          <w:kern w:val="0"/>
          <w:sz w:val="21"/>
          <w:szCs w:val="20"/>
        </w:rPr>
        <w:t>：</w:t>
      </w:r>
    </w:p>
    <w:p>
      <w:pPr>
        <w:pStyle w:val="2"/>
        <w:ind w:right="0" w:rightChars="0" w:firstLine="420" w:firstLineChars="200"/>
        <w:jc w:val="left"/>
        <w:rPr>
          <w:rFonts w:eastAsiaTheme="majorEastAsia"/>
          <w:kern w:val="0"/>
          <w:sz w:val="21"/>
          <w:szCs w:val="20"/>
        </w:rPr>
      </w:pPr>
      <w:r>
        <w:rPr>
          <w:rFonts w:hint="eastAsia" w:eastAsiaTheme="majorEastAsia"/>
          <w:kern w:val="0"/>
          <w:sz w:val="21"/>
          <w:szCs w:val="20"/>
        </w:rPr>
        <w:t>1</w:t>
      </w:r>
      <w:r>
        <w:rPr>
          <w:rFonts w:eastAsiaTheme="majorEastAsia"/>
          <w:kern w:val="0"/>
          <w:sz w:val="21"/>
          <w:szCs w:val="20"/>
        </w:rPr>
        <w:t>单机调试：</w:t>
      </w:r>
      <w:r>
        <w:rPr>
          <w:rFonts w:hint="eastAsia" w:eastAsiaTheme="majorEastAsia"/>
          <w:kern w:val="0"/>
          <w:sz w:val="21"/>
          <w:szCs w:val="20"/>
        </w:rPr>
        <w:t>包括燃烧机、整机主体、污泥进料机构等系统的单独试运行</w:t>
      </w:r>
      <w:r>
        <w:rPr>
          <w:rFonts w:eastAsiaTheme="majorEastAsia"/>
          <w:kern w:val="0"/>
          <w:sz w:val="21"/>
          <w:szCs w:val="20"/>
        </w:rPr>
        <w:t>。</w:t>
      </w:r>
    </w:p>
    <w:p>
      <w:pPr>
        <w:pStyle w:val="2"/>
        <w:ind w:right="0" w:rightChars="0" w:firstLine="420" w:firstLineChars="200"/>
        <w:jc w:val="left"/>
        <w:rPr>
          <w:rFonts w:eastAsiaTheme="majorEastAsia"/>
          <w:kern w:val="0"/>
          <w:sz w:val="21"/>
          <w:szCs w:val="20"/>
        </w:rPr>
      </w:pPr>
      <w:r>
        <w:rPr>
          <w:rFonts w:eastAsiaTheme="majorEastAsia"/>
          <w:kern w:val="0"/>
          <w:sz w:val="21"/>
          <w:szCs w:val="20"/>
        </w:rPr>
        <w:t>2.联动</w:t>
      </w:r>
      <w:r>
        <w:rPr>
          <w:rFonts w:hint="eastAsia" w:eastAsiaTheme="majorEastAsia"/>
          <w:kern w:val="0"/>
          <w:sz w:val="21"/>
          <w:szCs w:val="20"/>
        </w:rPr>
        <w:t>调试</w:t>
      </w:r>
      <w:r>
        <w:rPr>
          <w:rFonts w:eastAsiaTheme="majorEastAsia"/>
          <w:kern w:val="0"/>
          <w:sz w:val="21"/>
          <w:szCs w:val="20"/>
        </w:rPr>
        <w:t>：</w:t>
      </w:r>
      <w:r>
        <w:rPr>
          <w:rFonts w:hint="eastAsia" w:eastAsiaTheme="majorEastAsia"/>
          <w:kern w:val="0"/>
          <w:sz w:val="21"/>
          <w:szCs w:val="20"/>
        </w:rPr>
        <w:t>按软件控制程序对整体系统设备联机试运行</w:t>
      </w:r>
      <w:r>
        <w:rPr>
          <w:rFonts w:eastAsiaTheme="majorEastAsia"/>
          <w:kern w:val="0"/>
          <w:sz w:val="21"/>
          <w:szCs w:val="20"/>
        </w:rPr>
        <w:t>。</w:t>
      </w:r>
    </w:p>
    <w:p>
      <w:pPr>
        <w:pStyle w:val="2"/>
        <w:ind w:right="0" w:rightChars="0"/>
        <w:jc w:val="left"/>
        <w:rPr>
          <w:rFonts w:eastAsiaTheme="majorEastAsia"/>
          <w:kern w:val="0"/>
          <w:sz w:val="21"/>
          <w:szCs w:val="20"/>
        </w:rPr>
      </w:pPr>
      <w:r>
        <w:rPr>
          <w:rFonts w:hint="eastAsia" w:eastAsiaTheme="majorEastAsia"/>
          <w:kern w:val="0"/>
          <w:sz w:val="21"/>
          <w:szCs w:val="20"/>
        </w:rPr>
        <w:t>6.1.1</w:t>
      </w:r>
      <w:r>
        <w:rPr>
          <w:rFonts w:hint="eastAsia" w:eastAsiaTheme="majorEastAsia"/>
          <w:kern w:val="0"/>
          <w:sz w:val="21"/>
          <w:szCs w:val="20"/>
          <w:lang w:val="en-US" w:eastAsia="zh-CN"/>
        </w:rPr>
        <w:t>4</w:t>
      </w:r>
      <w:r>
        <w:rPr>
          <w:rFonts w:hint="eastAsia" w:eastAsiaTheme="majorEastAsia"/>
          <w:kern w:val="0"/>
          <w:sz w:val="21"/>
          <w:szCs w:val="20"/>
        </w:rPr>
        <w:t>.2 空载运行时</w:t>
      </w:r>
      <w:r>
        <w:rPr>
          <w:rFonts w:eastAsiaTheme="majorEastAsia"/>
          <w:kern w:val="0"/>
          <w:sz w:val="21"/>
          <w:szCs w:val="20"/>
        </w:rPr>
        <w:t>单机</w:t>
      </w:r>
      <w:r>
        <w:rPr>
          <w:rFonts w:hint="eastAsia" w:eastAsiaTheme="majorEastAsia"/>
          <w:kern w:val="0"/>
          <w:sz w:val="21"/>
          <w:szCs w:val="20"/>
        </w:rPr>
        <w:t>调试、联动调试应符合GB 243、GB 50093、GB 50231的规定。</w:t>
      </w:r>
    </w:p>
    <w:p>
      <w:pPr>
        <w:pStyle w:val="59"/>
        <w:numPr>
          <w:ilvl w:val="0"/>
          <w:numId w:val="0"/>
        </w:numPr>
        <w:spacing w:before="156" w:after="156"/>
        <w:jc w:val="left"/>
        <w:outlineLvl w:val="2"/>
        <w:rPr>
          <w:rFonts w:ascii="Times New Roman"/>
        </w:rPr>
      </w:pPr>
      <w:r>
        <w:rPr>
          <w:rFonts w:ascii="Times New Roman"/>
        </w:rPr>
        <w:t>6.2 计算方法</w:t>
      </w:r>
    </w:p>
    <w:p>
      <w:pPr>
        <w:pStyle w:val="58"/>
        <w:spacing w:before="156" w:beforeLines="50" w:after="156" w:afterLines="50"/>
        <w:ind w:firstLine="0" w:firstLineChars="0"/>
        <w:jc w:val="left"/>
        <w:outlineLvl w:val="3"/>
        <w:rPr>
          <w:rFonts w:ascii="Times New Roman" w:eastAsia="黑体"/>
        </w:rPr>
      </w:pPr>
      <w:r>
        <w:rPr>
          <w:rFonts w:ascii="Times New Roman" w:eastAsia="黑体"/>
        </w:rPr>
        <w:t>6.2.</w:t>
      </w:r>
      <w:r>
        <w:rPr>
          <w:rFonts w:hint="eastAsia" w:ascii="Times New Roman" w:eastAsia="黑体"/>
        </w:rPr>
        <w:t>1</w:t>
      </w:r>
      <w:r>
        <w:rPr>
          <w:rFonts w:ascii="Times New Roman" w:eastAsia="黑体"/>
        </w:rPr>
        <w:t xml:space="preserve"> 成品污泥含水率</w:t>
      </w:r>
    </w:p>
    <w:p>
      <w:pPr>
        <w:pStyle w:val="21"/>
        <w:ind w:firstLine="420" w:firstLineChars="200"/>
      </w:pPr>
      <w:r>
        <w:t>成品污泥的含水率计算</w:t>
      </w:r>
      <w:r>
        <w:rPr>
          <w:rFonts w:hint="eastAsia"/>
          <w:lang w:val="en-US" w:eastAsia="zh-CN"/>
        </w:rPr>
        <w:t>方法</w:t>
      </w:r>
      <w:r>
        <w:t>应符合CJ/T</w:t>
      </w:r>
      <w:r>
        <w:rPr>
          <w:rFonts w:hint="eastAsia"/>
        </w:rPr>
        <w:t xml:space="preserve"> </w:t>
      </w:r>
      <w:r>
        <w:t>221</w:t>
      </w:r>
      <w:r>
        <w:rPr>
          <w:rFonts w:hint="eastAsia"/>
        </w:rPr>
        <w:t>中2.6</w:t>
      </w:r>
      <w:r>
        <w:t>的规定。</w:t>
      </w:r>
    </w:p>
    <w:p>
      <w:pPr>
        <w:pStyle w:val="59"/>
        <w:keepNext w:val="0"/>
        <w:keepLines w:val="0"/>
        <w:pageBreakBefore w:val="0"/>
        <w:widowControl/>
        <w:numPr>
          <w:ilvl w:val="0"/>
          <w:numId w:val="0"/>
        </w:numPr>
        <w:kinsoku/>
        <w:wordWrap/>
        <w:overflowPunct/>
        <w:topLinePunct w:val="0"/>
        <w:autoSpaceDE/>
        <w:autoSpaceDN/>
        <w:bidi w:val="0"/>
        <w:adjustRightInd/>
        <w:snapToGrid/>
        <w:spacing w:before="312" w:beforeLines="100" w:after="312" w:afterLines="100"/>
        <w:jc w:val="left"/>
        <w:textAlignment w:val="auto"/>
        <w:outlineLvl w:val="0"/>
        <w:rPr>
          <w:rFonts w:ascii="Times New Roman"/>
        </w:rPr>
      </w:pPr>
      <w:bookmarkStart w:id="15" w:name="_Toc22252"/>
      <w:r>
        <w:rPr>
          <w:rFonts w:ascii="Times New Roman"/>
        </w:rPr>
        <w:t>7 检验</w:t>
      </w:r>
      <w:bookmarkEnd w:id="15"/>
    </w:p>
    <w:p>
      <w:pPr>
        <w:pStyle w:val="59"/>
        <w:numPr>
          <w:ilvl w:val="0"/>
          <w:numId w:val="0"/>
        </w:numPr>
        <w:spacing w:before="156" w:after="156"/>
        <w:jc w:val="left"/>
        <w:outlineLvl w:val="2"/>
        <w:rPr>
          <w:rFonts w:ascii="Times New Roman"/>
        </w:rPr>
      </w:pPr>
      <w:r>
        <w:rPr>
          <w:rFonts w:ascii="Times New Roman"/>
        </w:rPr>
        <w:t>7.1 检验总则</w:t>
      </w:r>
    </w:p>
    <w:p>
      <w:pPr>
        <w:pStyle w:val="58"/>
        <w:ind w:firstLine="420"/>
        <w:jc w:val="left"/>
        <w:rPr>
          <w:rFonts w:ascii="Times New Roman"/>
        </w:rPr>
      </w:pPr>
      <w:r>
        <w:rPr>
          <w:rFonts w:ascii="Times New Roman"/>
        </w:rPr>
        <w:t>一体化污泥高效脱水处理设备的检验分为出厂检验和型式检验。</w:t>
      </w:r>
    </w:p>
    <w:p>
      <w:pPr>
        <w:pStyle w:val="59"/>
        <w:numPr>
          <w:ilvl w:val="0"/>
          <w:numId w:val="0"/>
        </w:numPr>
        <w:spacing w:before="156" w:after="156"/>
        <w:jc w:val="left"/>
        <w:outlineLvl w:val="2"/>
        <w:rPr>
          <w:rFonts w:ascii="Times New Roman"/>
        </w:rPr>
      </w:pPr>
      <w:r>
        <w:rPr>
          <w:rFonts w:ascii="Times New Roman"/>
        </w:rPr>
        <w:t>7.2 出厂检验</w:t>
      </w:r>
    </w:p>
    <w:p>
      <w:pPr>
        <w:pStyle w:val="2"/>
        <w:ind w:right="0" w:rightChars="0" w:firstLine="420" w:firstLineChars="200"/>
        <w:jc w:val="left"/>
        <w:rPr>
          <w:sz w:val="21"/>
          <w:szCs w:val="20"/>
        </w:rPr>
      </w:pPr>
      <w:r>
        <w:rPr>
          <w:sz w:val="21"/>
          <w:szCs w:val="20"/>
        </w:rPr>
        <w:t>每台一体化污泥高效脱水处理设备必须进行出厂检验，检验合格后方可出厂</w:t>
      </w:r>
      <w:r>
        <w:rPr>
          <w:rFonts w:hint="eastAsia"/>
          <w:sz w:val="21"/>
          <w:szCs w:val="20"/>
        </w:rPr>
        <w:t>;</w:t>
      </w:r>
      <w:r>
        <w:rPr>
          <w:sz w:val="21"/>
          <w:szCs w:val="20"/>
        </w:rPr>
        <w:t>出厂检验项目按表7.4的要求进行。</w:t>
      </w:r>
    </w:p>
    <w:p>
      <w:pPr>
        <w:pStyle w:val="59"/>
        <w:numPr>
          <w:ilvl w:val="0"/>
          <w:numId w:val="0"/>
        </w:numPr>
        <w:spacing w:before="156" w:after="156"/>
        <w:jc w:val="left"/>
        <w:outlineLvl w:val="2"/>
        <w:rPr>
          <w:rFonts w:ascii="Times New Roman"/>
        </w:rPr>
      </w:pPr>
      <w:r>
        <w:rPr>
          <w:rFonts w:ascii="Times New Roman"/>
        </w:rPr>
        <w:t>7.3 型式检验</w:t>
      </w:r>
    </w:p>
    <w:p>
      <w:pPr>
        <w:pStyle w:val="2"/>
        <w:ind w:right="0" w:rightChars="0"/>
        <w:jc w:val="left"/>
        <w:rPr>
          <w:sz w:val="21"/>
          <w:szCs w:val="20"/>
        </w:rPr>
      </w:pPr>
      <w:r>
        <w:rPr>
          <w:sz w:val="21"/>
          <w:szCs w:val="20"/>
        </w:rPr>
        <w:t>7.3.1一体化污泥高效脱水处理设备有下列情况之一时，必须进行型式检验：</w:t>
      </w:r>
    </w:p>
    <w:p>
      <w:pPr>
        <w:pStyle w:val="2"/>
        <w:ind w:right="0" w:rightChars="0" w:firstLine="420" w:firstLineChars="200"/>
        <w:jc w:val="left"/>
        <w:rPr>
          <w:sz w:val="21"/>
          <w:szCs w:val="20"/>
        </w:rPr>
      </w:pPr>
      <w:r>
        <w:rPr>
          <w:sz w:val="21"/>
          <w:szCs w:val="20"/>
        </w:rPr>
        <w:t>1）申请国家型式认可；</w:t>
      </w:r>
    </w:p>
    <w:p>
      <w:pPr>
        <w:pStyle w:val="2"/>
        <w:ind w:right="0" w:rightChars="0" w:firstLine="420" w:firstLineChars="200"/>
        <w:jc w:val="left"/>
        <w:rPr>
          <w:sz w:val="21"/>
          <w:szCs w:val="20"/>
        </w:rPr>
      </w:pPr>
      <w:r>
        <w:rPr>
          <w:sz w:val="21"/>
          <w:szCs w:val="20"/>
        </w:rPr>
        <w:t>2）首套产品试制定型鉴定；</w:t>
      </w:r>
    </w:p>
    <w:p>
      <w:pPr>
        <w:pStyle w:val="2"/>
        <w:ind w:right="0" w:rightChars="0" w:firstLine="420" w:firstLineChars="200"/>
        <w:jc w:val="left"/>
        <w:rPr>
          <w:sz w:val="21"/>
          <w:szCs w:val="20"/>
        </w:rPr>
      </w:pPr>
      <w:r>
        <w:rPr>
          <w:sz w:val="21"/>
          <w:szCs w:val="20"/>
        </w:rPr>
        <w:t>3）因产品设计、工艺、结构或主要关键材料变更而影响产品性能；</w:t>
      </w:r>
    </w:p>
    <w:p>
      <w:pPr>
        <w:pStyle w:val="2"/>
        <w:ind w:right="0" w:rightChars="0" w:firstLine="420" w:firstLineChars="200"/>
        <w:jc w:val="left"/>
        <w:rPr>
          <w:sz w:val="21"/>
          <w:szCs w:val="20"/>
        </w:rPr>
      </w:pPr>
      <w:r>
        <w:rPr>
          <w:sz w:val="21"/>
          <w:szCs w:val="20"/>
        </w:rPr>
        <w:t>4）正常生产每四年进行一次；</w:t>
      </w:r>
    </w:p>
    <w:p>
      <w:pPr>
        <w:pStyle w:val="2"/>
        <w:ind w:right="0" w:rightChars="0" w:firstLine="420" w:firstLineChars="200"/>
        <w:jc w:val="left"/>
        <w:rPr>
          <w:sz w:val="21"/>
          <w:szCs w:val="20"/>
        </w:rPr>
      </w:pPr>
      <w:r>
        <w:rPr>
          <w:sz w:val="21"/>
          <w:szCs w:val="20"/>
        </w:rPr>
        <w:t>5）产品停车两年后，恢复生产。</w:t>
      </w:r>
    </w:p>
    <w:p>
      <w:pPr>
        <w:pStyle w:val="2"/>
        <w:ind w:right="0" w:rightChars="0"/>
        <w:jc w:val="left"/>
        <w:rPr>
          <w:sz w:val="21"/>
          <w:szCs w:val="20"/>
        </w:rPr>
      </w:pPr>
      <w:r>
        <w:rPr>
          <w:sz w:val="21"/>
          <w:szCs w:val="20"/>
        </w:rPr>
        <w:t>7.3.2 一体化污泥高效脱水处理设备</w:t>
      </w:r>
      <w:r>
        <w:rPr>
          <w:rFonts w:hint="eastAsia"/>
          <w:sz w:val="21"/>
          <w:szCs w:val="20"/>
          <w:lang w:val="en-US" w:eastAsia="zh-CN"/>
        </w:rPr>
        <w:t>成品</w:t>
      </w:r>
      <w:r>
        <w:rPr>
          <w:sz w:val="21"/>
          <w:szCs w:val="20"/>
        </w:rPr>
        <w:t>污泥含水率的测定宜在用户现场检验。</w:t>
      </w:r>
    </w:p>
    <w:p>
      <w:pPr>
        <w:pStyle w:val="59"/>
        <w:numPr>
          <w:ilvl w:val="0"/>
          <w:numId w:val="0"/>
        </w:numPr>
        <w:spacing w:before="156" w:after="156"/>
        <w:jc w:val="left"/>
        <w:outlineLvl w:val="2"/>
        <w:rPr>
          <w:rFonts w:ascii="Times New Roman"/>
        </w:rPr>
      </w:pPr>
      <w:r>
        <w:rPr>
          <w:rFonts w:ascii="Times New Roman"/>
        </w:rPr>
        <w:t>7.4 判定规则</w:t>
      </w:r>
    </w:p>
    <w:p>
      <w:pPr>
        <w:jc w:val="left"/>
        <w:rPr>
          <w:kern w:val="0"/>
          <w:szCs w:val="20"/>
        </w:rPr>
      </w:pPr>
      <w:r>
        <w:rPr>
          <w:kern w:val="0"/>
          <w:szCs w:val="20"/>
        </w:rPr>
        <w:t>7.4.1 出厂检验项目全部合格的产品为合格品。</w:t>
      </w:r>
    </w:p>
    <w:p>
      <w:pPr>
        <w:jc w:val="left"/>
        <w:rPr>
          <w:kern w:val="0"/>
          <w:szCs w:val="20"/>
        </w:rPr>
      </w:pPr>
      <w:r>
        <w:rPr>
          <w:kern w:val="0"/>
          <w:szCs w:val="20"/>
        </w:rPr>
        <w:t>7.4.2 任何一项不合格时，允许加倍抽样，对该项目进行复检。如仍不合格，则该产品型式检验为不合格。</w:t>
      </w:r>
    </w:p>
    <w:p>
      <w:pPr>
        <w:pStyle w:val="59"/>
        <w:numPr>
          <w:ilvl w:val="0"/>
          <w:numId w:val="0"/>
        </w:numPr>
        <w:spacing w:before="156" w:after="156"/>
        <w:jc w:val="left"/>
        <w:outlineLvl w:val="2"/>
        <w:rPr>
          <w:rFonts w:ascii="Times New Roman"/>
        </w:rPr>
      </w:pPr>
      <w:r>
        <w:rPr>
          <w:rFonts w:ascii="Times New Roman"/>
        </w:rPr>
        <w:t>7.5 检验项目</w:t>
      </w:r>
    </w:p>
    <w:p>
      <w:pPr>
        <w:pStyle w:val="58"/>
        <w:ind w:firstLine="420"/>
        <w:jc w:val="left"/>
        <w:rPr>
          <w:rFonts w:ascii="Times New Roman"/>
        </w:rPr>
      </w:pPr>
      <w:r>
        <w:rPr>
          <w:rFonts w:ascii="Times New Roman"/>
        </w:rPr>
        <w:t>出厂检验、型式检验应按表</w:t>
      </w:r>
      <w:r>
        <w:rPr>
          <w:rFonts w:hint="eastAsia" w:ascii="Times New Roman"/>
          <w:lang w:val="en-US" w:eastAsia="zh-CN"/>
        </w:rPr>
        <w:t>2</w:t>
      </w:r>
      <w:r>
        <w:rPr>
          <w:rFonts w:ascii="Times New Roman"/>
        </w:rPr>
        <w:t>的要求进行。</w:t>
      </w:r>
    </w:p>
    <w:p>
      <w:pPr>
        <w:pStyle w:val="58"/>
        <w:spacing w:before="156" w:beforeLines="50" w:after="156" w:afterLines="50"/>
        <w:ind w:firstLine="0" w:firstLineChars="0"/>
        <w:jc w:val="center"/>
        <w:rPr>
          <w:rFonts w:ascii="Times New Roman" w:eastAsia="黑体"/>
        </w:rPr>
      </w:pPr>
      <w:r>
        <w:rPr>
          <w:rFonts w:ascii="Times New Roman" w:eastAsia="黑体"/>
        </w:rPr>
        <w:t xml:space="preserve">表 </w:t>
      </w:r>
      <w:r>
        <w:rPr>
          <w:rFonts w:hint="eastAsia" w:ascii="Times New Roman" w:eastAsia="黑体"/>
          <w:lang w:val="en-US" w:eastAsia="zh-CN"/>
        </w:rPr>
        <w:t>2</w:t>
      </w:r>
      <w:r>
        <w:rPr>
          <w:rFonts w:ascii="Times New Roman" w:eastAsia="黑体"/>
        </w:rPr>
        <w:t xml:space="preserve"> 出厂检验、型式检验表</w:t>
      </w:r>
    </w:p>
    <w:tbl>
      <w:tblPr>
        <w:tblStyle w:val="3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6"/>
        <w:gridCol w:w="3410"/>
        <w:gridCol w:w="1736"/>
        <w:gridCol w:w="1328"/>
        <w:gridCol w:w="1088"/>
        <w:gridCol w:w="1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8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序号</w:t>
            </w:r>
          </w:p>
        </w:tc>
        <w:tc>
          <w:tcPr>
            <w:tcW w:w="3410"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检验项目</w:t>
            </w:r>
          </w:p>
        </w:tc>
        <w:tc>
          <w:tcPr>
            <w:tcW w:w="173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技术要求条款</w:t>
            </w:r>
          </w:p>
        </w:tc>
        <w:tc>
          <w:tcPr>
            <w:tcW w:w="1328"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试验方法条款</w:t>
            </w:r>
          </w:p>
        </w:tc>
        <w:tc>
          <w:tcPr>
            <w:tcW w:w="1088"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出厂检验</w:t>
            </w:r>
          </w:p>
        </w:tc>
        <w:tc>
          <w:tcPr>
            <w:tcW w:w="1061"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型式检验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3410"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设备整机外观</w:t>
            </w:r>
          </w:p>
        </w:tc>
        <w:tc>
          <w:tcPr>
            <w:tcW w:w="173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5.1.1</w:t>
            </w:r>
          </w:p>
        </w:tc>
        <w:tc>
          <w:tcPr>
            <w:tcW w:w="1328"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6.1.1</w:t>
            </w:r>
          </w:p>
        </w:tc>
        <w:tc>
          <w:tcPr>
            <w:tcW w:w="1088"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61"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3410"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整机外形尺寸（长、宽、高）偏差</w:t>
            </w:r>
          </w:p>
        </w:tc>
        <w:tc>
          <w:tcPr>
            <w:tcW w:w="173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5.1.2</w:t>
            </w:r>
          </w:p>
        </w:tc>
        <w:tc>
          <w:tcPr>
            <w:tcW w:w="1328"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6.1.2</w:t>
            </w:r>
          </w:p>
        </w:tc>
        <w:tc>
          <w:tcPr>
            <w:tcW w:w="1088"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61"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3410"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整机位置尺寸（水平度、垂直度、标高）</w:t>
            </w:r>
          </w:p>
        </w:tc>
        <w:tc>
          <w:tcPr>
            <w:tcW w:w="1736" w:type="dxa"/>
            <w:vAlign w:val="center"/>
          </w:tcPr>
          <w:p>
            <w:pPr>
              <w:pStyle w:val="58"/>
              <w:spacing w:line="360" w:lineRule="auto"/>
              <w:ind w:firstLine="0" w:firstLineChars="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5.1.</w:t>
            </w:r>
            <w:r>
              <w:rPr>
                <w:rFonts w:hint="default" w:ascii="Times New Roman" w:hAnsi="Times New Roman" w:cs="Times New Roman"/>
                <w:sz w:val="18"/>
                <w:szCs w:val="18"/>
                <w:lang w:val="en-US" w:eastAsia="zh-CN"/>
              </w:rPr>
              <w:t>2</w:t>
            </w:r>
          </w:p>
        </w:tc>
        <w:tc>
          <w:tcPr>
            <w:tcW w:w="1328" w:type="dxa"/>
            <w:vAlign w:val="center"/>
          </w:tcPr>
          <w:p>
            <w:pPr>
              <w:pStyle w:val="58"/>
              <w:spacing w:line="360" w:lineRule="auto"/>
              <w:ind w:firstLine="0" w:firstLineChars="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6.1.</w:t>
            </w:r>
            <w:r>
              <w:rPr>
                <w:rFonts w:hint="default" w:ascii="Times New Roman" w:hAnsi="Times New Roman" w:cs="Times New Roman"/>
                <w:sz w:val="18"/>
                <w:szCs w:val="18"/>
                <w:lang w:val="en-US" w:eastAsia="zh-CN"/>
              </w:rPr>
              <w:t>2</w:t>
            </w:r>
          </w:p>
        </w:tc>
        <w:tc>
          <w:tcPr>
            <w:tcW w:w="1088"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61"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4</w:t>
            </w:r>
          </w:p>
        </w:tc>
        <w:tc>
          <w:tcPr>
            <w:tcW w:w="3410"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主动力输入系统平衡</w:t>
            </w:r>
          </w:p>
        </w:tc>
        <w:tc>
          <w:tcPr>
            <w:tcW w:w="173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5.3.1.1</w:t>
            </w:r>
          </w:p>
        </w:tc>
        <w:tc>
          <w:tcPr>
            <w:tcW w:w="1328" w:type="dxa"/>
            <w:vAlign w:val="center"/>
          </w:tcPr>
          <w:p>
            <w:pPr>
              <w:pStyle w:val="58"/>
              <w:spacing w:line="360" w:lineRule="auto"/>
              <w:ind w:firstLine="0" w:firstLineChars="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6.1.</w:t>
            </w:r>
            <w:r>
              <w:rPr>
                <w:rFonts w:hint="default" w:ascii="Times New Roman" w:hAnsi="Times New Roman" w:cs="Times New Roman"/>
                <w:sz w:val="18"/>
                <w:szCs w:val="18"/>
                <w:lang w:val="en-US" w:eastAsia="zh-CN"/>
              </w:rPr>
              <w:t>3</w:t>
            </w:r>
          </w:p>
        </w:tc>
        <w:tc>
          <w:tcPr>
            <w:tcW w:w="1088"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61"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3410" w:type="dxa"/>
            <w:vAlign w:val="center"/>
          </w:tcPr>
          <w:p>
            <w:pPr>
              <w:pStyle w:val="58"/>
              <w:spacing w:line="36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污泥进料机构负荷调节</w:t>
            </w:r>
          </w:p>
        </w:tc>
        <w:tc>
          <w:tcPr>
            <w:tcW w:w="1736" w:type="dxa"/>
            <w:vAlign w:val="center"/>
          </w:tcPr>
          <w:p>
            <w:pPr>
              <w:pStyle w:val="58"/>
              <w:spacing w:line="36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5.1.3.1</w:t>
            </w:r>
          </w:p>
        </w:tc>
        <w:tc>
          <w:tcPr>
            <w:tcW w:w="1328" w:type="dxa"/>
            <w:vAlign w:val="center"/>
          </w:tcPr>
          <w:p>
            <w:pPr>
              <w:pStyle w:val="58"/>
              <w:spacing w:line="360" w:lineRule="auto"/>
              <w:ind w:firstLine="0" w:firstLineChars="0"/>
              <w:jc w:val="center"/>
              <w:rPr>
                <w:rFonts w:hint="default" w:ascii="Times New Roman" w:hAnsi="Times New Roman" w:eastAsia="宋体" w:cs="Times New Roman"/>
                <w:sz w:val="18"/>
                <w:szCs w:val="18"/>
                <w:highlight w:val="none"/>
                <w:lang w:eastAsia="zh-CN"/>
              </w:rPr>
            </w:pPr>
            <w:r>
              <w:rPr>
                <w:rFonts w:hint="default" w:ascii="Times New Roman" w:hAnsi="Times New Roman" w:cs="Times New Roman"/>
                <w:sz w:val="18"/>
                <w:szCs w:val="18"/>
                <w:highlight w:val="none"/>
              </w:rPr>
              <w:t>6.1.</w:t>
            </w:r>
            <w:r>
              <w:rPr>
                <w:rFonts w:hint="default" w:ascii="Times New Roman" w:hAnsi="Times New Roman" w:cs="Times New Roman"/>
                <w:sz w:val="18"/>
                <w:szCs w:val="18"/>
                <w:highlight w:val="none"/>
                <w:lang w:val="en-US" w:eastAsia="zh-CN"/>
              </w:rPr>
              <w:t>4</w:t>
            </w:r>
          </w:p>
        </w:tc>
        <w:tc>
          <w:tcPr>
            <w:tcW w:w="1088"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61"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6</w:t>
            </w:r>
          </w:p>
        </w:tc>
        <w:tc>
          <w:tcPr>
            <w:tcW w:w="3410"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燃烧器安全保护</w:t>
            </w:r>
          </w:p>
        </w:tc>
        <w:tc>
          <w:tcPr>
            <w:tcW w:w="173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5.3.1.</w:t>
            </w:r>
            <w:r>
              <w:rPr>
                <w:rFonts w:hint="default" w:ascii="Times New Roman" w:hAnsi="Times New Roman" w:cs="Times New Roman"/>
                <w:sz w:val="18"/>
                <w:szCs w:val="18"/>
                <w:lang w:val="en-US" w:eastAsia="zh-CN"/>
              </w:rPr>
              <w:t>5</w:t>
            </w:r>
          </w:p>
        </w:tc>
        <w:tc>
          <w:tcPr>
            <w:tcW w:w="1328" w:type="dxa"/>
            <w:vAlign w:val="center"/>
          </w:tcPr>
          <w:p>
            <w:pPr>
              <w:pStyle w:val="58"/>
              <w:spacing w:line="360" w:lineRule="auto"/>
              <w:ind w:firstLine="0" w:firstLineChars="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6.1.</w:t>
            </w:r>
            <w:r>
              <w:rPr>
                <w:rFonts w:hint="default" w:ascii="Times New Roman" w:hAnsi="Times New Roman" w:cs="Times New Roman"/>
                <w:sz w:val="18"/>
                <w:szCs w:val="18"/>
                <w:lang w:val="en-US" w:eastAsia="zh-CN"/>
              </w:rPr>
              <w:t>5</w:t>
            </w:r>
          </w:p>
        </w:tc>
        <w:tc>
          <w:tcPr>
            <w:tcW w:w="1088"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61"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7</w:t>
            </w:r>
          </w:p>
        </w:tc>
        <w:tc>
          <w:tcPr>
            <w:tcW w:w="3410"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燃烧器点火试验</w:t>
            </w:r>
          </w:p>
        </w:tc>
        <w:tc>
          <w:tcPr>
            <w:tcW w:w="1736" w:type="dxa"/>
            <w:vAlign w:val="center"/>
          </w:tcPr>
          <w:p>
            <w:pPr>
              <w:pStyle w:val="58"/>
              <w:spacing w:line="360" w:lineRule="auto"/>
              <w:ind w:firstLine="0" w:firstLineChars="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5.3.1.</w:t>
            </w:r>
            <w:r>
              <w:rPr>
                <w:rFonts w:hint="default" w:ascii="Times New Roman" w:hAnsi="Times New Roman" w:cs="Times New Roman"/>
                <w:sz w:val="18"/>
                <w:szCs w:val="18"/>
                <w:lang w:val="en-US" w:eastAsia="zh-CN"/>
              </w:rPr>
              <w:t>5</w:t>
            </w:r>
          </w:p>
        </w:tc>
        <w:tc>
          <w:tcPr>
            <w:tcW w:w="1328" w:type="dxa"/>
            <w:vAlign w:val="center"/>
          </w:tcPr>
          <w:p>
            <w:pPr>
              <w:pStyle w:val="58"/>
              <w:spacing w:line="360" w:lineRule="auto"/>
              <w:ind w:firstLine="0" w:firstLineChars="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6.1.</w:t>
            </w:r>
            <w:r>
              <w:rPr>
                <w:rFonts w:hint="default" w:ascii="Times New Roman" w:hAnsi="Times New Roman" w:cs="Times New Roman"/>
                <w:sz w:val="18"/>
                <w:szCs w:val="18"/>
                <w:lang w:val="en-US" w:eastAsia="zh-CN"/>
              </w:rPr>
              <w:t>6</w:t>
            </w:r>
          </w:p>
        </w:tc>
        <w:tc>
          <w:tcPr>
            <w:tcW w:w="1088"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61"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8</w:t>
            </w:r>
          </w:p>
        </w:tc>
        <w:tc>
          <w:tcPr>
            <w:tcW w:w="3410"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设备供能系统负荷调节</w:t>
            </w:r>
          </w:p>
        </w:tc>
        <w:tc>
          <w:tcPr>
            <w:tcW w:w="173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5.1.4.1</w:t>
            </w:r>
          </w:p>
        </w:tc>
        <w:tc>
          <w:tcPr>
            <w:tcW w:w="1328" w:type="dxa"/>
            <w:vAlign w:val="center"/>
          </w:tcPr>
          <w:p>
            <w:pPr>
              <w:pStyle w:val="58"/>
              <w:spacing w:line="360" w:lineRule="auto"/>
              <w:ind w:firstLine="0" w:firstLineChars="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6.1.</w:t>
            </w:r>
            <w:r>
              <w:rPr>
                <w:rFonts w:hint="default" w:ascii="Times New Roman" w:hAnsi="Times New Roman" w:cs="Times New Roman"/>
                <w:sz w:val="18"/>
                <w:szCs w:val="18"/>
                <w:lang w:val="en-US" w:eastAsia="zh-CN"/>
              </w:rPr>
              <w:t>7</w:t>
            </w:r>
          </w:p>
        </w:tc>
        <w:tc>
          <w:tcPr>
            <w:tcW w:w="1088"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61"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9</w:t>
            </w:r>
          </w:p>
        </w:tc>
        <w:tc>
          <w:tcPr>
            <w:tcW w:w="3410"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废气排放达标值</w:t>
            </w:r>
          </w:p>
        </w:tc>
        <w:tc>
          <w:tcPr>
            <w:tcW w:w="173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5.3.2.2.1</w:t>
            </w:r>
          </w:p>
        </w:tc>
        <w:tc>
          <w:tcPr>
            <w:tcW w:w="1328" w:type="dxa"/>
            <w:vAlign w:val="center"/>
          </w:tcPr>
          <w:p>
            <w:pPr>
              <w:pStyle w:val="58"/>
              <w:spacing w:line="360" w:lineRule="auto"/>
              <w:ind w:firstLine="0" w:firstLineChars="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6.1.1</w:t>
            </w:r>
            <w:r>
              <w:rPr>
                <w:rFonts w:hint="default" w:ascii="Times New Roman" w:hAnsi="Times New Roman" w:cs="Times New Roman"/>
                <w:sz w:val="18"/>
                <w:szCs w:val="18"/>
                <w:lang w:val="en-US" w:eastAsia="zh-CN"/>
              </w:rPr>
              <w:t>1</w:t>
            </w:r>
          </w:p>
        </w:tc>
        <w:tc>
          <w:tcPr>
            <w:tcW w:w="1088"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61"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10</w:t>
            </w:r>
          </w:p>
        </w:tc>
        <w:tc>
          <w:tcPr>
            <w:tcW w:w="3410"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整机温控</w:t>
            </w:r>
          </w:p>
        </w:tc>
        <w:tc>
          <w:tcPr>
            <w:tcW w:w="1736" w:type="dxa"/>
            <w:vAlign w:val="center"/>
          </w:tcPr>
          <w:p>
            <w:pPr>
              <w:pStyle w:val="58"/>
              <w:spacing w:line="360" w:lineRule="auto"/>
              <w:ind w:firstLine="0" w:firstLineChars="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5.1.</w:t>
            </w:r>
            <w:r>
              <w:rPr>
                <w:rFonts w:hint="default" w:ascii="Times New Roman" w:hAnsi="Times New Roman" w:cs="Times New Roman"/>
                <w:sz w:val="18"/>
                <w:szCs w:val="18"/>
                <w:lang w:val="en-US" w:eastAsia="zh-CN"/>
              </w:rPr>
              <w:t>5</w:t>
            </w:r>
          </w:p>
        </w:tc>
        <w:tc>
          <w:tcPr>
            <w:tcW w:w="1328" w:type="dxa"/>
            <w:vAlign w:val="center"/>
          </w:tcPr>
          <w:p>
            <w:pPr>
              <w:pStyle w:val="58"/>
              <w:spacing w:line="360" w:lineRule="auto"/>
              <w:ind w:firstLine="0" w:firstLineChars="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6.1.</w:t>
            </w:r>
            <w:r>
              <w:rPr>
                <w:rFonts w:hint="default" w:ascii="Times New Roman" w:hAnsi="Times New Roman" w:cs="Times New Roman"/>
                <w:sz w:val="18"/>
                <w:szCs w:val="18"/>
                <w:lang w:val="en-US" w:eastAsia="zh-CN"/>
              </w:rPr>
              <w:t>8</w:t>
            </w:r>
          </w:p>
        </w:tc>
        <w:tc>
          <w:tcPr>
            <w:tcW w:w="1088"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61"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11</w:t>
            </w:r>
          </w:p>
        </w:tc>
        <w:tc>
          <w:tcPr>
            <w:tcW w:w="3410"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电气安全控制</w:t>
            </w:r>
          </w:p>
        </w:tc>
        <w:tc>
          <w:tcPr>
            <w:tcW w:w="1736" w:type="dxa"/>
            <w:vAlign w:val="center"/>
          </w:tcPr>
          <w:p>
            <w:pPr>
              <w:pStyle w:val="58"/>
              <w:spacing w:line="360" w:lineRule="auto"/>
              <w:ind w:firstLine="0" w:firstLineChars="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5.1.</w:t>
            </w:r>
            <w:r>
              <w:rPr>
                <w:rFonts w:hint="default" w:ascii="Times New Roman" w:hAnsi="Times New Roman" w:cs="Times New Roman"/>
                <w:sz w:val="18"/>
                <w:szCs w:val="18"/>
                <w:lang w:val="en-US" w:eastAsia="zh-CN"/>
              </w:rPr>
              <w:t>6</w:t>
            </w:r>
            <w:r>
              <w:rPr>
                <w:rFonts w:hint="default" w:ascii="Times New Roman" w:hAnsi="Times New Roman" w:cs="Times New Roman"/>
                <w:sz w:val="18"/>
                <w:szCs w:val="18"/>
              </w:rPr>
              <w:t>、5.</w:t>
            </w:r>
            <w:r>
              <w:rPr>
                <w:rFonts w:hint="default" w:ascii="Times New Roman" w:hAnsi="Times New Roman" w:cs="Times New Roman"/>
                <w:sz w:val="18"/>
                <w:szCs w:val="18"/>
                <w:lang w:val="en-US" w:eastAsia="zh-CN"/>
              </w:rPr>
              <w:t>3</w:t>
            </w: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1</w:t>
            </w:r>
          </w:p>
        </w:tc>
        <w:tc>
          <w:tcPr>
            <w:tcW w:w="1328" w:type="dxa"/>
            <w:vAlign w:val="center"/>
          </w:tcPr>
          <w:p>
            <w:pPr>
              <w:pStyle w:val="58"/>
              <w:spacing w:line="360" w:lineRule="auto"/>
              <w:ind w:firstLine="0" w:firstLineChars="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6.1.</w:t>
            </w:r>
            <w:r>
              <w:rPr>
                <w:rFonts w:hint="default" w:ascii="Times New Roman" w:hAnsi="Times New Roman" w:cs="Times New Roman"/>
                <w:sz w:val="18"/>
                <w:szCs w:val="18"/>
                <w:lang w:val="en-US" w:eastAsia="zh-CN"/>
              </w:rPr>
              <w:t>9</w:t>
            </w:r>
          </w:p>
        </w:tc>
        <w:tc>
          <w:tcPr>
            <w:tcW w:w="1088"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61"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12</w:t>
            </w:r>
          </w:p>
        </w:tc>
        <w:tc>
          <w:tcPr>
            <w:tcW w:w="3410"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整机防爆装置</w:t>
            </w:r>
          </w:p>
        </w:tc>
        <w:tc>
          <w:tcPr>
            <w:tcW w:w="173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5.3.1.</w:t>
            </w:r>
            <w:r>
              <w:rPr>
                <w:rFonts w:hint="default" w:ascii="Times New Roman" w:hAnsi="Times New Roman" w:cs="Times New Roman"/>
                <w:sz w:val="18"/>
                <w:szCs w:val="18"/>
                <w:lang w:val="en-US" w:eastAsia="zh-CN"/>
              </w:rPr>
              <w:t>4</w:t>
            </w:r>
            <w:r>
              <w:rPr>
                <w:rFonts w:hint="default" w:ascii="Times New Roman" w:hAnsi="Times New Roman" w:cs="Times New Roman"/>
                <w:sz w:val="18"/>
                <w:szCs w:val="18"/>
              </w:rPr>
              <w:t xml:space="preserve"> </w:t>
            </w:r>
          </w:p>
        </w:tc>
        <w:tc>
          <w:tcPr>
            <w:tcW w:w="1328" w:type="dxa"/>
            <w:vAlign w:val="center"/>
          </w:tcPr>
          <w:p>
            <w:pPr>
              <w:pStyle w:val="58"/>
              <w:spacing w:line="360" w:lineRule="auto"/>
              <w:ind w:firstLine="0" w:firstLineChars="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6.1.1</w:t>
            </w:r>
            <w:r>
              <w:rPr>
                <w:rFonts w:hint="default" w:ascii="Times New Roman" w:hAnsi="Times New Roman" w:cs="Times New Roman"/>
                <w:sz w:val="18"/>
                <w:szCs w:val="18"/>
                <w:lang w:val="en-US" w:eastAsia="zh-CN"/>
              </w:rPr>
              <w:t>0</w:t>
            </w:r>
          </w:p>
        </w:tc>
        <w:tc>
          <w:tcPr>
            <w:tcW w:w="1088"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61"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13</w:t>
            </w:r>
          </w:p>
        </w:tc>
        <w:tc>
          <w:tcPr>
            <w:tcW w:w="3410"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整机噪声</w:t>
            </w:r>
          </w:p>
        </w:tc>
        <w:tc>
          <w:tcPr>
            <w:tcW w:w="173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5.3.2.4</w:t>
            </w:r>
          </w:p>
        </w:tc>
        <w:tc>
          <w:tcPr>
            <w:tcW w:w="1328"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6.1.12</w:t>
            </w:r>
          </w:p>
        </w:tc>
        <w:tc>
          <w:tcPr>
            <w:tcW w:w="1088"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61"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14</w:t>
            </w:r>
          </w:p>
        </w:tc>
        <w:tc>
          <w:tcPr>
            <w:tcW w:w="3410"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成品污泥含水率</w:t>
            </w:r>
          </w:p>
        </w:tc>
        <w:tc>
          <w:tcPr>
            <w:tcW w:w="1736"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5.2.2</w:t>
            </w:r>
          </w:p>
        </w:tc>
        <w:tc>
          <w:tcPr>
            <w:tcW w:w="1328" w:type="dxa"/>
            <w:vAlign w:val="center"/>
          </w:tcPr>
          <w:p>
            <w:pPr>
              <w:pStyle w:val="58"/>
              <w:spacing w:line="360" w:lineRule="auto"/>
              <w:ind w:firstLine="0" w:firstLineChars="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6.1.1</w:t>
            </w:r>
            <w:r>
              <w:rPr>
                <w:rFonts w:hint="default" w:ascii="Times New Roman" w:hAnsi="Times New Roman" w:cs="Times New Roman"/>
                <w:sz w:val="18"/>
                <w:szCs w:val="18"/>
                <w:lang w:val="en-US" w:eastAsia="zh-CN"/>
              </w:rPr>
              <w:t>3</w:t>
            </w:r>
          </w:p>
        </w:tc>
        <w:tc>
          <w:tcPr>
            <w:tcW w:w="1088"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61" w:type="dxa"/>
            <w:vAlign w:val="center"/>
          </w:tcPr>
          <w:p>
            <w:pPr>
              <w:pStyle w:val="58"/>
              <w:spacing w:line="36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09" w:type="dxa"/>
            <w:gridSpan w:val="6"/>
            <w:vAlign w:val="center"/>
          </w:tcPr>
          <w:p>
            <w:pPr>
              <w:pStyle w:val="58"/>
              <w:spacing w:line="360" w:lineRule="auto"/>
              <w:ind w:firstLine="0" w:firstLineChars="0"/>
              <w:jc w:val="left"/>
              <w:rPr>
                <w:rFonts w:hint="default" w:ascii="Times New Roman" w:hAnsi="Times New Roman" w:cs="Times New Roman"/>
                <w:sz w:val="18"/>
                <w:szCs w:val="18"/>
              </w:rPr>
            </w:pPr>
            <w:r>
              <w:rPr>
                <w:rFonts w:hint="default" w:ascii="Times New Roman" w:hAnsi="Times New Roman" w:cs="Times New Roman"/>
                <w:sz w:val="18"/>
                <w:szCs w:val="18"/>
              </w:rPr>
              <w:t>注：“△”表示必须检验项，“○”表示可选检验项。</w:t>
            </w:r>
          </w:p>
        </w:tc>
      </w:tr>
    </w:tbl>
    <w:p>
      <w:pPr>
        <w:pStyle w:val="59"/>
        <w:keepNext w:val="0"/>
        <w:keepLines w:val="0"/>
        <w:pageBreakBefore w:val="0"/>
        <w:widowControl/>
        <w:numPr>
          <w:ilvl w:val="0"/>
          <w:numId w:val="0"/>
        </w:numPr>
        <w:kinsoku/>
        <w:wordWrap/>
        <w:overflowPunct/>
        <w:topLinePunct w:val="0"/>
        <w:autoSpaceDE/>
        <w:autoSpaceDN/>
        <w:bidi w:val="0"/>
        <w:adjustRightInd/>
        <w:snapToGrid/>
        <w:spacing w:before="312" w:beforeLines="100" w:after="312" w:afterLines="100"/>
        <w:jc w:val="left"/>
        <w:textAlignment w:val="auto"/>
        <w:outlineLvl w:val="0"/>
        <w:rPr>
          <w:rFonts w:ascii="Times New Roman"/>
        </w:rPr>
      </w:pPr>
      <w:bookmarkStart w:id="16" w:name="_Toc18397"/>
      <w:r>
        <w:rPr>
          <w:rFonts w:ascii="Times New Roman"/>
        </w:rPr>
        <w:t>8标志、包装、运输和贮存</w:t>
      </w:r>
      <w:bookmarkEnd w:id="16"/>
    </w:p>
    <w:p>
      <w:pPr>
        <w:pStyle w:val="59"/>
        <w:numPr>
          <w:ilvl w:val="0"/>
          <w:numId w:val="0"/>
        </w:numPr>
        <w:spacing w:before="156" w:after="156"/>
        <w:jc w:val="left"/>
        <w:outlineLvl w:val="2"/>
        <w:rPr>
          <w:rFonts w:ascii="Times New Roman"/>
        </w:rPr>
      </w:pPr>
      <w:r>
        <w:rPr>
          <w:rFonts w:ascii="Times New Roman"/>
        </w:rPr>
        <w:t>8.1 标志</w:t>
      </w:r>
    </w:p>
    <w:p>
      <w:pPr>
        <w:pStyle w:val="2"/>
        <w:ind w:right="0" w:rightChars="0"/>
        <w:jc w:val="left"/>
        <w:rPr>
          <w:sz w:val="21"/>
          <w:szCs w:val="24"/>
        </w:rPr>
      </w:pPr>
      <w:r>
        <w:rPr>
          <w:sz w:val="21"/>
          <w:szCs w:val="24"/>
        </w:rPr>
        <w:t>8.1.1一体化污泥高效脱水处理设备包装运输标志应符合GB/T 191 、GB/T 6388的规定。</w:t>
      </w:r>
    </w:p>
    <w:p>
      <w:pPr>
        <w:pStyle w:val="58"/>
        <w:ind w:firstLine="0" w:firstLineChars="0"/>
        <w:jc w:val="left"/>
        <w:rPr>
          <w:rFonts w:ascii="Times New Roman"/>
          <w:kern w:val="2"/>
          <w:szCs w:val="24"/>
        </w:rPr>
      </w:pPr>
      <w:r>
        <w:rPr>
          <w:rFonts w:ascii="Times New Roman" w:eastAsia="黑体"/>
        </w:rPr>
        <w:t>8.1.2</w:t>
      </w:r>
      <w:r>
        <w:rPr>
          <w:rFonts w:hint="eastAsia" w:ascii="Times New Roman" w:eastAsia="黑体"/>
          <w:lang w:val="en-US" w:eastAsia="zh-CN"/>
        </w:rPr>
        <w:t xml:space="preserve"> </w:t>
      </w:r>
      <w:r>
        <w:rPr>
          <w:rFonts w:ascii="Times New Roman"/>
          <w:kern w:val="2"/>
          <w:szCs w:val="24"/>
        </w:rPr>
        <w:t>一体化污泥高效脱水处理设备应在明显部</w:t>
      </w:r>
      <w:r>
        <w:rPr>
          <w:rFonts w:ascii="Times New Roman"/>
          <w:kern w:val="2"/>
          <w:szCs w:val="24"/>
          <w:highlight w:val="none"/>
        </w:rPr>
        <w:t>位固定耐久性产品</w:t>
      </w:r>
      <w:r>
        <w:rPr>
          <w:rFonts w:hint="eastAsia" w:ascii="Times New Roman"/>
          <w:kern w:val="2"/>
          <w:szCs w:val="24"/>
          <w:highlight w:val="none"/>
        </w:rPr>
        <w:t>标牌</w:t>
      </w:r>
      <w:r>
        <w:rPr>
          <w:rFonts w:ascii="Times New Roman"/>
          <w:kern w:val="2"/>
          <w:szCs w:val="24"/>
        </w:rPr>
        <w:t>，</w:t>
      </w:r>
      <w:r>
        <w:rPr>
          <w:rFonts w:hint="eastAsia" w:ascii="Times New Roman"/>
          <w:kern w:val="2"/>
          <w:szCs w:val="24"/>
          <w:lang w:val="en-US" w:eastAsia="zh-CN"/>
        </w:rPr>
        <w:t>并</w:t>
      </w:r>
      <w:r>
        <w:rPr>
          <w:rFonts w:ascii="Times New Roman"/>
          <w:kern w:val="2"/>
          <w:szCs w:val="24"/>
        </w:rPr>
        <w:t>符合GB/T 13306、JB/T 4333.2的规定</w:t>
      </w:r>
      <w:r>
        <w:rPr>
          <w:rFonts w:hint="eastAsia" w:ascii="Times New Roman"/>
          <w:kern w:val="2"/>
          <w:szCs w:val="24"/>
          <w:lang w:eastAsia="zh-CN"/>
        </w:rPr>
        <w:t>，</w:t>
      </w:r>
      <w:r>
        <w:rPr>
          <w:rFonts w:hint="eastAsia" w:ascii="Times New Roman"/>
          <w:kern w:val="2"/>
          <w:szCs w:val="24"/>
          <w:lang w:val="en-US" w:eastAsia="zh-CN"/>
        </w:rPr>
        <w:t>标牌</w:t>
      </w:r>
      <w:r>
        <w:rPr>
          <w:rFonts w:ascii="Times New Roman"/>
          <w:kern w:val="2"/>
          <w:szCs w:val="24"/>
        </w:rPr>
        <w:t>内容应包括：</w:t>
      </w:r>
    </w:p>
    <w:p>
      <w:pPr>
        <w:pStyle w:val="58"/>
        <w:ind w:firstLine="420"/>
        <w:jc w:val="left"/>
        <w:rPr>
          <w:rFonts w:ascii="Times New Roman"/>
          <w:kern w:val="2"/>
          <w:szCs w:val="24"/>
        </w:rPr>
      </w:pPr>
      <w:r>
        <w:rPr>
          <w:rFonts w:ascii="Times New Roman"/>
          <w:kern w:val="2"/>
          <w:szCs w:val="24"/>
        </w:rPr>
        <w:t>1）制造单位全称、厂址、商标；</w:t>
      </w:r>
    </w:p>
    <w:p>
      <w:pPr>
        <w:pStyle w:val="58"/>
        <w:ind w:firstLine="420"/>
        <w:jc w:val="left"/>
        <w:rPr>
          <w:rFonts w:ascii="Times New Roman"/>
          <w:kern w:val="2"/>
          <w:szCs w:val="24"/>
        </w:rPr>
      </w:pPr>
      <w:r>
        <w:rPr>
          <w:rFonts w:ascii="Times New Roman"/>
          <w:kern w:val="2"/>
          <w:szCs w:val="24"/>
        </w:rPr>
        <w:t>2）产品型号、名称、产品编号；</w:t>
      </w:r>
    </w:p>
    <w:p>
      <w:pPr>
        <w:pStyle w:val="58"/>
        <w:ind w:firstLine="420"/>
        <w:jc w:val="left"/>
        <w:rPr>
          <w:rFonts w:ascii="Times New Roman"/>
          <w:kern w:val="2"/>
          <w:szCs w:val="24"/>
        </w:rPr>
      </w:pPr>
      <w:r>
        <w:rPr>
          <w:rFonts w:ascii="Times New Roman"/>
          <w:kern w:val="2"/>
          <w:szCs w:val="24"/>
        </w:rPr>
        <w:t>3）</w:t>
      </w:r>
      <w:r>
        <w:rPr>
          <w:rFonts w:hint="eastAsia" w:ascii="Times New Roman"/>
          <w:kern w:val="2"/>
          <w:szCs w:val="24"/>
          <w:lang w:val="en-US" w:eastAsia="zh-CN"/>
        </w:rPr>
        <w:t>处理规模</w:t>
      </w:r>
      <w:r>
        <w:rPr>
          <w:rFonts w:ascii="Times New Roman"/>
          <w:kern w:val="2"/>
          <w:szCs w:val="24"/>
        </w:rPr>
        <w:t>（t/d）；</w:t>
      </w:r>
    </w:p>
    <w:p>
      <w:pPr>
        <w:pStyle w:val="58"/>
        <w:ind w:firstLine="420"/>
        <w:jc w:val="left"/>
        <w:rPr>
          <w:rFonts w:ascii="Times New Roman"/>
          <w:kern w:val="2"/>
          <w:szCs w:val="24"/>
        </w:rPr>
      </w:pPr>
      <w:r>
        <w:rPr>
          <w:rFonts w:ascii="Times New Roman"/>
          <w:kern w:val="2"/>
          <w:szCs w:val="24"/>
        </w:rPr>
        <w:t>4）天然气额定消耗量（m³）。</w:t>
      </w:r>
    </w:p>
    <w:p>
      <w:pPr>
        <w:pStyle w:val="58"/>
        <w:ind w:firstLine="0" w:firstLineChars="0"/>
        <w:jc w:val="left"/>
        <w:rPr>
          <w:rFonts w:hint="eastAsia" w:ascii="Times New Roman" w:eastAsia="宋体"/>
          <w:kern w:val="2"/>
          <w:szCs w:val="24"/>
          <w:lang w:eastAsia="zh-CN"/>
        </w:rPr>
      </w:pPr>
      <w:r>
        <w:rPr>
          <w:rFonts w:ascii="Times New Roman" w:eastAsia="黑体"/>
        </w:rPr>
        <w:t>8.1.3</w:t>
      </w:r>
      <w:r>
        <w:rPr>
          <w:rFonts w:hint="eastAsia" w:ascii="Times New Roman" w:eastAsia="黑体"/>
          <w:lang w:val="en-US" w:eastAsia="zh-CN"/>
        </w:rPr>
        <w:t xml:space="preserve"> </w:t>
      </w:r>
      <w:r>
        <w:rPr>
          <w:rFonts w:ascii="Times New Roman"/>
          <w:kern w:val="2"/>
          <w:szCs w:val="24"/>
        </w:rPr>
        <w:t>一体化污泥高效脱水处理设备应在包装明显</w:t>
      </w:r>
      <w:r>
        <w:rPr>
          <w:rFonts w:hint="eastAsia" w:ascii="Times New Roman"/>
          <w:kern w:val="2"/>
          <w:szCs w:val="24"/>
        </w:rPr>
        <w:t>位置</w:t>
      </w:r>
      <w:r>
        <w:rPr>
          <w:rFonts w:ascii="Times New Roman"/>
          <w:kern w:val="2"/>
          <w:szCs w:val="24"/>
        </w:rPr>
        <w:t>设置安全标志，</w:t>
      </w:r>
      <w:r>
        <w:rPr>
          <w:rFonts w:hint="eastAsia" w:ascii="Times New Roman"/>
          <w:kern w:val="2"/>
          <w:szCs w:val="24"/>
        </w:rPr>
        <w:t>安全</w:t>
      </w:r>
      <w:r>
        <w:rPr>
          <w:rFonts w:ascii="Times New Roman"/>
          <w:kern w:val="2"/>
          <w:szCs w:val="24"/>
        </w:rPr>
        <w:t>标志在化学腐蚀下应清晰耐久</w:t>
      </w:r>
      <w:r>
        <w:rPr>
          <w:rFonts w:hint="eastAsia" w:ascii="Times New Roman"/>
          <w:kern w:val="2"/>
          <w:szCs w:val="24"/>
        </w:rPr>
        <w:t>，并</w:t>
      </w:r>
      <w:r>
        <w:rPr>
          <w:rFonts w:ascii="Times New Roman"/>
          <w:kern w:val="2"/>
          <w:szCs w:val="24"/>
        </w:rPr>
        <w:t>符合GB 2894的规定</w:t>
      </w:r>
      <w:r>
        <w:rPr>
          <w:rFonts w:hint="eastAsia" w:ascii="Times New Roman"/>
          <w:kern w:val="2"/>
          <w:szCs w:val="24"/>
          <w:lang w:eastAsia="zh-CN"/>
        </w:rPr>
        <w:t>。</w:t>
      </w:r>
    </w:p>
    <w:p>
      <w:pPr>
        <w:pStyle w:val="58"/>
        <w:ind w:firstLine="0" w:firstLineChars="0"/>
        <w:jc w:val="left"/>
        <w:rPr>
          <w:rFonts w:ascii="Times New Roman"/>
          <w:kern w:val="2"/>
          <w:szCs w:val="24"/>
        </w:rPr>
      </w:pPr>
      <w:r>
        <w:rPr>
          <w:rFonts w:ascii="Times New Roman" w:eastAsia="黑体"/>
        </w:rPr>
        <w:t>8.1.</w:t>
      </w:r>
      <w:r>
        <w:rPr>
          <w:rFonts w:hint="eastAsia" w:ascii="Times New Roman" w:eastAsia="黑体"/>
        </w:rPr>
        <w:t>4</w:t>
      </w:r>
      <w:r>
        <w:rPr>
          <w:rFonts w:hint="eastAsia" w:ascii="Times New Roman" w:eastAsia="黑体"/>
          <w:lang w:val="en-US" w:eastAsia="zh-CN"/>
        </w:rPr>
        <w:t xml:space="preserve"> </w:t>
      </w:r>
      <w:r>
        <w:rPr>
          <w:rFonts w:ascii="Times New Roman" w:eastAsiaTheme="majorEastAsia"/>
        </w:rPr>
        <w:t>一体化污泥高效脱水处理设备使用说明书</w:t>
      </w:r>
      <w:r>
        <w:rPr>
          <w:rFonts w:ascii="Times New Roman"/>
          <w:kern w:val="2"/>
          <w:szCs w:val="24"/>
        </w:rPr>
        <w:t>应符合GB/T 9969的规定</w:t>
      </w:r>
      <w:r>
        <w:rPr>
          <w:rFonts w:hint="eastAsia" w:ascii="Times New Roman"/>
          <w:kern w:val="2"/>
          <w:szCs w:val="24"/>
        </w:rPr>
        <w:t>，说明书中</w:t>
      </w:r>
      <w:r>
        <w:rPr>
          <w:rFonts w:hint="eastAsia" w:eastAsiaTheme="majorEastAsia"/>
        </w:rPr>
        <w:t>应有</w:t>
      </w:r>
      <w:r>
        <w:rPr>
          <w:rFonts w:ascii="Times New Roman" w:eastAsiaTheme="majorEastAsia"/>
        </w:rPr>
        <w:t>燃烧器点火性能检测</w:t>
      </w:r>
      <w:r>
        <w:rPr>
          <w:rFonts w:hint="eastAsia" w:ascii="Times New Roman" w:eastAsiaTheme="majorEastAsia"/>
        </w:rPr>
        <w:t>的说明</w:t>
      </w:r>
      <w:r>
        <w:rPr>
          <w:rFonts w:ascii="Times New Roman" w:eastAsiaTheme="majorEastAsia"/>
        </w:rPr>
        <w:t>。</w:t>
      </w:r>
    </w:p>
    <w:p>
      <w:pPr>
        <w:pStyle w:val="59"/>
        <w:numPr>
          <w:ilvl w:val="0"/>
          <w:numId w:val="0"/>
        </w:numPr>
        <w:spacing w:before="156" w:after="156"/>
        <w:jc w:val="left"/>
        <w:outlineLvl w:val="2"/>
        <w:rPr>
          <w:rFonts w:ascii="Times New Roman"/>
        </w:rPr>
      </w:pPr>
      <w:r>
        <w:rPr>
          <w:rFonts w:ascii="Times New Roman"/>
        </w:rPr>
        <w:t>8.2 包装</w:t>
      </w:r>
    </w:p>
    <w:p>
      <w:pPr>
        <w:pStyle w:val="58"/>
        <w:ind w:firstLine="0" w:firstLineChars="0"/>
        <w:jc w:val="left"/>
        <w:rPr>
          <w:rFonts w:ascii="Times New Roman" w:eastAsia="黑体"/>
          <w:highlight w:val="none"/>
        </w:rPr>
      </w:pPr>
      <w:r>
        <w:rPr>
          <w:rFonts w:ascii="Times New Roman" w:eastAsia="黑体"/>
          <w:highlight w:val="none"/>
        </w:rPr>
        <w:t xml:space="preserve">8.2.1 </w:t>
      </w:r>
      <w:r>
        <w:rPr>
          <w:rFonts w:ascii="Times New Roman"/>
          <w:kern w:val="2"/>
          <w:szCs w:val="24"/>
          <w:highlight w:val="none"/>
        </w:rPr>
        <w:t>一体化污泥高效脱水处理设备包装宜采用绿色环保、可循环可再利用的材料</w:t>
      </w:r>
      <w:r>
        <w:rPr>
          <w:rFonts w:hint="eastAsia" w:ascii="Times New Roman"/>
          <w:kern w:val="2"/>
          <w:szCs w:val="24"/>
          <w:highlight w:val="none"/>
          <w:lang w:eastAsia="zh-CN"/>
        </w:rPr>
        <w:t>，</w:t>
      </w:r>
      <w:r>
        <w:rPr>
          <w:rFonts w:hint="eastAsia" w:ascii="Times New Roman"/>
          <w:kern w:val="2"/>
          <w:szCs w:val="24"/>
          <w:highlight w:val="none"/>
          <w:lang w:val="en-US" w:eastAsia="zh-CN"/>
        </w:rPr>
        <w:t>并</w:t>
      </w:r>
      <w:r>
        <w:rPr>
          <w:rFonts w:ascii="Times New Roman"/>
          <w:kern w:val="2"/>
          <w:szCs w:val="24"/>
          <w:highlight w:val="none"/>
        </w:rPr>
        <w:t>符合GB/T 191、GB/T</w:t>
      </w:r>
      <w:r>
        <w:rPr>
          <w:rFonts w:hint="eastAsia" w:ascii="Times New Roman"/>
          <w:kern w:val="2"/>
          <w:szCs w:val="24"/>
          <w:highlight w:val="none"/>
          <w:lang w:val="en-US" w:eastAsia="zh-CN"/>
        </w:rPr>
        <w:t xml:space="preserve"> </w:t>
      </w:r>
      <w:r>
        <w:rPr>
          <w:rFonts w:ascii="Times New Roman"/>
          <w:kern w:val="2"/>
          <w:szCs w:val="24"/>
          <w:highlight w:val="none"/>
        </w:rPr>
        <w:t xml:space="preserve">6388 </w:t>
      </w:r>
      <w:r>
        <w:rPr>
          <w:rFonts w:hint="eastAsia" w:ascii="Times New Roman"/>
          <w:kern w:val="2"/>
          <w:szCs w:val="24"/>
          <w:highlight w:val="none"/>
        </w:rPr>
        <w:t>、</w:t>
      </w:r>
      <w:r>
        <w:rPr>
          <w:rFonts w:ascii="Times New Roman"/>
          <w:kern w:val="2"/>
          <w:szCs w:val="24"/>
          <w:highlight w:val="none"/>
        </w:rPr>
        <w:t>GB/T 9174</w:t>
      </w:r>
      <w:r>
        <w:rPr>
          <w:rFonts w:hint="eastAsia" w:ascii="Times New Roman"/>
          <w:kern w:val="2"/>
          <w:szCs w:val="24"/>
          <w:highlight w:val="none"/>
        </w:rPr>
        <w:t>、</w:t>
      </w:r>
      <w:r>
        <w:rPr>
          <w:rFonts w:ascii="Times New Roman"/>
          <w:kern w:val="2"/>
          <w:szCs w:val="24"/>
          <w:highlight w:val="none"/>
        </w:rPr>
        <w:t>GB/T 13384的规定。</w:t>
      </w:r>
    </w:p>
    <w:p>
      <w:pPr>
        <w:pStyle w:val="58"/>
        <w:ind w:firstLine="0" w:firstLineChars="0"/>
        <w:jc w:val="left"/>
        <w:rPr>
          <w:rFonts w:hint="eastAsia" w:ascii="Times New Roman" w:eastAsia="宋体"/>
          <w:kern w:val="2"/>
          <w:szCs w:val="24"/>
          <w:highlight w:val="none"/>
          <w:lang w:eastAsia="zh-CN"/>
        </w:rPr>
      </w:pPr>
      <w:r>
        <w:rPr>
          <w:rFonts w:ascii="Times New Roman"/>
          <w:kern w:val="2"/>
          <w:szCs w:val="24"/>
          <w:highlight w:val="none"/>
        </w:rPr>
        <w:t>8.2.2 一体化污泥高效脱水处理设备</w:t>
      </w:r>
      <w:r>
        <w:rPr>
          <w:rFonts w:hint="eastAsia" w:ascii="Times New Roman"/>
          <w:kern w:val="2"/>
          <w:szCs w:val="24"/>
          <w:highlight w:val="none"/>
          <w:lang w:val="en-US" w:eastAsia="zh-CN"/>
        </w:rPr>
        <w:t>包装</w:t>
      </w:r>
      <w:r>
        <w:rPr>
          <w:rFonts w:ascii="Times New Roman"/>
          <w:kern w:val="2"/>
          <w:szCs w:val="24"/>
          <w:highlight w:val="none"/>
        </w:rPr>
        <w:t>应根据运输环境的要求进行防水、防锈、防潮、防震处理</w:t>
      </w:r>
      <w:r>
        <w:rPr>
          <w:rFonts w:hint="eastAsia" w:ascii="Times New Roman"/>
          <w:kern w:val="2"/>
          <w:szCs w:val="24"/>
          <w:highlight w:val="none"/>
          <w:lang w:eastAsia="zh-CN"/>
        </w:rPr>
        <w:t>。</w:t>
      </w:r>
    </w:p>
    <w:p>
      <w:pPr>
        <w:pStyle w:val="58"/>
        <w:ind w:firstLine="0" w:firstLineChars="0"/>
        <w:jc w:val="left"/>
        <w:rPr>
          <w:rFonts w:ascii="Times New Roman"/>
          <w:kern w:val="2"/>
          <w:szCs w:val="24"/>
        </w:rPr>
      </w:pPr>
      <w:r>
        <w:rPr>
          <w:rFonts w:ascii="Times New Roman"/>
          <w:kern w:val="2"/>
          <w:szCs w:val="24"/>
        </w:rPr>
        <w:t>8.2.3 一体化污泥高效脱水处理设备的油漆应符合JB/ZQ 4000.10的规定</w:t>
      </w:r>
    </w:p>
    <w:p>
      <w:pPr>
        <w:pStyle w:val="58"/>
        <w:ind w:firstLine="0" w:firstLineChars="0"/>
        <w:jc w:val="left"/>
        <w:rPr>
          <w:rFonts w:ascii="Times New Roman"/>
          <w:kern w:val="2"/>
          <w:szCs w:val="24"/>
        </w:rPr>
      </w:pPr>
      <w:r>
        <w:rPr>
          <w:rFonts w:ascii="Times New Roman"/>
          <w:kern w:val="2"/>
          <w:szCs w:val="24"/>
        </w:rPr>
        <w:t>8.2.4 一体化污泥高效脱水处理设备随机文件宜封存在档案袋内，并应符合JB/T 4333.2的规定，随机文件</w:t>
      </w:r>
      <w:r>
        <w:rPr>
          <w:rFonts w:hint="eastAsia" w:ascii="Times New Roman"/>
          <w:kern w:val="2"/>
          <w:szCs w:val="24"/>
        </w:rPr>
        <w:t>应</w:t>
      </w:r>
      <w:r>
        <w:rPr>
          <w:rFonts w:ascii="Times New Roman"/>
          <w:kern w:val="2"/>
          <w:szCs w:val="24"/>
        </w:rPr>
        <w:t xml:space="preserve">包括：       </w:t>
      </w:r>
    </w:p>
    <w:p>
      <w:pPr>
        <w:pStyle w:val="58"/>
        <w:ind w:firstLine="420"/>
        <w:jc w:val="left"/>
        <w:rPr>
          <w:rFonts w:ascii="Times New Roman"/>
          <w:kern w:val="2"/>
          <w:szCs w:val="24"/>
        </w:rPr>
      </w:pPr>
      <w:r>
        <w:rPr>
          <w:rFonts w:ascii="Times New Roman"/>
          <w:kern w:val="2"/>
          <w:szCs w:val="24"/>
        </w:rPr>
        <w:t>1）产品总图、基础荷重图、安装图、系统组件图；</w:t>
      </w:r>
    </w:p>
    <w:p>
      <w:pPr>
        <w:pStyle w:val="58"/>
        <w:ind w:firstLine="420"/>
        <w:jc w:val="left"/>
        <w:rPr>
          <w:rFonts w:ascii="Times New Roman"/>
          <w:kern w:val="2"/>
          <w:szCs w:val="24"/>
        </w:rPr>
      </w:pPr>
      <w:r>
        <w:rPr>
          <w:rFonts w:ascii="Times New Roman"/>
          <w:kern w:val="2"/>
          <w:szCs w:val="24"/>
        </w:rPr>
        <w:t>2）安装手册、使用说明书；</w:t>
      </w:r>
    </w:p>
    <w:p>
      <w:pPr>
        <w:pStyle w:val="58"/>
        <w:ind w:firstLine="420"/>
        <w:jc w:val="left"/>
        <w:rPr>
          <w:rFonts w:ascii="Times New Roman"/>
          <w:kern w:val="2"/>
          <w:szCs w:val="24"/>
        </w:rPr>
      </w:pPr>
      <w:r>
        <w:rPr>
          <w:rFonts w:ascii="Times New Roman"/>
          <w:kern w:val="2"/>
          <w:szCs w:val="24"/>
        </w:rPr>
        <w:t>3）设备清单、备件清单、易损件清单；</w:t>
      </w:r>
    </w:p>
    <w:p>
      <w:pPr>
        <w:pStyle w:val="58"/>
        <w:ind w:firstLine="420"/>
        <w:jc w:val="left"/>
        <w:rPr>
          <w:rFonts w:ascii="Times New Roman"/>
          <w:kern w:val="2"/>
          <w:szCs w:val="24"/>
        </w:rPr>
      </w:pPr>
      <w:r>
        <w:rPr>
          <w:rFonts w:ascii="Times New Roman"/>
          <w:kern w:val="2"/>
          <w:szCs w:val="24"/>
        </w:rPr>
        <w:t>4）产品质量证明书（出厂合格证、主要材料材质证明、焊接质量证明）；</w:t>
      </w:r>
    </w:p>
    <w:p>
      <w:pPr>
        <w:pStyle w:val="58"/>
        <w:ind w:firstLine="420"/>
        <w:jc w:val="left"/>
        <w:rPr>
          <w:rFonts w:ascii="Times New Roman"/>
          <w:kern w:val="2"/>
          <w:szCs w:val="24"/>
        </w:rPr>
      </w:pPr>
      <w:r>
        <w:rPr>
          <w:rFonts w:ascii="Times New Roman"/>
          <w:kern w:val="2"/>
          <w:szCs w:val="24"/>
        </w:rPr>
        <w:t>5）依合同约定的其他文件资料。</w:t>
      </w:r>
    </w:p>
    <w:p>
      <w:pPr>
        <w:pStyle w:val="59"/>
        <w:numPr>
          <w:ilvl w:val="0"/>
          <w:numId w:val="0"/>
        </w:numPr>
        <w:spacing w:before="156" w:after="156"/>
        <w:jc w:val="left"/>
        <w:outlineLvl w:val="2"/>
        <w:rPr>
          <w:rFonts w:ascii="Times New Roman"/>
        </w:rPr>
      </w:pPr>
      <w:r>
        <w:rPr>
          <w:rFonts w:ascii="Times New Roman"/>
        </w:rPr>
        <w:t>8.3 运输</w:t>
      </w:r>
    </w:p>
    <w:p>
      <w:pPr>
        <w:pStyle w:val="58"/>
        <w:ind w:firstLine="0" w:firstLineChars="0"/>
        <w:jc w:val="left"/>
        <w:rPr>
          <w:rFonts w:ascii="Times New Roman"/>
          <w:kern w:val="2"/>
          <w:szCs w:val="24"/>
        </w:rPr>
      </w:pPr>
      <w:r>
        <w:rPr>
          <w:rFonts w:ascii="Times New Roman" w:eastAsia="黑体"/>
        </w:rPr>
        <w:t xml:space="preserve">8.3.1 </w:t>
      </w:r>
      <w:r>
        <w:rPr>
          <w:rFonts w:ascii="Times New Roman"/>
          <w:kern w:val="2"/>
          <w:szCs w:val="24"/>
        </w:rPr>
        <w:t>一体化污泥高效脱水处理设备的运输尺寸应符合GB/T 16471的规定。</w:t>
      </w:r>
    </w:p>
    <w:p>
      <w:pPr>
        <w:pStyle w:val="58"/>
        <w:ind w:firstLine="0" w:firstLineChars="0"/>
        <w:jc w:val="left"/>
        <w:rPr>
          <w:rFonts w:ascii="Times New Roman"/>
          <w:kern w:val="2"/>
          <w:szCs w:val="24"/>
        </w:rPr>
      </w:pPr>
      <w:r>
        <w:rPr>
          <w:rFonts w:ascii="Times New Roman"/>
          <w:kern w:val="2"/>
          <w:szCs w:val="24"/>
        </w:rPr>
        <w:t>8.3.2 一体化污泥高效脱水处理的起吊应</w:t>
      </w:r>
      <w:r>
        <w:rPr>
          <w:rFonts w:hint="eastAsia" w:ascii="Times New Roman"/>
          <w:kern w:val="2"/>
          <w:szCs w:val="24"/>
        </w:rPr>
        <w:t>按</w:t>
      </w:r>
      <w:r>
        <w:rPr>
          <w:rFonts w:hint="eastAsia" w:ascii="Times New Roman"/>
          <w:kern w:val="2"/>
          <w:szCs w:val="24"/>
          <w:lang w:val="en-US" w:eastAsia="zh-CN"/>
        </w:rPr>
        <w:t>产品</w:t>
      </w:r>
      <w:r>
        <w:rPr>
          <w:rFonts w:ascii="Times New Roman"/>
          <w:kern w:val="2"/>
          <w:szCs w:val="24"/>
        </w:rPr>
        <w:t>说明书</w:t>
      </w:r>
      <w:r>
        <w:rPr>
          <w:rFonts w:hint="eastAsia" w:ascii="Times New Roman"/>
          <w:kern w:val="2"/>
          <w:szCs w:val="24"/>
        </w:rPr>
        <w:t>的要求进行</w:t>
      </w:r>
      <w:r>
        <w:rPr>
          <w:rFonts w:ascii="Times New Roman"/>
          <w:kern w:val="2"/>
          <w:szCs w:val="24"/>
        </w:rPr>
        <w:t>，</w:t>
      </w:r>
      <w:r>
        <w:rPr>
          <w:rFonts w:hint="eastAsia" w:ascii="Times New Roman"/>
          <w:kern w:val="2"/>
          <w:szCs w:val="24"/>
        </w:rPr>
        <w:t>起吊时应</w:t>
      </w:r>
      <w:r>
        <w:rPr>
          <w:rFonts w:ascii="Times New Roman"/>
          <w:kern w:val="2"/>
          <w:szCs w:val="24"/>
        </w:rPr>
        <w:t>均衡分布重心</w:t>
      </w:r>
      <w:r>
        <w:rPr>
          <w:rFonts w:hint="eastAsia" w:ascii="Times New Roman"/>
          <w:kern w:val="2"/>
          <w:szCs w:val="24"/>
        </w:rPr>
        <w:t>。</w:t>
      </w:r>
    </w:p>
    <w:p>
      <w:pPr>
        <w:pStyle w:val="58"/>
        <w:ind w:firstLine="0" w:firstLineChars="0"/>
        <w:jc w:val="left"/>
        <w:rPr>
          <w:rFonts w:ascii="Times New Roman" w:eastAsia="黑体"/>
        </w:rPr>
      </w:pPr>
      <w:r>
        <w:rPr>
          <w:rFonts w:ascii="Times New Roman"/>
          <w:kern w:val="2"/>
          <w:szCs w:val="24"/>
        </w:rPr>
        <w:t>8.3.3 一体化污泥高效脱水处理的运输中应采</w:t>
      </w:r>
      <w:r>
        <w:rPr>
          <w:rFonts w:hint="eastAsia" w:ascii="Times New Roman"/>
          <w:kern w:val="2"/>
          <w:szCs w:val="24"/>
        </w:rPr>
        <w:t>用</w:t>
      </w:r>
      <w:r>
        <w:rPr>
          <w:rFonts w:ascii="Times New Roman"/>
          <w:kern w:val="2"/>
          <w:szCs w:val="24"/>
        </w:rPr>
        <w:t>泡沫防护</w:t>
      </w:r>
      <w:r>
        <w:rPr>
          <w:rFonts w:hint="eastAsia" w:ascii="Times New Roman"/>
          <w:kern w:val="2"/>
          <w:szCs w:val="24"/>
        </w:rPr>
        <w:t>；</w:t>
      </w:r>
      <w:r>
        <w:rPr>
          <w:rFonts w:ascii="Times New Roman"/>
          <w:kern w:val="2"/>
          <w:szCs w:val="24"/>
        </w:rPr>
        <w:t>应</w:t>
      </w:r>
      <w:r>
        <w:rPr>
          <w:rFonts w:hint="eastAsia" w:ascii="Times New Roman"/>
          <w:kern w:val="2"/>
          <w:szCs w:val="24"/>
        </w:rPr>
        <w:t>避免</w:t>
      </w:r>
      <w:r>
        <w:rPr>
          <w:rFonts w:ascii="Times New Roman"/>
          <w:kern w:val="2"/>
          <w:szCs w:val="24"/>
        </w:rPr>
        <w:t>翻滚</w:t>
      </w:r>
      <w:r>
        <w:rPr>
          <w:rFonts w:hint="eastAsia" w:ascii="Times New Roman"/>
          <w:kern w:val="2"/>
          <w:szCs w:val="24"/>
        </w:rPr>
        <w:t>、</w:t>
      </w:r>
      <w:r>
        <w:rPr>
          <w:rFonts w:ascii="Times New Roman"/>
          <w:kern w:val="2"/>
          <w:szCs w:val="24"/>
        </w:rPr>
        <w:t>倒置</w:t>
      </w:r>
      <w:r>
        <w:rPr>
          <w:rFonts w:hint="eastAsia" w:ascii="Times New Roman"/>
          <w:kern w:val="2"/>
          <w:szCs w:val="24"/>
        </w:rPr>
        <w:t>、</w:t>
      </w:r>
      <w:r>
        <w:rPr>
          <w:rFonts w:ascii="Times New Roman"/>
          <w:kern w:val="2"/>
          <w:szCs w:val="24"/>
        </w:rPr>
        <w:t>重物压放</w:t>
      </w:r>
      <w:r>
        <w:rPr>
          <w:rFonts w:hint="eastAsia" w:ascii="Times New Roman"/>
          <w:kern w:val="2"/>
          <w:szCs w:val="24"/>
        </w:rPr>
        <w:t>和机械损伤</w:t>
      </w:r>
      <w:r>
        <w:rPr>
          <w:rFonts w:ascii="Times New Roman"/>
          <w:kern w:val="2"/>
          <w:szCs w:val="24"/>
        </w:rPr>
        <w:t>。</w:t>
      </w:r>
    </w:p>
    <w:p>
      <w:pPr>
        <w:pStyle w:val="59"/>
        <w:numPr>
          <w:ilvl w:val="0"/>
          <w:numId w:val="0"/>
        </w:numPr>
        <w:spacing w:before="156" w:after="156"/>
        <w:jc w:val="left"/>
        <w:outlineLvl w:val="2"/>
        <w:rPr>
          <w:rFonts w:ascii="Times New Roman"/>
        </w:rPr>
      </w:pPr>
      <w:r>
        <w:rPr>
          <w:rFonts w:ascii="Times New Roman"/>
        </w:rPr>
        <w:t>8.4 贮存</w:t>
      </w:r>
    </w:p>
    <w:p>
      <w:pPr>
        <w:pStyle w:val="58"/>
        <w:ind w:firstLine="420" w:firstLineChars="0"/>
        <w:jc w:val="left"/>
        <w:rPr>
          <w:rFonts w:ascii="Times New Roman"/>
          <w:kern w:val="2"/>
          <w:szCs w:val="24"/>
        </w:rPr>
      </w:pPr>
      <w:r>
        <w:rPr>
          <w:rFonts w:ascii="Times New Roman"/>
          <w:kern w:val="2"/>
          <w:szCs w:val="24"/>
        </w:rPr>
        <w:t>一体化污泥高效脱水处理设备</w:t>
      </w:r>
      <w:r>
        <w:rPr>
          <w:rFonts w:hint="eastAsia" w:ascii="Times New Roman"/>
          <w:kern w:val="2"/>
          <w:szCs w:val="24"/>
        </w:rPr>
        <w:t>宜</w:t>
      </w:r>
      <w:r>
        <w:rPr>
          <w:rFonts w:ascii="Times New Roman"/>
          <w:kern w:val="2"/>
          <w:szCs w:val="24"/>
        </w:rPr>
        <w:t>贮存在干燥、无腐蚀介质的有遮蔽场所，</w:t>
      </w:r>
      <w:r>
        <w:rPr>
          <w:rFonts w:hint="eastAsia" w:ascii="Times New Roman"/>
          <w:kern w:val="2"/>
          <w:szCs w:val="24"/>
        </w:rPr>
        <w:t>宜</w:t>
      </w:r>
      <w:r>
        <w:rPr>
          <w:rFonts w:ascii="Times New Roman"/>
          <w:kern w:val="2"/>
          <w:szCs w:val="24"/>
        </w:rPr>
        <w:t>远离热源</w:t>
      </w:r>
      <w:r>
        <w:rPr>
          <w:rFonts w:hint="eastAsia" w:ascii="Times New Roman"/>
          <w:kern w:val="2"/>
          <w:szCs w:val="24"/>
        </w:rPr>
        <w:t>，不宜贮存在露天场所</w:t>
      </w:r>
      <w:r>
        <w:rPr>
          <w:rFonts w:ascii="Times New Roman"/>
          <w:kern w:val="2"/>
          <w:szCs w:val="24"/>
        </w:rPr>
        <w:t>。</w:t>
      </w:r>
    </w:p>
    <w:p>
      <w:pPr>
        <w:pStyle w:val="59"/>
        <w:numPr>
          <w:ilvl w:val="0"/>
          <w:numId w:val="0"/>
        </w:numPr>
        <w:spacing w:before="156" w:after="156"/>
        <w:jc w:val="center"/>
        <w:outlineLvl w:val="9"/>
        <w:rPr>
          <w:rFonts w:ascii="Times New Roman"/>
        </w:rPr>
      </w:pPr>
    </w:p>
    <w:p>
      <w:pPr>
        <w:pStyle w:val="58"/>
        <w:rPr>
          <w:rFonts w:ascii="Times New Roman"/>
        </w:rPr>
      </w:pPr>
    </w:p>
    <w:p>
      <w:pPr>
        <w:pStyle w:val="58"/>
        <w:rPr>
          <w:rFonts w:ascii="Times New Roman"/>
        </w:rPr>
      </w:pPr>
    </w:p>
    <w:p>
      <w:pPr>
        <w:pStyle w:val="58"/>
        <w:rPr>
          <w:rFonts w:ascii="Times New Roman"/>
        </w:rPr>
      </w:pPr>
    </w:p>
    <w:p>
      <w:pPr>
        <w:pStyle w:val="58"/>
        <w:rPr>
          <w:rFonts w:ascii="Times New Roman"/>
        </w:rPr>
      </w:pPr>
    </w:p>
    <w:p>
      <w:pPr>
        <w:pStyle w:val="58"/>
        <w:rPr>
          <w:rFonts w:ascii="Times New Roman"/>
        </w:rPr>
      </w:pPr>
    </w:p>
    <w:p>
      <w:pPr>
        <w:pStyle w:val="58"/>
        <w:rPr>
          <w:rFonts w:ascii="Times New Roman"/>
        </w:rPr>
      </w:pPr>
    </w:p>
    <w:p>
      <w:pPr>
        <w:pStyle w:val="58"/>
        <w:rPr>
          <w:rFonts w:ascii="Times New Roman"/>
        </w:rPr>
      </w:pPr>
    </w:p>
    <w:p>
      <w:pPr>
        <w:pStyle w:val="58"/>
        <w:rPr>
          <w:rFonts w:ascii="Times New Roman"/>
        </w:rPr>
      </w:pPr>
    </w:p>
    <w:p>
      <w:pPr>
        <w:pStyle w:val="58"/>
        <w:rPr>
          <w:rFonts w:ascii="Times New Roman"/>
        </w:rPr>
      </w:pPr>
    </w:p>
    <w:p>
      <w:pPr>
        <w:pStyle w:val="59"/>
        <w:keepNext w:val="0"/>
        <w:keepLines w:val="0"/>
        <w:pageBreakBefore w:val="0"/>
        <w:widowControl/>
        <w:numPr>
          <w:ilvl w:val="0"/>
          <w:numId w:val="0"/>
        </w:numPr>
        <w:kinsoku/>
        <w:wordWrap/>
        <w:overflowPunct/>
        <w:topLinePunct w:val="0"/>
        <w:autoSpaceDE/>
        <w:autoSpaceDN/>
        <w:bidi w:val="0"/>
        <w:adjustRightInd/>
        <w:snapToGrid/>
        <w:spacing w:before="156" w:after="156"/>
        <w:jc w:val="center"/>
        <w:textAlignment w:val="auto"/>
        <w:outlineLvl w:val="9"/>
        <w:rPr>
          <w:rFonts w:ascii="Times New Roman"/>
        </w:rPr>
      </w:pPr>
      <w:bookmarkStart w:id="17" w:name="_Toc28224"/>
    </w:p>
    <w:p>
      <w:pPr>
        <w:pStyle w:val="59"/>
        <w:keepNext w:val="0"/>
        <w:keepLines w:val="0"/>
        <w:pageBreakBefore w:val="0"/>
        <w:widowControl/>
        <w:numPr>
          <w:ilvl w:val="0"/>
          <w:numId w:val="0"/>
        </w:numPr>
        <w:kinsoku/>
        <w:wordWrap/>
        <w:overflowPunct/>
        <w:topLinePunct w:val="0"/>
        <w:autoSpaceDE/>
        <w:autoSpaceDN/>
        <w:bidi w:val="0"/>
        <w:adjustRightInd/>
        <w:snapToGrid/>
        <w:spacing w:before="156" w:after="156"/>
        <w:jc w:val="center"/>
        <w:textAlignment w:val="auto"/>
        <w:outlineLvl w:val="0"/>
        <w:rPr>
          <w:rFonts w:ascii="Times New Roman"/>
        </w:rPr>
      </w:pPr>
      <w:r>
        <w:rPr>
          <w:rFonts w:ascii="Times New Roman"/>
        </w:rPr>
        <w:t>附录A</w:t>
      </w:r>
      <w:r>
        <w:rPr>
          <w:rFonts w:ascii="Times New Roman"/>
        </w:rPr>
        <w:br w:type="textWrapping"/>
      </w:r>
      <w:r>
        <w:rPr>
          <w:rFonts w:ascii="Times New Roman"/>
        </w:rPr>
        <w:t>（规范性）</w:t>
      </w:r>
      <w:bookmarkEnd w:id="17"/>
    </w:p>
    <w:p>
      <w:pPr>
        <w:pStyle w:val="58"/>
        <w:spacing w:before="312" w:beforeLines="100" w:after="312" w:afterLines="100"/>
        <w:ind w:firstLine="0" w:firstLineChars="0"/>
        <w:jc w:val="center"/>
        <w:outlineLvl w:val="0"/>
        <w:rPr>
          <w:rFonts w:ascii="Times New Roman" w:eastAsia="黑体"/>
        </w:rPr>
      </w:pPr>
      <w:bookmarkStart w:id="18" w:name="_Toc1761"/>
      <w:r>
        <w:rPr>
          <w:rFonts w:hint="eastAsia" w:ascii="Times New Roman" w:eastAsia="黑体"/>
        </w:rPr>
        <w:t>基本参数的计算</w:t>
      </w:r>
      <w:r>
        <w:rPr>
          <w:rFonts w:ascii="Times New Roman" w:eastAsia="黑体"/>
        </w:rPr>
        <w:t>方法</w:t>
      </w:r>
      <w:bookmarkEnd w:id="18"/>
    </w:p>
    <w:p>
      <w:pPr>
        <w:pStyle w:val="59"/>
        <w:numPr>
          <w:ilvl w:val="0"/>
          <w:numId w:val="0"/>
        </w:numPr>
        <w:spacing w:before="156" w:after="156"/>
        <w:jc w:val="left"/>
        <w:outlineLvl w:val="2"/>
        <w:rPr>
          <w:rFonts w:ascii="Times New Roman"/>
        </w:rPr>
      </w:pPr>
      <w:r>
        <w:rPr>
          <w:rFonts w:hint="eastAsia" w:ascii="Times New Roman"/>
        </w:rPr>
        <w:t>A.1 脱水率</w:t>
      </w:r>
    </w:p>
    <w:p>
      <w:pPr>
        <w:ind w:firstLine="420" w:firstLineChars="200"/>
        <w:jc w:val="left"/>
        <w:rPr>
          <w:rFonts w:hAnsi="Cambria Math"/>
        </w:rPr>
      </w:pPr>
      <w:r>
        <w:rPr>
          <w:rFonts w:hint="eastAsia" w:hAnsi="Cambria Math"/>
        </w:rPr>
        <w:t>脱水率按公式(A.1)计算：</w:t>
      </w:r>
    </w:p>
    <w:p>
      <w:pPr>
        <w:ind w:firstLine="480" w:firstLineChars="200"/>
        <w:jc w:val="center"/>
        <w:rPr>
          <w:rFonts w:hAnsi="Cambria Math"/>
        </w:rPr>
      </w:pPr>
      <m:oMath>
        <m:r>
          <m:rPr>
            <m:sty m:val="p"/>
          </m:rPr>
          <w:rPr>
            <w:rFonts w:hint="eastAsia" w:ascii="Cambria Math" w:hAnsi="Cambria Math"/>
            <w:sz w:val="24"/>
            <w:szCs w:val="24"/>
          </w:rPr>
          <m:t>ω=</m:t>
        </m:r>
        <m:f>
          <m:fPr>
            <m:ctrlPr>
              <w:rPr>
                <w:rFonts w:hint="eastAsia" w:ascii="Cambria Math" w:hAnsi="Cambria Math"/>
                <w:sz w:val="24"/>
                <w:szCs w:val="24"/>
              </w:rPr>
            </m:ctrlPr>
          </m:fPr>
          <m:num>
            <m:r>
              <m:rPr>
                <m:sty m:val="p"/>
              </m:rPr>
              <w:rPr>
                <w:rFonts w:hint="default" w:ascii="Cambria Math" w:hAnsi="Cambria Math"/>
                <w:sz w:val="24"/>
                <w:szCs w:val="24"/>
                <w:lang w:val="en-US" w:eastAsia="zh-CN"/>
              </w:rPr>
              <m:t>m</m:t>
            </m:r>
            <m:r>
              <m:rPr>
                <m:sty m:val="p"/>
              </m:rPr>
              <w:rPr>
                <w:rFonts w:hint="eastAsia" w:ascii="Cambria Math" w:hAnsi="Cambria Math"/>
                <w:sz w:val="24"/>
                <w:szCs w:val="24"/>
              </w:rPr>
              <m:t>−</m:t>
            </m:r>
            <m:sSub>
              <m:sSubPr>
                <m:ctrlPr>
                  <w:rPr>
                    <w:rFonts w:hint="eastAsia" w:ascii="Cambria Math" w:hAnsi="Cambria Math"/>
                    <w:sz w:val="24"/>
                    <w:szCs w:val="24"/>
                  </w:rPr>
                </m:ctrlPr>
              </m:sSubPr>
              <m:e>
                <m:r>
                  <m:rPr>
                    <m:sty m:val="p"/>
                  </m:rPr>
                  <w:rPr>
                    <w:rFonts w:ascii="Cambria Math" w:hAnsi="Cambria Math"/>
                    <w:sz w:val="24"/>
                    <w:szCs w:val="24"/>
                  </w:rPr>
                  <m:t>m</m:t>
                </m:r>
                <m:ctrlPr>
                  <w:rPr>
                    <w:rFonts w:hint="eastAsia" w:ascii="Cambria Math" w:hAnsi="Cambria Math"/>
                    <w:sz w:val="24"/>
                    <w:szCs w:val="24"/>
                  </w:rPr>
                </m:ctrlPr>
              </m:e>
              <m:sub>
                <m:r>
                  <m:rPr>
                    <m:sty m:val="p"/>
                  </m:rPr>
                  <w:rPr>
                    <w:rFonts w:ascii="Cambria Math" w:hAnsi="Cambria Math"/>
                    <w:sz w:val="24"/>
                    <w:szCs w:val="24"/>
                  </w:rPr>
                  <m:t>1</m:t>
                </m:r>
                <m:ctrlPr>
                  <w:rPr>
                    <w:rFonts w:hint="eastAsia" w:ascii="Cambria Math" w:hAnsi="Cambria Math"/>
                    <w:sz w:val="24"/>
                    <w:szCs w:val="24"/>
                  </w:rPr>
                </m:ctrlPr>
              </m:sub>
            </m:sSub>
            <m:ctrlPr>
              <w:rPr>
                <w:rFonts w:hint="eastAsia" w:ascii="Cambria Math" w:hAnsi="Cambria Math"/>
                <w:sz w:val="24"/>
                <w:szCs w:val="24"/>
              </w:rPr>
            </m:ctrlPr>
          </m:num>
          <m:den>
            <m:r>
              <m:rPr>
                <m:sty m:val="p"/>
              </m:rPr>
              <w:rPr>
                <w:rFonts w:ascii="Cambria Math" w:hAnsi="Cambria Math"/>
                <w:sz w:val="24"/>
                <w:szCs w:val="24"/>
              </w:rPr>
              <m:t>m</m:t>
            </m:r>
            <m:ctrlPr>
              <w:rPr>
                <w:rFonts w:hint="eastAsia" w:ascii="Cambria Math" w:hAnsi="Cambria Math"/>
                <w:sz w:val="24"/>
                <w:szCs w:val="24"/>
              </w:rPr>
            </m:ctrlPr>
          </m:den>
        </m:f>
        <m:r>
          <m:rPr>
            <m:sty m:val="p"/>
          </m:rPr>
          <w:rPr>
            <w:rFonts w:hint="eastAsia" w:ascii="Cambria Math" w:hAnsi="Cambria Math"/>
            <w:sz w:val="24"/>
            <w:szCs w:val="24"/>
          </w:rPr>
          <m:t>×</m:t>
        </m:r>
        <m:r>
          <m:rPr>
            <m:sty m:val="p"/>
          </m:rPr>
          <w:rPr>
            <w:rFonts w:ascii="Cambria Math" w:hAnsi="Cambria Math"/>
            <w:sz w:val="24"/>
            <w:szCs w:val="24"/>
          </w:rPr>
          <m:t>100</m:t>
        </m:r>
        <m:r>
          <m:rPr>
            <m:sty m:val="p"/>
          </m:rPr>
          <w:rPr>
            <w:rFonts w:hint="eastAsia" w:ascii="Cambria Math" w:hAnsi="Cambria Math"/>
            <w:sz w:val="24"/>
            <w:szCs w:val="24"/>
          </w:rPr>
          <m:t>%</m:t>
        </m:r>
      </m:oMath>
      <w:r>
        <w:rPr>
          <w:rFonts w:hint="eastAsia" w:hAnsi="Cambria Math"/>
        </w:rPr>
        <w:t>...............................（A.1）</w:t>
      </w:r>
    </w:p>
    <w:p>
      <w:pPr>
        <w:ind w:firstLine="420" w:firstLineChars="200"/>
        <w:rPr>
          <w:rFonts w:hAnsi="Cambria Math"/>
        </w:rPr>
      </w:pPr>
      <w:r>
        <w:rPr>
          <w:rFonts w:hint="eastAsia" w:hAnsi="Cambria Math"/>
        </w:rPr>
        <w:t>式中:</w:t>
      </w:r>
    </w:p>
    <w:p>
      <w:pPr>
        <w:ind w:firstLine="420" w:firstLineChars="200"/>
        <w:rPr>
          <w:rFonts w:hint="eastAsia" w:hAnsi="Cambria Math" w:eastAsia="宋体"/>
          <w:lang w:val="en-US" w:eastAsia="zh-CN"/>
        </w:rPr>
      </w:pPr>
      <w:r>
        <w:rPr>
          <w:rFonts w:hint="eastAsia" w:hAnsi="Cambria Math"/>
        </w:rPr>
        <w:t>m——脱水前污泥的质量</w:t>
      </w:r>
      <w:r>
        <w:rPr>
          <w:rFonts w:hint="eastAsia" w:hAnsi="Cambria Math"/>
          <w:lang w:val="en-US" w:eastAsia="zh-CN"/>
        </w:rPr>
        <w:t>；</w:t>
      </w:r>
    </w:p>
    <w:p>
      <w:pPr>
        <w:spacing w:line="240" w:lineRule="auto"/>
        <w:rPr>
          <w:rFonts w:hAnsi="Cambria Math"/>
        </w:rPr>
      </w:pPr>
      <w:r>
        <w:rPr>
          <w:rFonts w:hint="eastAsia" w:hAnsi="Cambria Math"/>
        </w:rPr>
        <w:t xml:space="preserve">    </w:t>
      </w:r>
      <w:r>
        <w:rPr>
          <w:rFonts w:hint="eastAsia" w:hAnsi="Cambria Math"/>
          <w:lang w:val="en-US" w:eastAsia="zh-CN"/>
        </w:rPr>
        <w:t>m</w:t>
      </w:r>
      <w:r>
        <w:rPr>
          <w:rFonts w:hint="eastAsia" w:hAnsi="Cambria Math"/>
          <w:vertAlign w:val="subscript"/>
          <w:lang w:val="en-US" w:eastAsia="zh-CN"/>
        </w:rPr>
        <w:t>1</w:t>
      </w:r>
      <w:r>
        <w:rPr>
          <w:rFonts w:hint="eastAsia" w:hAnsi="Cambria Math"/>
        </w:rPr>
        <w:t>——脱水后污泥的质量；</w:t>
      </w:r>
    </w:p>
    <w:p>
      <w:r>
        <w:rPr>
          <w:rFonts w:hint="eastAsia"/>
        </w:rPr>
        <w:t xml:space="preserve">    </w:t>
      </w:r>
      <m:oMath>
        <m:r>
          <m:rPr>
            <m:sty m:val="p"/>
          </m:rPr>
          <w:rPr>
            <w:rFonts w:hint="eastAsia" w:ascii="Cambria Math" w:hAnsi="Cambria Math"/>
          </w:rPr>
          <m:t>ω</m:t>
        </m:r>
      </m:oMath>
      <w:r>
        <w:rPr>
          <w:rFonts w:hint="eastAsia" w:ascii="宋体" w:hAnsi="宋体" w:cs="宋体"/>
        </w:rPr>
        <w:t>——</w:t>
      </w:r>
      <w:r>
        <w:rPr>
          <w:rFonts w:hint="eastAsia"/>
        </w:rPr>
        <w:t>脱水率</w:t>
      </w:r>
    </w:p>
    <w:p>
      <w:pPr>
        <w:pStyle w:val="58"/>
        <w:ind w:firstLine="420" w:firstLineChars="0"/>
        <w:jc w:val="center"/>
        <w:rPr>
          <w:rFonts w:ascii="Times New Roman"/>
          <w:kern w:val="2"/>
          <w:szCs w:val="24"/>
        </w:rPr>
      </w:pPr>
    </w:p>
    <w:sectPr>
      <w:footerReference r:id="rId7" w:type="default"/>
      <w:footerReference r:id="rId8" w:type="even"/>
      <w:pgSz w:w="11907" w:h="16839"/>
      <w:pgMar w:top="1418" w:right="1134" w:bottom="1134" w:left="1680" w:header="1418" w:footer="851"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BF02322-767B-49BE-B18A-56246B61DDD2}"/>
  </w:font>
  <w:font w:name="Arial">
    <w:panose1 w:val="020B0604020202020204"/>
    <w:charset w:val="01"/>
    <w:family w:val="swiss"/>
    <w:pitch w:val="default"/>
    <w:sig w:usb0="E0002EFF" w:usb1="C000785B" w:usb2="00000009" w:usb3="00000000" w:csb0="400001FF" w:csb1="FFFF0000"/>
    <w:embedRegular r:id="rId2" w:fontKey="{E6AD15A7-5D96-4033-BE9C-3C70A1462237}"/>
  </w:font>
  <w:font w:name="黑体">
    <w:panose1 w:val="02010609060101010101"/>
    <w:charset w:val="86"/>
    <w:family w:val="auto"/>
    <w:pitch w:val="default"/>
    <w:sig w:usb0="800002BF" w:usb1="38CF7CFA" w:usb2="00000016" w:usb3="00000000" w:csb0="00040001" w:csb1="00000000"/>
    <w:embedRegular r:id="rId3" w:fontKey="{CF15C2BD-C653-4D3D-803F-97ED327B7A1E}"/>
  </w:font>
  <w:font w:name="Courier New">
    <w:panose1 w:val="02070309020205020404"/>
    <w:charset w:val="01"/>
    <w:family w:val="modern"/>
    <w:pitch w:val="default"/>
    <w:sig w:usb0="E0002EFF" w:usb1="C0007843" w:usb2="00000009" w:usb3="00000000" w:csb0="400001FF" w:csb1="FFFF0000"/>
    <w:embedRegular r:id="rId4" w:fontKey="{CA2406ED-0A7E-47CA-9A1C-A5F5A6DE178D}"/>
  </w:font>
  <w:font w:name="Symbol">
    <w:panose1 w:val="05050102010706020507"/>
    <w:charset w:val="02"/>
    <w:family w:val="roman"/>
    <w:pitch w:val="default"/>
    <w:sig w:usb0="00000000" w:usb1="00000000" w:usb2="00000000" w:usb3="00000000" w:csb0="80000000" w:csb1="00000000"/>
    <w:embedRegular r:id="rId5" w:fontKey="{226A8FA5-1734-431D-9159-8F9E2E14717C}"/>
  </w:font>
  <w:font w:name="Calibri">
    <w:panose1 w:val="020F0502020204030204"/>
    <w:charset w:val="00"/>
    <w:family w:val="swiss"/>
    <w:pitch w:val="default"/>
    <w:sig w:usb0="E4002EFF" w:usb1="C000247B" w:usb2="00000009" w:usb3="00000000" w:csb0="200001FF" w:csb1="00000000"/>
    <w:embedRegular r:id="rId6" w:fontKey="{EFEBAC73-74E3-472E-A44D-201240286707}"/>
  </w:font>
  <w:font w:name="CG Times">
    <w:altName w:val="Times New Roman"/>
    <w:panose1 w:val="00000000000000000000"/>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embedRegular r:id="rId7" w:fontKey="{D9F96B8E-2319-43B5-A5F3-B02DC891CEDA}"/>
  </w:font>
  <w:font w:name="Cambria Math">
    <w:panose1 w:val="02040503050406030204"/>
    <w:charset w:val="00"/>
    <w:family w:val="roman"/>
    <w:pitch w:val="default"/>
    <w:sig w:usb0="E00006FF" w:usb1="420024FF" w:usb2="02000000" w:usb3="00000000" w:csb0="2000019F" w:csb1="00000000"/>
    <w:embedRegular r:id="rId8" w:fontKey="{D6B7FA61-7E4F-42C8-A5EE-8E6438746D08}"/>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9" w:fontKey="{DD4E9BFB-5673-4E88-B70B-F4A834A188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05"/>
      <w:suff w:val="nothing"/>
      <w:lvlText w:val="%1%2.%3　"/>
      <w:lvlJc w:val="left"/>
      <w:pPr>
        <w:ind w:left="0" w:firstLine="0"/>
      </w:pPr>
      <w:rPr>
        <w:rFonts w:hint="eastAsia" w:ascii="黑体" w:hAnsi="Times New Roman" w:eastAsia="黑体"/>
        <w:b w:val="0"/>
        <w:i w:val="0"/>
        <w:sz w:val="21"/>
      </w:rPr>
    </w:lvl>
    <w:lvl w:ilvl="3" w:tentative="0">
      <w:start w:val="1"/>
      <w:numFmt w:val="decimal"/>
      <w:pStyle w:val="62"/>
      <w:suff w:val="nothing"/>
      <w:lvlText w:val="%1%2.%3.%4　"/>
      <w:lvlJc w:val="left"/>
      <w:pPr>
        <w:ind w:left="0" w:firstLine="0"/>
      </w:pPr>
      <w:rPr>
        <w:rFonts w:hint="eastAsia" w:ascii="黑体" w:hAnsi="Times New Roman" w:eastAsia="黑体"/>
        <w:b w:val="0"/>
        <w:i w:val="0"/>
        <w:sz w:val="21"/>
      </w:rPr>
    </w:lvl>
    <w:lvl w:ilvl="4" w:tentative="0">
      <w:start w:val="1"/>
      <w:numFmt w:val="decimal"/>
      <w:pStyle w:val="93"/>
      <w:suff w:val="nothing"/>
      <w:lvlText w:val="%1%2.%3.%4.%5　"/>
      <w:lvlJc w:val="left"/>
      <w:pPr>
        <w:ind w:left="0" w:firstLine="0"/>
      </w:pPr>
      <w:rPr>
        <w:rFonts w:hint="eastAsia" w:ascii="黑体" w:hAnsi="Times New Roman" w:eastAsia="黑体"/>
        <w:b w:val="0"/>
        <w:i w:val="0"/>
        <w:sz w:val="21"/>
      </w:rPr>
    </w:lvl>
    <w:lvl w:ilvl="5" w:tentative="0">
      <w:start w:val="1"/>
      <w:numFmt w:val="decimal"/>
      <w:pStyle w:val="98"/>
      <w:suff w:val="nothing"/>
      <w:lvlText w:val="%1%2.%3.%4.%5.%6　"/>
      <w:lvlJc w:val="left"/>
      <w:pPr>
        <w:ind w:left="0" w:firstLine="0"/>
      </w:pPr>
      <w:rPr>
        <w:rFonts w:hint="eastAsia" w:ascii="黑体" w:hAnsi="Times New Roman" w:eastAsia="黑体"/>
        <w:b w:val="0"/>
        <w:i w:val="0"/>
        <w:sz w:val="21"/>
      </w:rPr>
    </w:lvl>
    <w:lvl w:ilvl="6" w:tentative="0">
      <w:start w:val="1"/>
      <w:numFmt w:val="decimal"/>
      <w:pStyle w:val="104"/>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AE367E9"/>
    <w:multiLevelType w:val="multilevel"/>
    <w:tmpl w:val="0AE367E9"/>
    <w:lvl w:ilvl="0" w:tentative="0">
      <w:start w:val="1"/>
      <w:numFmt w:val="none"/>
      <w:pStyle w:val="95"/>
      <w:lvlText w:val="%1示例"/>
      <w:lvlJc w:val="left"/>
      <w:pPr>
        <w:tabs>
          <w:tab w:val="left" w:pos="1120"/>
        </w:tabs>
        <w:ind w:left="0" w:firstLine="400"/>
      </w:pPr>
      <w:rPr>
        <w:rFonts w:hint="eastAsia" w:ascii="宋体"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407E65F9"/>
    <w:multiLevelType w:val="multilevel"/>
    <w:tmpl w:val="407E65F9"/>
    <w:lvl w:ilvl="0" w:tentative="0">
      <w:start w:val="1"/>
      <w:numFmt w:val="none"/>
      <w:pStyle w:val="87"/>
      <w:lvlText w:val="%1·　"/>
      <w:lvlJc w:val="left"/>
      <w:pPr>
        <w:tabs>
          <w:tab w:val="left" w:pos="1140"/>
        </w:tabs>
        <w:ind w:left="737" w:hanging="317"/>
      </w:pPr>
      <w:rPr>
        <w:rFonts w:hint="eastAsia" w:ascii="宋体" w:hAnsi="Times New Roman" w:eastAsia="宋体"/>
        <w:b w:val="0"/>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496E4D7B"/>
    <w:multiLevelType w:val="multilevel"/>
    <w:tmpl w:val="496E4D7B"/>
    <w:lvl w:ilvl="0" w:tentative="0">
      <w:start w:val="1"/>
      <w:numFmt w:val="none"/>
      <w:pStyle w:val="109"/>
      <w:lvlText w:val="%1注"/>
      <w:lvlJc w:val="left"/>
      <w:pPr>
        <w:tabs>
          <w:tab w:val="left" w:pos="900"/>
        </w:tabs>
        <w:ind w:left="900" w:hanging="50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57C2AF5"/>
    <w:multiLevelType w:val="multilevel"/>
    <w:tmpl w:val="557C2AF5"/>
    <w:lvl w:ilvl="0" w:tentative="0">
      <w:start w:val="1"/>
      <w:numFmt w:val="decimal"/>
      <w:pStyle w:val="107"/>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646260FA"/>
    <w:multiLevelType w:val="multilevel"/>
    <w:tmpl w:val="646260FA"/>
    <w:lvl w:ilvl="0" w:tentative="0">
      <w:start w:val="1"/>
      <w:numFmt w:val="decimal"/>
      <w:pStyle w:val="106"/>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57D3FBC"/>
    <w:multiLevelType w:val="multilevel"/>
    <w:tmpl w:val="657D3FBC"/>
    <w:lvl w:ilvl="0" w:tentative="0">
      <w:start w:val="1"/>
      <w:numFmt w:val="upperLetter"/>
      <w:pStyle w:val="75"/>
      <w:suff w:val="nothing"/>
      <w:lvlText w:val="附　录　%1"/>
      <w:lvlJc w:val="left"/>
      <w:pPr>
        <w:ind w:left="0" w:firstLine="0"/>
      </w:pPr>
      <w:rPr>
        <w:rFonts w:hint="eastAsia" w:ascii="黑体" w:hAnsi="Times New Roman" w:eastAsia="黑体"/>
        <w:b w:val="0"/>
        <w:i w:val="0"/>
        <w:sz w:val="21"/>
      </w:rPr>
    </w:lvl>
    <w:lvl w:ilvl="1" w:tentative="0">
      <w:start w:val="1"/>
      <w:numFmt w:val="decimal"/>
      <w:pStyle w:val="77"/>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78"/>
      <w:suff w:val="nothing"/>
      <w:lvlText w:val="%1.%2.%3　"/>
      <w:lvlJc w:val="left"/>
      <w:pPr>
        <w:ind w:left="0" w:firstLine="0"/>
      </w:pPr>
      <w:rPr>
        <w:rFonts w:hint="eastAsia" w:ascii="黑体" w:hAnsi="Times New Roman" w:eastAsia="黑体"/>
        <w:b w:val="0"/>
        <w:i w:val="0"/>
        <w:sz w:val="21"/>
      </w:rPr>
    </w:lvl>
    <w:lvl w:ilvl="3" w:tentative="0">
      <w:start w:val="1"/>
      <w:numFmt w:val="decimal"/>
      <w:pStyle w:val="79"/>
      <w:suff w:val="nothing"/>
      <w:lvlText w:val="%1.%2.%3.%4　"/>
      <w:lvlJc w:val="left"/>
      <w:pPr>
        <w:ind w:left="0" w:firstLine="0"/>
      </w:pPr>
      <w:rPr>
        <w:rFonts w:hint="eastAsia" w:ascii="黑体" w:hAnsi="Times New Roman" w:eastAsia="黑体"/>
        <w:b w:val="0"/>
        <w:i w:val="0"/>
        <w:sz w:val="21"/>
      </w:rPr>
    </w:lvl>
    <w:lvl w:ilvl="4" w:tentative="0">
      <w:start w:val="1"/>
      <w:numFmt w:val="decimal"/>
      <w:pStyle w:val="80"/>
      <w:suff w:val="nothing"/>
      <w:lvlText w:val="%1.%2.%3.%4.%5　"/>
      <w:lvlJc w:val="left"/>
      <w:pPr>
        <w:ind w:left="0" w:firstLine="0"/>
      </w:pPr>
      <w:rPr>
        <w:rFonts w:hint="eastAsia" w:ascii="黑体" w:hAnsi="Times New Roman" w:eastAsia="黑体"/>
        <w:b w:val="0"/>
        <w:i w:val="0"/>
        <w:sz w:val="21"/>
      </w:rPr>
    </w:lvl>
    <w:lvl w:ilvl="5" w:tentative="0">
      <w:start w:val="1"/>
      <w:numFmt w:val="decimal"/>
      <w:pStyle w:val="81"/>
      <w:suff w:val="nothing"/>
      <w:lvlText w:val="%1.%2.%3.%4.%5.%6　"/>
      <w:lvlJc w:val="left"/>
      <w:pPr>
        <w:ind w:left="0" w:firstLine="0"/>
      </w:pPr>
      <w:rPr>
        <w:rFonts w:hint="eastAsia" w:ascii="黑体" w:hAnsi="Times New Roman" w:eastAsia="黑体"/>
        <w:b w:val="0"/>
        <w:i w:val="0"/>
        <w:sz w:val="21"/>
      </w:rPr>
    </w:lvl>
    <w:lvl w:ilvl="6" w:tentative="0">
      <w:start w:val="1"/>
      <w:numFmt w:val="decimal"/>
      <w:pStyle w:val="83"/>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CEA2025"/>
    <w:multiLevelType w:val="multilevel"/>
    <w:tmpl w:val="6CEA2025"/>
    <w:lvl w:ilvl="0" w:tentative="0">
      <w:start w:val="1"/>
      <w:numFmt w:val="none"/>
      <w:pStyle w:val="56"/>
      <w:suff w:val="nothing"/>
      <w:lvlText w:val="%1"/>
      <w:lvlJc w:val="left"/>
      <w:pPr>
        <w:ind w:left="0" w:firstLine="0"/>
      </w:pPr>
      <w:rPr>
        <w:rFonts w:hint="default" w:ascii="Times New Roman" w:hAnsi="Times New Roman"/>
        <w:b/>
        <w:i w:val="0"/>
        <w:sz w:val="21"/>
      </w:rPr>
    </w:lvl>
    <w:lvl w:ilvl="1" w:tentative="0">
      <w:start w:val="1"/>
      <w:numFmt w:val="decimal"/>
      <w:pStyle w:val="59"/>
      <w:suff w:val="nothing"/>
      <w:lvlText w:val="%1%2　"/>
      <w:lvlJc w:val="left"/>
      <w:pPr>
        <w:ind w:left="142"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pStyle w:val="61"/>
      <w:suff w:val="nothing"/>
      <w:lvlText w:val="%1%2.%3.%4　"/>
      <w:lvlJc w:val="left"/>
      <w:pPr>
        <w:ind w:left="0" w:firstLine="0"/>
      </w:pPr>
      <w:rPr>
        <w:rFonts w:hint="eastAsia" w:ascii="黑体" w:hAnsi="Times New Roman" w:eastAsia="黑体"/>
        <w:b w:val="0"/>
        <w:i w:val="0"/>
        <w:sz w:val="21"/>
      </w:rPr>
    </w:lvl>
    <w:lvl w:ilvl="4" w:tentative="0">
      <w:start w:val="1"/>
      <w:numFmt w:val="decimal"/>
      <w:pStyle w:val="92"/>
      <w:suff w:val="nothing"/>
      <w:lvlText w:val="%1%2.%3.%4.%5　"/>
      <w:lvlJc w:val="left"/>
      <w:pPr>
        <w:ind w:left="0" w:firstLine="0"/>
      </w:pPr>
      <w:rPr>
        <w:rFonts w:hint="eastAsia" w:ascii="黑体" w:hAnsi="Times New Roman" w:eastAsia="黑体"/>
        <w:b w:val="0"/>
        <w:i w:val="0"/>
        <w:sz w:val="21"/>
      </w:rPr>
    </w:lvl>
    <w:lvl w:ilvl="5" w:tentative="0">
      <w:start w:val="1"/>
      <w:numFmt w:val="decimal"/>
      <w:pStyle w:val="97"/>
      <w:suff w:val="nothing"/>
      <w:lvlText w:val="%1%2.%3.%4.%5.%6　"/>
      <w:lvlJc w:val="left"/>
      <w:pPr>
        <w:ind w:left="0" w:firstLine="0"/>
      </w:pPr>
      <w:rPr>
        <w:rFonts w:hint="eastAsia" w:ascii="黑体" w:hAnsi="Times New Roman" w:eastAsia="黑体"/>
        <w:b w:val="0"/>
        <w:i w:val="0"/>
        <w:sz w:val="21"/>
      </w:rPr>
    </w:lvl>
    <w:lvl w:ilvl="6" w:tentative="0">
      <w:start w:val="1"/>
      <w:numFmt w:val="decimal"/>
      <w:pStyle w:val="103"/>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
    <w:nsid w:val="6DBF04F4"/>
    <w:multiLevelType w:val="multilevel"/>
    <w:tmpl w:val="6DBF04F4"/>
    <w:lvl w:ilvl="0" w:tentative="0">
      <w:start w:val="1"/>
      <w:numFmt w:val="none"/>
      <w:pStyle w:val="108"/>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76933334"/>
    <w:multiLevelType w:val="multilevel"/>
    <w:tmpl w:val="76933334"/>
    <w:lvl w:ilvl="0" w:tentative="0">
      <w:start w:val="1"/>
      <w:numFmt w:val="none"/>
      <w:pStyle w:val="86"/>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0"/>
  </w:num>
  <w:num w:numId="3">
    <w:abstractNumId w:val="6"/>
  </w:num>
  <w:num w:numId="4">
    <w:abstractNumId w:val="9"/>
  </w:num>
  <w:num w:numId="5">
    <w:abstractNumId w:val="2"/>
  </w:num>
  <w:num w:numId="6">
    <w:abstractNumId w:val="1"/>
  </w:num>
  <w:num w:numId="7">
    <w:abstractNumId w:val="5"/>
  </w:num>
  <w:num w:numId="8">
    <w:abstractNumId w:val="4"/>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attachedTemplate r:id="rId1"/>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AA6"/>
    <w:rsid w:val="00004D07"/>
    <w:rsid w:val="00005B27"/>
    <w:rsid w:val="00006F90"/>
    <w:rsid w:val="00010B6A"/>
    <w:rsid w:val="000122B9"/>
    <w:rsid w:val="000129A9"/>
    <w:rsid w:val="00013451"/>
    <w:rsid w:val="0001503B"/>
    <w:rsid w:val="00016EA3"/>
    <w:rsid w:val="00017753"/>
    <w:rsid w:val="00017D76"/>
    <w:rsid w:val="000209E8"/>
    <w:rsid w:val="00022AC7"/>
    <w:rsid w:val="00024559"/>
    <w:rsid w:val="00024B9B"/>
    <w:rsid w:val="00025E4A"/>
    <w:rsid w:val="00026A8F"/>
    <w:rsid w:val="0002721C"/>
    <w:rsid w:val="00027D18"/>
    <w:rsid w:val="00027DDB"/>
    <w:rsid w:val="00031515"/>
    <w:rsid w:val="00035C9A"/>
    <w:rsid w:val="0003686B"/>
    <w:rsid w:val="00036E96"/>
    <w:rsid w:val="000375B5"/>
    <w:rsid w:val="000426F8"/>
    <w:rsid w:val="00045C51"/>
    <w:rsid w:val="00045E2D"/>
    <w:rsid w:val="00046EB7"/>
    <w:rsid w:val="00047377"/>
    <w:rsid w:val="000474EE"/>
    <w:rsid w:val="00055BAF"/>
    <w:rsid w:val="000574A1"/>
    <w:rsid w:val="000628C8"/>
    <w:rsid w:val="00062BCB"/>
    <w:rsid w:val="0006460C"/>
    <w:rsid w:val="00064C72"/>
    <w:rsid w:val="00073ECE"/>
    <w:rsid w:val="000871E3"/>
    <w:rsid w:val="00094553"/>
    <w:rsid w:val="000A106B"/>
    <w:rsid w:val="000A17E4"/>
    <w:rsid w:val="000A2341"/>
    <w:rsid w:val="000A42FC"/>
    <w:rsid w:val="000A4C5D"/>
    <w:rsid w:val="000A5BFA"/>
    <w:rsid w:val="000A5E33"/>
    <w:rsid w:val="000A737B"/>
    <w:rsid w:val="000A78E9"/>
    <w:rsid w:val="000B18FD"/>
    <w:rsid w:val="000B1946"/>
    <w:rsid w:val="000B5D0B"/>
    <w:rsid w:val="000C168F"/>
    <w:rsid w:val="000C664A"/>
    <w:rsid w:val="000C7B20"/>
    <w:rsid w:val="000D0CBC"/>
    <w:rsid w:val="000D1048"/>
    <w:rsid w:val="000D1D41"/>
    <w:rsid w:val="000D25FB"/>
    <w:rsid w:val="000D5A55"/>
    <w:rsid w:val="000E0E62"/>
    <w:rsid w:val="000E231A"/>
    <w:rsid w:val="000E34FB"/>
    <w:rsid w:val="000F11BF"/>
    <w:rsid w:val="000F3BD0"/>
    <w:rsid w:val="000F4779"/>
    <w:rsid w:val="000F4D3B"/>
    <w:rsid w:val="00104899"/>
    <w:rsid w:val="0010722B"/>
    <w:rsid w:val="00107C4E"/>
    <w:rsid w:val="0011040B"/>
    <w:rsid w:val="00117FAD"/>
    <w:rsid w:val="00120945"/>
    <w:rsid w:val="0012245F"/>
    <w:rsid w:val="00124C29"/>
    <w:rsid w:val="00124CAB"/>
    <w:rsid w:val="00126780"/>
    <w:rsid w:val="00126C3B"/>
    <w:rsid w:val="00130A4B"/>
    <w:rsid w:val="00133324"/>
    <w:rsid w:val="00133A95"/>
    <w:rsid w:val="00140206"/>
    <w:rsid w:val="00144C18"/>
    <w:rsid w:val="00144DB6"/>
    <w:rsid w:val="00146832"/>
    <w:rsid w:val="00147190"/>
    <w:rsid w:val="00147F6E"/>
    <w:rsid w:val="00150564"/>
    <w:rsid w:val="001531C4"/>
    <w:rsid w:val="001575A6"/>
    <w:rsid w:val="001576C0"/>
    <w:rsid w:val="00160545"/>
    <w:rsid w:val="00161CE0"/>
    <w:rsid w:val="001642C4"/>
    <w:rsid w:val="00165F95"/>
    <w:rsid w:val="00167CA8"/>
    <w:rsid w:val="00167F2E"/>
    <w:rsid w:val="0017433D"/>
    <w:rsid w:val="001746A1"/>
    <w:rsid w:val="0017754A"/>
    <w:rsid w:val="00181846"/>
    <w:rsid w:val="001825B2"/>
    <w:rsid w:val="00182823"/>
    <w:rsid w:val="00184658"/>
    <w:rsid w:val="00184FC7"/>
    <w:rsid w:val="00186029"/>
    <w:rsid w:val="0018616B"/>
    <w:rsid w:val="00186B90"/>
    <w:rsid w:val="00190705"/>
    <w:rsid w:val="0019242B"/>
    <w:rsid w:val="00192899"/>
    <w:rsid w:val="001957AB"/>
    <w:rsid w:val="00197156"/>
    <w:rsid w:val="001A1159"/>
    <w:rsid w:val="001A4ED7"/>
    <w:rsid w:val="001B025F"/>
    <w:rsid w:val="001B0EB9"/>
    <w:rsid w:val="001B121D"/>
    <w:rsid w:val="001B7B4F"/>
    <w:rsid w:val="001C0E0E"/>
    <w:rsid w:val="001C125C"/>
    <w:rsid w:val="001C2D0A"/>
    <w:rsid w:val="001C39FB"/>
    <w:rsid w:val="001C615D"/>
    <w:rsid w:val="001D460E"/>
    <w:rsid w:val="001D5165"/>
    <w:rsid w:val="001E0864"/>
    <w:rsid w:val="001E7135"/>
    <w:rsid w:val="001F32A6"/>
    <w:rsid w:val="001F4520"/>
    <w:rsid w:val="001F5CA9"/>
    <w:rsid w:val="001F6971"/>
    <w:rsid w:val="001F7653"/>
    <w:rsid w:val="00202437"/>
    <w:rsid w:val="0020359B"/>
    <w:rsid w:val="00203E38"/>
    <w:rsid w:val="00205D87"/>
    <w:rsid w:val="002076E6"/>
    <w:rsid w:val="002101A8"/>
    <w:rsid w:val="00210496"/>
    <w:rsid w:val="0021477F"/>
    <w:rsid w:val="0022098A"/>
    <w:rsid w:val="00220CF0"/>
    <w:rsid w:val="00221037"/>
    <w:rsid w:val="0022160F"/>
    <w:rsid w:val="00221F10"/>
    <w:rsid w:val="00223BF6"/>
    <w:rsid w:val="0022426A"/>
    <w:rsid w:val="0022427B"/>
    <w:rsid w:val="0023045B"/>
    <w:rsid w:val="002308C0"/>
    <w:rsid w:val="00231F44"/>
    <w:rsid w:val="00233ACF"/>
    <w:rsid w:val="002377A2"/>
    <w:rsid w:val="00241176"/>
    <w:rsid w:val="0024205E"/>
    <w:rsid w:val="002428BB"/>
    <w:rsid w:val="002439AC"/>
    <w:rsid w:val="00244046"/>
    <w:rsid w:val="002453E7"/>
    <w:rsid w:val="0024597B"/>
    <w:rsid w:val="00246071"/>
    <w:rsid w:val="00246FCB"/>
    <w:rsid w:val="0025414F"/>
    <w:rsid w:val="00255761"/>
    <w:rsid w:val="002578CA"/>
    <w:rsid w:val="00260441"/>
    <w:rsid w:val="00261EF1"/>
    <w:rsid w:val="002623BE"/>
    <w:rsid w:val="00262649"/>
    <w:rsid w:val="00265007"/>
    <w:rsid w:val="0027683F"/>
    <w:rsid w:val="00276A25"/>
    <w:rsid w:val="00280E76"/>
    <w:rsid w:val="00282BEB"/>
    <w:rsid w:val="00285CAC"/>
    <w:rsid w:val="0029026F"/>
    <w:rsid w:val="0029143C"/>
    <w:rsid w:val="00291AC4"/>
    <w:rsid w:val="00291E17"/>
    <w:rsid w:val="002921B7"/>
    <w:rsid w:val="00292B86"/>
    <w:rsid w:val="00296365"/>
    <w:rsid w:val="00297D7A"/>
    <w:rsid w:val="002A74B9"/>
    <w:rsid w:val="002B0454"/>
    <w:rsid w:val="002B3E75"/>
    <w:rsid w:val="002B5929"/>
    <w:rsid w:val="002B6188"/>
    <w:rsid w:val="002B6D39"/>
    <w:rsid w:val="002C1BE6"/>
    <w:rsid w:val="002C403C"/>
    <w:rsid w:val="002C5AAD"/>
    <w:rsid w:val="002C760B"/>
    <w:rsid w:val="002D5F9D"/>
    <w:rsid w:val="002D6EEF"/>
    <w:rsid w:val="002D7808"/>
    <w:rsid w:val="002E0BFD"/>
    <w:rsid w:val="002E25E8"/>
    <w:rsid w:val="002E3920"/>
    <w:rsid w:val="002E41DB"/>
    <w:rsid w:val="002E5811"/>
    <w:rsid w:val="002F02CD"/>
    <w:rsid w:val="002F0803"/>
    <w:rsid w:val="002F46EE"/>
    <w:rsid w:val="002F4A4F"/>
    <w:rsid w:val="002F5CFB"/>
    <w:rsid w:val="002F7ADE"/>
    <w:rsid w:val="0030090A"/>
    <w:rsid w:val="00301052"/>
    <w:rsid w:val="00304846"/>
    <w:rsid w:val="00305974"/>
    <w:rsid w:val="00306DBC"/>
    <w:rsid w:val="0031243A"/>
    <w:rsid w:val="003129C1"/>
    <w:rsid w:val="00314918"/>
    <w:rsid w:val="00315054"/>
    <w:rsid w:val="00315293"/>
    <w:rsid w:val="00316AC1"/>
    <w:rsid w:val="00317258"/>
    <w:rsid w:val="00320562"/>
    <w:rsid w:val="00320580"/>
    <w:rsid w:val="00323C91"/>
    <w:rsid w:val="003248DE"/>
    <w:rsid w:val="00330660"/>
    <w:rsid w:val="00331B27"/>
    <w:rsid w:val="00340FCC"/>
    <w:rsid w:val="00343E70"/>
    <w:rsid w:val="00347923"/>
    <w:rsid w:val="00350B0A"/>
    <w:rsid w:val="003538D6"/>
    <w:rsid w:val="00354166"/>
    <w:rsid w:val="00356719"/>
    <w:rsid w:val="00357A74"/>
    <w:rsid w:val="003612AF"/>
    <w:rsid w:val="00361F70"/>
    <w:rsid w:val="00364E60"/>
    <w:rsid w:val="00365132"/>
    <w:rsid w:val="003710B6"/>
    <w:rsid w:val="00373079"/>
    <w:rsid w:val="0037406D"/>
    <w:rsid w:val="003749C6"/>
    <w:rsid w:val="00380FBD"/>
    <w:rsid w:val="0038403A"/>
    <w:rsid w:val="00387FDA"/>
    <w:rsid w:val="00392778"/>
    <w:rsid w:val="00392CBB"/>
    <w:rsid w:val="00393C13"/>
    <w:rsid w:val="003954BD"/>
    <w:rsid w:val="0039563C"/>
    <w:rsid w:val="00396599"/>
    <w:rsid w:val="00396765"/>
    <w:rsid w:val="003A2D0D"/>
    <w:rsid w:val="003A650F"/>
    <w:rsid w:val="003A797A"/>
    <w:rsid w:val="003B0596"/>
    <w:rsid w:val="003B589E"/>
    <w:rsid w:val="003C1B6F"/>
    <w:rsid w:val="003C1DD3"/>
    <w:rsid w:val="003C1EA6"/>
    <w:rsid w:val="003C2D49"/>
    <w:rsid w:val="003C3B4D"/>
    <w:rsid w:val="003C4D04"/>
    <w:rsid w:val="003C7FE6"/>
    <w:rsid w:val="003D00A9"/>
    <w:rsid w:val="003D4DD2"/>
    <w:rsid w:val="003D5496"/>
    <w:rsid w:val="003D6809"/>
    <w:rsid w:val="003D790A"/>
    <w:rsid w:val="003E0D57"/>
    <w:rsid w:val="003E22A0"/>
    <w:rsid w:val="003E26FF"/>
    <w:rsid w:val="003E31F3"/>
    <w:rsid w:val="003E35B0"/>
    <w:rsid w:val="003E5430"/>
    <w:rsid w:val="003E5BE4"/>
    <w:rsid w:val="003E63FD"/>
    <w:rsid w:val="003E6DB5"/>
    <w:rsid w:val="003F173E"/>
    <w:rsid w:val="003F1F9D"/>
    <w:rsid w:val="003F20B6"/>
    <w:rsid w:val="003F22B2"/>
    <w:rsid w:val="003F36C1"/>
    <w:rsid w:val="003F5FF2"/>
    <w:rsid w:val="003F641D"/>
    <w:rsid w:val="003F7F97"/>
    <w:rsid w:val="0040282D"/>
    <w:rsid w:val="004053E7"/>
    <w:rsid w:val="00405C24"/>
    <w:rsid w:val="00406C0F"/>
    <w:rsid w:val="004078EB"/>
    <w:rsid w:val="00407A41"/>
    <w:rsid w:val="00410D77"/>
    <w:rsid w:val="004151EB"/>
    <w:rsid w:val="004160DC"/>
    <w:rsid w:val="00416FC2"/>
    <w:rsid w:val="004174B9"/>
    <w:rsid w:val="00420F38"/>
    <w:rsid w:val="004211A4"/>
    <w:rsid w:val="00423221"/>
    <w:rsid w:val="00425D56"/>
    <w:rsid w:val="0042757E"/>
    <w:rsid w:val="00431088"/>
    <w:rsid w:val="00435017"/>
    <w:rsid w:val="00436433"/>
    <w:rsid w:val="00437E79"/>
    <w:rsid w:val="00440988"/>
    <w:rsid w:val="0044263E"/>
    <w:rsid w:val="00442BEC"/>
    <w:rsid w:val="00442D1B"/>
    <w:rsid w:val="00443F16"/>
    <w:rsid w:val="00444EBF"/>
    <w:rsid w:val="00447187"/>
    <w:rsid w:val="00447540"/>
    <w:rsid w:val="00447955"/>
    <w:rsid w:val="00447C14"/>
    <w:rsid w:val="00447FDF"/>
    <w:rsid w:val="004569D5"/>
    <w:rsid w:val="004602C9"/>
    <w:rsid w:val="004626B5"/>
    <w:rsid w:val="00463375"/>
    <w:rsid w:val="0046373B"/>
    <w:rsid w:val="00465DBE"/>
    <w:rsid w:val="00474540"/>
    <w:rsid w:val="004749A1"/>
    <w:rsid w:val="00480B52"/>
    <w:rsid w:val="0048690D"/>
    <w:rsid w:val="004908CA"/>
    <w:rsid w:val="00491655"/>
    <w:rsid w:val="004937C1"/>
    <w:rsid w:val="00493A44"/>
    <w:rsid w:val="004942A7"/>
    <w:rsid w:val="004954E3"/>
    <w:rsid w:val="00495A81"/>
    <w:rsid w:val="004962C8"/>
    <w:rsid w:val="004A0DC7"/>
    <w:rsid w:val="004A0FFF"/>
    <w:rsid w:val="004A1B8C"/>
    <w:rsid w:val="004A26EA"/>
    <w:rsid w:val="004A6941"/>
    <w:rsid w:val="004B1A0C"/>
    <w:rsid w:val="004B2BC9"/>
    <w:rsid w:val="004B32C1"/>
    <w:rsid w:val="004B33B3"/>
    <w:rsid w:val="004B3A3A"/>
    <w:rsid w:val="004B6464"/>
    <w:rsid w:val="004C186B"/>
    <w:rsid w:val="004C1F1F"/>
    <w:rsid w:val="004C32D9"/>
    <w:rsid w:val="004C4FC4"/>
    <w:rsid w:val="004C5F45"/>
    <w:rsid w:val="004C73D1"/>
    <w:rsid w:val="004D7CC7"/>
    <w:rsid w:val="004E34E3"/>
    <w:rsid w:val="004E37F9"/>
    <w:rsid w:val="004E39F2"/>
    <w:rsid w:val="004E45B0"/>
    <w:rsid w:val="004E714E"/>
    <w:rsid w:val="004F08AA"/>
    <w:rsid w:val="004F26E3"/>
    <w:rsid w:val="004F3958"/>
    <w:rsid w:val="004F4DEC"/>
    <w:rsid w:val="004F6B43"/>
    <w:rsid w:val="004F6BC4"/>
    <w:rsid w:val="004F6C74"/>
    <w:rsid w:val="004F7D9C"/>
    <w:rsid w:val="005000B5"/>
    <w:rsid w:val="00500558"/>
    <w:rsid w:val="0050056C"/>
    <w:rsid w:val="00501136"/>
    <w:rsid w:val="005019BD"/>
    <w:rsid w:val="00502224"/>
    <w:rsid w:val="0050300F"/>
    <w:rsid w:val="005054D1"/>
    <w:rsid w:val="00505B2D"/>
    <w:rsid w:val="0051085F"/>
    <w:rsid w:val="005121BA"/>
    <w:rsid w:val="005122FB"/>
    <w:rsid w:val="00512517"/>
    <w:rsid w:val="00513F9F"/>
    <w:rsid w:val="005163B8"/>
    <w:rsid w:val="00521764"/>
    <w:rsid w:val="00524B1D"/>
    <w:rsid w:val="00525201"/>
    <w:rsid w:val="005261E5"/>
    <w:rsid w:val="005335A9"/>
    <w:rsid w:val="00533BD4"/>
    <w:rsid w:val="00534D11"/>
    <w:rsid w:val="00536296"/>
    <w:rsid w:val="005362DB"/>
    <w:rsid w:val="00536950"/>
    <w:rsid w:val="00537037"/>
    <w:rsid w:val="00537926"/>
    <w:rsid w:val="00541AF3"/>
    <w:rsid w:val="005424F3"/>
    <w:rsid w:val="005450BD"/>
    <w:rsid w:val="00545C50"/>
    <w:rsid w:val="00551C12"/>
    <w:rsid w:val="005532F6"/>
    <w:rsid w:val="00553465"/>
    <w:rsid w:val="00555DB6"/>
    <w:rsid w:val="00556EC3"/>
    <w:rsid w:val="005575BC"/>
    <w:rsid w:val="0056083F"/>
    <w:rsid w:val="00561DDC"/>
    <w:rsid w:val="005629F6"/>
    <w:rsid w:val="00564117"/>
    <w:rsid w:val="00564F89"/>
    <w:rsid w:val="00564FFB"/>
    <w:rsid w:val="0057255F"/>
    <w:rsid w:val="0057415C"/>
    <w:rsid w:val="005749A8"/>
    <w:rsid w:val="00576297"/>
    <w:rsid w:val="00576EE6"/>
    <w:rsid w:val="0058241C"/>
    <w:rsid w:val="005827FC"/>
    <w:rsid w:val="00584F2E"/>
    <w:rsid w:val="005855A8"/>
    <w:rsid w:val="005869EF"/>
    <w:rsid w:val="005877F6"/>
    <w:rsid w:val="005905EB"/>
    <w:rsid w:val="00591544"/>
    <w:rsid w:val="00591AD8"/>
    <w:rsid w:val="00592F88"/>
    <w:rsid w:val="005932A4"/>
    <w:rsid w:val="005935C5"/>
    <w:rsid w:val="00593EE9"/>
    <w:rsid w:val="0059695C"/>
    <w:rsid w:val="005A0531"/>
    <w:rsid w:val="005A0629"/>
    <w:rsid w:val="005A077B"/>
    <w:rsid w:val="005A0C1A"/>
    <w:rsid w:val="005A2CAB"/>
    <w:rsid w:val="005A36D8"/>
    <w:rsid w:val="005A46C6"/>
    <w:rsid w:val="005A4A7F"/>
    <w:rsid w:val="005A5DBF"/>
    <w:rsid w:val="005B1B78"/>
    <w:rsid w:val="005B203B"/>
    <w:rsid w:val="005B2D42"/>
    <w:rsid w:val="005B3FDF"/>
    <w:rsid w:val="005C13D3"/>
    <w:rsid w:val="005C1B5C"/>
    <w:rsid w:val="005D0853"/>
    <w:rsid w:val="005D0932"/>
    <w:rsid w:val="005D5999"/>
    <w:rsid w:val="005D7F48"/>
    <w:rsid w:val="005E4E16"/>
    <w:rsid w:val="005E7A5E"/>
    <w:rsid w:val="005F0333"/>
    <w:rsid w:val="005F1301"/>
    <w:rsid w:val="005F1589"/>
    <w:rsid w:val="00604E54"/>
    <w:rsid w:val="0060684B"/>
    <w:rsid w:val="00607610"/>
    <w:rsid w:val="00611697"/>
    <w:rsid w:val="00613416"/>
    <w:rsid w:val="00614D75"/>
    <w:rsid w:val="00615E84"/>
    <w:rsid w:val="00625620"/>
    <w:rsid w:val="0062620B"/>
    <w:rsid w:val="006300C7"/>
    <w:rsid w:val="006305CB"/>
    <w:rsid w:val="006316E7"/>
    <w:rsid w:val="00632184"/>
    <w:rsid w:val="006324D7"/>
    <w:rsid w:val="00634E40"/>
    <w:rsid w:val="00637DCD"/>
    <w:rsid w:val="00640348"/>
    <w:rsid w:val="00642902"/>
    <w:rsid w:val="00642F4D"/>
    <w:rsid w:val="0064477E"/>
    <w:rsid w:val="006468F8"/>
    <w:rsid w:val="00646FC3"/>
    <w:rsid w:val="006507EE"/>
    <w:rsid w:val="00651CCA"/>
    <w:rsid w:val="00653C6D"/>
    <w:rsid w:val="00653F1F"/>
    <w:rsid w:val="006560EF"/>
    <w:rsid w:val="006566FD"/>
    <w:rsid w:val="00663F56"/>
    <w:rsid w:val="00665B50"/>
    <w:rsid w:val="006666D1"/>
    <w:rsid w:val="00666F34"/>
    <w:rsid w:val="00672DB5"/>
    <w:rsid w:val="0068308C"/>
    <w:rsid w:val="00684977"/>
    <w:rsid w:val="0068657B"/>
    <w:rsid w:val="006865FC"/>
    <w:rsid w:val="00686D7E"/>
    <w:rsid w:val="00690125"/>
    <w:rsid w:val="00690DCB"/>
    <w:rsid w:val="00693BCE"/>
    <w:rsid w:val="00694E03"/>
    <w:rsid w:val="006A00FD"/>
    <w:rsid w:val="006A53F8"/>
    <w:rsid w:val="006B204F"/>
    <w:rsid w:val="006B50D8"/>
    <w:rsid w:val="006B6D6F"/>
    <w:rsid w:val="006B7E17"/>
    <w:rsid w:val="006C0FB1"/>
    <w:rsid w:val="006C12F1"/>
    <w:rsid w:val="006C1AA6"/>
    <w:rsid w:val="006C2CAC"/>
    <w:rsid w:val="006C4C2D"/>
    <w:rsid w:val="006C525B"/>
    <w:rsid w:val="006D0895"/>
    <w:rsid w:val="006D15BB"/>
    <w:rsid w:val="006D3BC6"/>
    <w:rsid w:val="006D4A51"/>
    <w:rsid w:val="006D5210"/>
    <w:rsid w:val="006D5704"/>
    <w:rsid w:val="006E2735"/>
    <w:rsid w:val="006E33BE"/>
    <w:rsid w:val="006E37D8"/>
    <w:rsid w:val="006E7750"/>
    <w:rsid w:val="006F1AC2"/>
    <w:rsid w:val="006F62A5"/>
    <w:rsid w:val="006F6B62"/>
    <w:rsid w:val="006F6F94"/>
    <w:rsid w:val="007057B8"/>
    <w:rsid w:val="00706802"/>
    <w:rsid w:val="00711431"/>
    <w:rsid w:val="00712EF1"/>
    <w:rsid w:val="007163E4"/>
    <w:rsid w:val="00725207"/>
    <w:rsid w:val="00730226"/>
    <w:rsid w:val="0073290A"/>
    <w:rsid w:val="0073528E"/>
    <w:rsid w:val="007354C6"/>
    <w:rsid w:val="00752E7A"/>
    <w:rsid w:val="007530D4"/>
    <w:rsid w:val="0075562C"/>
    <w:rsid w:val="0075643E"/>
    <w:rsid w:val="0075705E"/>
    <w:rsid w:val="007570BD"/>
    <w:rsid w:val="00757295"/>
    <w:rsid w:val="007573D7"/>
    <w:rsid w:val="007607FA"/>
    <w:rsid w:val="0076269B"/>
    <w:rsid w:val="00763D90"/>
    <w:rsid w:val="00777222"/>
    <w:rsid w:val="00786D89"/>
    <w:rsid w:val="007903CF"/>
    <w:rsid w:val="007904FA"/>
    <w:rsid w:val="007941E6"/>
    <w:rsid w:val="00794517"/>
    <w:rsid w:val="007A03ED"/>
    <w:rsid w:val="007A128F"/>
    <w:rsid w:val="007A2640"/>
    <w:rsid w:val="007A26AF"/>
    <w:rsid w:val="007A4938"/>
    <w:rsid w:val="007A4C8E"/>
    <w:rsid w:val="007A53AD"/>
    <w:rsid w:val="007B045B"/>
    <w:rsid w:val="007B0888"/>
    <w:rsid w:val="007B177B"/>
    <w:rsid w:val="007B28F3"/>
    <w:rsid w:val="007B50C2"/>
    <w:rsid w:val="007C40DF"/>
    <w:rsid w:val="007C4394"/>
    <w:rsid w:val="007C48E3"/>
    <w:rsid w:val="007C512C"/>
    <w:rsid w:val="007C7461"/>
    <w:rsid w:val="007E0D5E"/>
    <w:rsid w:val="007E445E"/>
    <w:rsid w:val="007E61EB"/>
    <w:rsid w:val="007E706B"/>
    <w:rsid w:val="007E7D6B"/>
    <w:rsid w:val="007F030D"/>
    <w:rsid w:val="007F2124"/>
    <w:rsid w:val="007F7AC9"/>
    <w:rsid w:val="00802002"/>
    <w:rsid w:val="00803577"/>
    <w:rsid w:val="00803891"/>
    <w:rsid w:val="008049B3"/>
    <w:rsid w:val="008055A7"/>
    <w:rsid w:val="0080657C"/>
    <w:rsid w:val="00810094"/>
    <w:rsid w:val="008100E2"/>
    <w:rsid w:val="00810D90"/>
    <w:rsid w:val="00814DAD"/>
    <w:rsid w:val="00814DD2"/>
    <w:rsid w:val="00814E23"/>
    <w:rsid w:val="008155D9"/>
    <w:rsid w:val="00815BC6"/>
    <w:rsid w:val="00816AE9"/>
    <w:rsid w:val="00816B0D"/>
    <w:rsid w:val="00817BB4"/>
    <w:rsid w:val="008210A1"/>
    <w:rsid w:val="00821E26"/>
    <w:rsid w:val="00822501"/>
    <w:rsid w:val="00822D1D"/>
    <w:rsid w:val="00832D6F"/>
    <w:rsid w:val="00837C80"/>
    <w:rsid w:val="008443DE"/>
    <w:rsid w:val="00844DE7"/>
    <w:rsid w:val="008471BA"/>
    <w:rsid w:val="00847AD3"/>
    <w:rsid w:val="00847C80"/>
    <w:rsid w:val="008501B1"/>
    <w:rsid w:val="00852068"/>
    <w:rsid w:val="008533DA"/>
    <w:rsid w:val="008535EF"/>
    <w:rsid w:val="008544B4"/>
    <w:rsid w:val="00854FDD"/>
    <w:rsid w:val="00857D21"/>
    <w:rsid w:val="0086645D"/>
    <w:rsid w:val="008665E2"/>
    <w:rsid w:val="00867200"/>
    <w:rsid w:val="0087264A"/>
    <w:rsid w:val="00872BC5"/>
    <w:rsid w:val="0087346E"/>
    <w:rsid w:val="008767E3"/>
    <w:rsid w:val="00877BEE"/>
    <w:rsid w:val="008800AD"/>
    <w:rsid w:val="00880534"/>
    <w:rsid w:val="008835C5"/>
    <w:rsid w:val="008846E8"/>
    <w:rsid w:val="008864D0"/>
    <w:rsid w:val="00892393"/>
    <w:rsid w:val="008927A8"/>
    <w:rsid w:val="00893DE9"/>
    <w:rsid w:val="008A1351"/>
    <w:rsid w:val="008A1A96"/>
    <w:rsid w:val="008A1CFB"/>
    <w:rsid w:val="008A2939"/>
    <w:rsid w:val="008A32D2"/>
    <w:rsid w:val="008A3504"/>
    <w:rsid w:val="008B027E"/>
    <w:rsid w:val="008B0BC6"/>
    <w:rsid w:val="008B11B9"/>
    <w:rsid w:val="008B49C5"/>
    <w:rsid w:val="008B523B"/>
    <w:rsid w:val="008C2EAB"/>
    <w:rsid w:val="008C3FB3"/>
    <w:rsid w:val="008C4558"/>
    <w:rsid w:val="008C784D"/>
    <w:rsid w:val="008C7B5D"/>
    <w:rsid w:val="008D1B8C"/>
    <w:rsid w:val="008D503A"/>
    <w:rsid w:val="008D6E32"/>
    <w:rsid w:val="008D7351"/>
    <w:rsid w:val="008E2107"/>
    <w:rsid w:val="008E2578"/>
    <w:rsid w:val="008F0902"/>
    <w:rsid w:val="008F46BC"/>
    <w:rsid w:val="008F5F12"/>
    <w:rsid w:val="0090032A"/>
    <w:rsid w:val="009007C4"/>
    <w:rsid w:val="00902F31"/>
    <w:rsid w:val="00904FAA"/>
    <w:rsid w:val="009058AA"/>
    <w:rsid w:val="00905E5F"/>
    <w:rsid w:val="00907C2A"/>
    <w:rsid w:val="0091032C"/>
    <w:rsid w:val="009103CE"/>
    <w:rsid w:val="0091070F"/>
    <w:rsid w:val="009107BA"/>
    <w:rsid w:val="009130A5"/>
    <w:rsid w:val="009136D4"/>
    <w:rsid w:val="00916823"/>
    <w:rsid w:val="00920E8C"/>
    <w:rsid w:val="00921C5B"/>
    <w:rsid w:val="009222EB"/>
    <w:rsid w:val="009223D5"/>
    <w:rsid w:val="00924DC4"/>
    <w:rsid w:val="00924EEF"/>
    <w:rsid w:val="00925270"/>
    <w:rsid w:val="009300EE"/>
    <w:rsid w:val="009310A2"/>
    <w:rsid w:val="00931A67"/>
    <w:rsid w:val="0093409D"/>
    <w:rsid w:val="00940F07"/>
    <w:rsid w:val="00941012"/>
    <w:rsid w:val="0094511D"/>
    <w:rsid w:val="00945AAA"/>
    <w:rsid w:val="00951640"/>
    <w:rsid w:val="0095395B"/>
    <w:rsid w:val="009561E4"/>
    <w:rsid w:val="00962F0D"/>
    <w:rsid w:val="0096392C"/>
    <w:rsid w:val="009645C0"/>
    <w:rsid w:val="009654A6"/>
    <w:rsid w:val="00966A8C"/>
    <w:rsid w:val="00966CA7"/>
    <w:rsid w:val="0096788F"/>
    <w:rsid w:val="00967C21"/>
    <w:rsid w:val="00972F58"/>
    <w:rsid w:val="00974139"/>
    <w:rsid w:val="00974C2F"/>
    <w:rsid w:val="00975D15"/>
    <w:rsid w:val="009768F1"/>
    <w:rsid w:val="00977368"/>
    <w:rsid w:val="00977903"/>
    <w:rsid w:val="0098114A"/>
    <w:rsid w:val="009867AB"/>
    <w:rsid w:val="00987FD4"/>
    <w:rsid w:val="00990F3A"/>
    <w:rsid w:val="009915BF"/>
    <w:rsid w:val="009918C3"/>
    <w:rsid w:val="00991FAE"/>
    <w:rsid w:val="00991FB9"/>
    <w:rsid w:val="00992236"/>
    <w:rsid w:val="0099253F"/>
    <w:rsid w:val="00993335"/>
    <w:rsid w:val="00994E1E"/>
    <w:rsid w:val="009A0BA4"/>
    <w:rsid w:val="009A1B0B"/>
    <w:rsid w:val="009A2D0F"/>
    <w:rsid w:val="009A50BB"/>
    <w:rsid w:val="009A753E"/>
    <w:rsid w:val="009A7588"/>
    <w:rsid w:val="009B1807"/>
    <w:rsid w:val="009B1A08"/>
    <w:rsid w:val="009B2586"/>
    <w:rsid w:val="009B2B6F"/>
    <w:rsid w:val="009B47D6"/>
    <w:rsid w:val="009C4FAF"/>
    <w:rsid w:val="009C65F4"/>
    <w:rsid w:val="009C6B28"/>
    <w:rsid w:val="009D0DFC"/>
    <w:rsid w:val="009D220A"/>
    <w:rsid w:val="009D281D"/>
    <w:rsid w:val="009D2EF2"/>
    <w:rsid w:val="009D44C0"/>
    <w:rsid w:val="009D6FC6"/>
    <w:rsid w:val="009E2721"/>
    <w:rsid w:val="009E2F89"/>
    <w:rsid w:val="009E32AE"/>
    <w:rsid w:val="009E3615"/>
    <w:rsid w:val="009E59F9"/>
    <w:rsid w:val="009E70A6"/>
    <w:rsid w:val="009E7BBE"/>
    <w:rsid w:val="009E7D19"/>
    <w:rsid w:val="009F2D7C"/>
    <w:rsid w:val="00A0014E"/>
    <w:rsid w:val="00A04CAE"/>
    <w:rsid w:val="00A10655"/>
    <w:rsid w:val="00A10DB7"/>
    <w:rsid w:val="00A1293D"/>
    <w:rsid w:val="00A12BFF"/>
    <w:rsid w:val="00A1375B"/>
    <w:rsid w:val="00A143BB"/>
    <w:rsid w:val="00A15374"/>
    <w:rsid w:val="00A16D21"/>
    <w:rsid w:val="00A16D5A"/>
    <w:rsid w:val="00A20066"/>
    <w:rsid w:val="00A21E05"/>
    <w:rsid w:val="00A22B1B"/>
    <w:rsid w:val="00A23C3B"/>
    <w:rsid w:val="00A23CF3"/>
    <w:rsid w:val="00A23F1A"/>
    <w:rsid w:val="00A27BED"/>
    <w:rsid w:val="00A30C0D"/>
    <w:rsid w:val="00A34CE7"/>
    <w:rsid w:val="00A35548"/>
    <w:rsid w:val="00A36CC8"/>
    <w:rsid w:val="00A4014B"/>
    <w:rsid w:val="00A466B6"/>
    <w:rsid w:val="00A50E8B"/>
    <w:rsid w:val="00A548E0"/>
    <w:rsid w:val="00A54D74"/>
    <w:rsid w:val="00A5612A"/>
    <w:rsid w:val="00A579B6"/>
    <w:rsid w:val="00A57B8B"/>
    <w:rsid w:val="00A620D9"/>
    <w:rsid w:val="00A65072"/>
    <w:rsid w:val="00A71A1E"/>
    <w:rsid w:val="00A725B3"/>
    <w:rsid w:val="00A73A77"/>
    <w:rsid w:val="00A75DBE"/>
    <w:rsid w:val="00A776FD"/>
    <w:rsid w:val="00A77EA7"/>
    <w:rsid w:val="00A85736"/>
    <w:rsid w:val="00A857CD"/>
    <w:rsid w:val="00A87DA0"/>
    <w:rsid w:val="00A92C6D"/>
    <w:rsid w:val="00A955F6"/>
    <w:rsid w:val="00A97A64"/>
    <w:rsid w:val="00A97F2F"/>
    <w:rsid w:val="00AA1EEB"/>
    <w:rsid w:val="00AA5684"/>
    <w:rsid w:val="00AA6D93"/>
    <w:rsid w:val="00AB0F18"/>
    <w:rsid w:val="00AB1548"/>
    <w:rsid w:val="00AB2C65"/>
    <w:rsid w:val="00AB2F44"/>
    <w:rsid w:val="00AC19EA"/>
    <w:rsid w:val="00AD25A8"/>
    <w:rsid w:val="00AD3425"/>
    <w:rsid w:val="00AD35C2"/>
    <w:rsid w:val="00AD3D4D"/>
    <w:rsid w:val="00AD4D66"/>
    <w:rsid w:val="00AD6B80"/>
    <w:rsid w:val="00AE0A83"/>
    <w:rsid w:val="00AE19BE"/>
    <w:rsid w:val="00AE3244"/>
    <w:rsid w:val="00AE4184"/>
    <w:rsid w:val="00AE5193"/>
    <w:rsid w:val="00AE5AED"/>
    <w:rsid w:val="00AE6335"/>
    <w:rsid w:val="00AE70D1"/>
    <w:rsid w:val="00AE7BE8"/>
    <w:rsid w:val="00AE7C81"/>
    <w:rsid w:val="00AE7E2E"/>
    <w:rsid w:val="00AF3251"/>
    <w:rsid w:val="00AF47E1"/>
    <w:rsid w:val="00AF4BAA"/>
    <w:rsid w:val="00AF500C"/>
    <w:rsid w:val="00AF5526"/>
    <w:rsid w:val="00AF5B8E"/>
    <w:rsid w:val="00AF6BF9"/>
    <w:rsid w:val="00B00E47"/>
    <w:rsid w:val="00B03A07"/>
    <w:rsid w:val="00B05F10"/>
    <w:rsid w:val="00B06B2A"/>
    <w:rsid w:val="00B124FA"/>
    <w:rsid w:val="00B12862"/>
    <w:rsid w:val="00B13F4B"/>
    <w:rsid w:val="00B14E69"/>
    <w:rsid w:val="00B14F93"/>
    <w:rsid w:val="00B14FCE"/>
    <w:rsid w:val="00B15672"/>
    <w:rsid w:val="00B17C22"/>
    <w:rsid w:val="00B2041D"/>
    <w:rsid w:val="00B21884"/>
    <w:rsid w:val="00B22FB0"/>
    <w:rsid w:val="00B258DC"/>
    <w:rsid w:val="00B26178"/>
    <w:rsid w:val="00B261E8"/>
    <w:rsid w:val="00B308EF"/>
    <w:rsid w:val="00B33964"/>
    <w:rsid w:val="00B365E2"/>
    <w:rsid w:val="00B37060"/>
    <w:rsid w:val="00B37859"/>
    <w:rsid w:val="00B4463F"/>
    <w:rsid w:val="00B4618C"/>
    <w:rsid w:val="00B472FB"/>
    <w:rsid w:val="00B47412"/>
    <w:rsid w:val="00B50D75"/>
    <w:rsid w:val="00B5257B"/>
    <w:rsid w:val="00B53724"/>
    <w:rsid w:val="00B53E60"/>
    <w:rsid w:val="00B602FD"/>
    <w:rsid w:val="00B60F44"/>
    <w:rsid w:val="00B618E4"/>
    <w:rsid w:val="00B61D3B"/>
    <w:rsid w:val="00B6217D"/>
    <w:rsid w:val="00B62C3D"/>
    <w:rsid w:val="00B653BE"/>
    <w:rsid w:val="00B67520"/>
    <w:rsid w:val="00B70328"/>
    <w:rsid w:val="00B82804"/>
    <w:rsid w:val="00B83261"/>
    <w:rsid w:val="00B83ADE"/>
    <w:rsid w:val="00B854FE"/>
    <w:rsid w:val="00B8704F"/>
    <w:rsid w:val="00B9141A"/>
    <w:rsid w:val="00B917D4"/>
    <w:rsid w:val="00B91A2D"/>
    <w:rsid w:val="00B9715E"/>
    <w:rsid w:val="00B971B9"/>
    <w:rsid w:val="00B97783"/>
    <w:rsid w:val="00BA18C6"/>
    <w:rsid w:val="00BA2CD5"/>
    <w:rsid w:val="00BA4875"/>
    <w:rsid w:val="00BA4DCA"/>
    <w:rsid w:val="00BB2347"/>
    <w:rsid w:val="00BB341D"/>
    <w:rsid w:val="00BB4B2F"/>
    <w:rsid w:val="00BB6C87"/>
    <w:rsid w:val="00BB7651"/>
    <w:rsid w:val="00BC387A"/>
    <w:rsid w:val="00BC46C2"/>
    <w:rsid w:val="00BC47FA"/>
    <w:rsid w:val="00BD0FF5"/>
    <w:rsid w:val="00BD108D"/>
    <w:rsid w:val="00BD3335"/>
    <w:rsid w:val="00BD70AF"/>
    <w:rsid w:val="00BE1AA9"/>
    <w:rsid w:val="00BE383A"/>
    <w:rsid w:val="00BE57F9"/>
    <w:rsid w:val="00BE69EA"/>
    <w:rsid w:val="00BF0686"/>
    <w:rsid w:val="00BF1095"/>
    <w:rsid w:val="00BF1270"/>
    <w:rsid w:val="00BF2353"/>
    <w:rsid w:val="00BF25F5"/>
    <w:rsid w:val="00BF3368"/>
    <w:rsid w:val="00BF3B8A"/>
    <w:rsid w:val="00BF5F55"/>
    <w:rsid w:val="00BF6124"/>
    <w:rsid w:val="00BF6AEC"/>
    <w:rsid w:val="00C0419F"/>
    <w:rsid w:val="00C04BE5"/>
    <w:rsid w:val="00C06861"/>
    <w:rsid w:val="00C0797F"/>
    <w:rsid w:val="00C1166E"/>
    <w:rsid w:val="00C11748"/>
    <w:rsid w:val="00C12078"/>
    <w:rsid w:val="00C1451D"/>
    <w:rsid w:val="00C16521"/>
    <w:rsid w:val="00C207F4"/>
    <w:rsid w:val="00C21235"/>
    <w:rsid w:val="00C23E25"/>
    <w:rsid w:val="00C2625C"/>
    <w:rsid w:val="00C332B3"/>
    <w:rsid w:val="00C3495A"/>
    <w:rsid w:val="00C36DDB"/>
    <w:rsid w:val="00C370C3"/>
    <w:rsid w:val="00C40F1F"/>
    <w:rsid w:val="00C41937"/>
    <w:rsid w:val="00C449FF"/>
    <w:rsid w:val="00C45395"/>
    <w:rsid w:val="00C470EF"/>
    <w:rsid w:val="00C51783"/>
    <w:rsid w:val="00C56FF5"/>
    <w:rsid w:val="00C60440"/>
    <w:rsid w:val="00C60462"/>
    <w:rsid w:val="00C60649"/>
    <w:rsid w:val="00C62A7A"/>
    <w:rsid w:val="00C66EFD"/>
    <w:rsid w:val="00C717AC"/>
    <w:rsid w:val="00C74F13"/>
    <w:rsid w:val="00C7583B"/>
    <w:rsid w:val="00C80FAE"/>
    <w:rsid w:val="00C8113A"/>
    <w:rsid w:val="00C81918"/>
    <w:rsid w:val="00C83662"/>
    <w:rsid w:val="00C8425F"/>
    <w:rsid w:val="00C84284"/>
    <w:rsid w:val="00C85A3D"/>
    <w:rsid w:val="00C86EB1"/>
    <w:rsid w:val="00C9021B"/>
    <w:rsid w:val="00C92BBA"/>
    <w:rsid w:val="00C9311F"/>
    <w:rsid w:val="00C936DA"/>
    <w:rsid w:val="00C969FD"/>
    <w:rsid w:val="00C96D1F"/>
    <w:rsid w:val="00C97446"/>
    <w:rsid w:val="00CA233C"/>
    <w:rsid w:val="00CA3A3D"/>
    <w:rsid w:val="00CA4DA4"/>
    <w:rsid w:val="00CB0D25"/>
    <w:rsid w:val="00CB0E37"/>
    <w:rsid w:val="00CB0FD4"/>
    <w:rsid w:val="00CB47DD"/>
    <w:rsid w:val="00CB66E3"/>
    <w:rsid w:val="00CC05A2"/>
    <w:rsid w:val="00CC1F27"/>
    <w:rsid w:val="00CC2839"/>
    <w:rsid w:val="00CC5554"/>
    <w:rsid w:val="00CD023A"/>
    <w:rsid w:val="00CD16E1"/>
    <w:rsid w:val="00CD194C"/>
    <w:rsid w:val="00CD19C1"/>
    <w:rsid w:val="00CD41F8"/>
    <w:rsid w:val="00CD45F2"/>
    <w:rsid w:val="00CD5B12"/>
    <w:rsid w:val="00CD605B"/>
    <w:rsid w:val="00CD788F"/>
    <w:rsid w:val="00CE04AE"/>
    <w:rsid w:val="00CE514B"/>
    <w:rsid w:val="00CE6F61"/>
    <w:rsid w:val="00CE72BD"/>
    <w:rsid w:val="00CF03B7"/>
    <w:rsid w:val="00CF07DB"/>
    <w:rsid w:val="00CF0F44"/>
    <w:rsid w:val="00CF3E91"/>
    <w:rsid w:val="00CF4A62"/>
    <w:rsid w:val="00CF5DC5"/>
    <w:rsid w:val="00CF6B1B"/>
    <w:rsid w:val="00CF6E0D"/>
    <w:rsid w:val="00D1057F"/>
    <w:rsid w:val="00D10BF1"/>
    <w:rsid w:val="00D11B79"/>
    <w:rsid w:val="00D13AEB"/>
    <w:rsid w:val="00D14C9B"/>
    <w:rsid w:val="00D17346"/>
    <w:rsid w:val="00D20283"/>
    <w:rsid w:val="00D2150A"/>
    <w:rsid w:val="00D21A54"/>
    <w:rsid w:val="00D246F4"/>
    <w:rsid w:val="00D30712"/>
    <w:rsid w:val="00D31E7A"/>
    <w:rsid w:val="00D33E30"/>
    <w:rsid w:val="00D362FA"/>
    <w:rsid w:val="00D3759C"/>
    <w:rsid w:val="00D40C9C"/>
    <w:rsid w:val="00D40FE1"/>
    <w:rsid w:val="00D423C8"/>
    <w:rsid w:val="00D42704"/>
    <w:rsid w:val="00D46F9B"/>
    <w:rsid w:val="00D47E12"/>
    <w:rsid w:val="00D501D2"/>
    <w:rsid w:val="00D50310"/>
    <w:rsid w:val="00D50A0E"/>
    <w:rsid w:val="00D516D4"/>
    <w:rsid w:val="00D560EF"/>
    <w:rsid w:val="00D57E19"/>
    <w:rsid w:val="00D60A2D"/>
    <w:rsid w:val="00D616F2"/>
    <w:rsid w:val="00D704EB"/>
    <w:rsid w:val="00D7268C"/>
    <w:rsid w:val="00D74956"/>
    <w:rsid w:val="00D7686B"/>
    <w:rsid w:val="00D80357"/>
    <w:rsid w:val="00D81AD5"/>
    <w:rsid w:val="00D8584D"/>
    <w:rsid w:val="00D85FBE"/>
    <w:rsid w:val="00D9170C"/>
    <w:rsid w:val="00D95A73"/>
    <w:rsid w:val="00D95A84"/>
    <w:rsid w:val="00D96FA2"/>
    <w:rsid w:val="00DA1147"/>
    <w:rsid w:val="00DA1B16"/>
    <w:rsid w:val="00DA1FD9"/>
    <w:rsid w:val="00DA454B"/>
    <w:rsid w:val="00DA4898"/>
    <w:rsid w:val="00DA4B2D"/>
    <w:rsid w:val="00DA545D"/>
    <w:rsid w:val="00DA6FE9"/>
    <w:rsid w:val="00DB10C5"/>
    <w:rsid w:val="00DB13D0"/>
    <w:rsid w:val="00DB1831"/>
    <w:rsid w:val="00DB4751"/>
    <w:rsid w:val="00DB76A5"/>
    <w:rsid w:val="00DB7C15"/>
    <w:rsid w:val="00DC15F9"/>
    <w:rsid w:val="00DC4DD6"/>
    <w:rsid w:val="00DC5D14"/>
    <w:rsid w:val="00DD39CF"/>
    <w:rsid w:val="00DD40CA"/>
    <w:rsid w:val="00DD5CCE"/>
    <w:rsid w:val="00DE04F0"/>
    <w:rsid w:val="00DE2203"/>
    <w:rsid w:val="00DE24D2"/>
    <w:rsid w:val="00DE49C5"/>
    <w:rsid w:val="00DF3BBB"/>
    <w:rsid w:val="00DF4068"/>
    <w:rsid w:val="00DF4388"/>
    <w:rsid w:val="00DF5235"/>
    <w:rsid w:val="00DF5CF8"/>
    <w:rsid w:val="00DF61A3"/>
    <w:rsid w:val="00DF64F2"/>
    <w:rsid w:val="00E04F99"/>
    <w:rsid w:val="00E10799"/>
    <w:rsid w:val="00E129B0"/>
    <w:rsid w:val="00E20F51"/>
    <w:rsid w:val="00E21B8C"/>
    <w:rsid w:val="00E23161"/>
    <w:rsid w:val="00E251FE"/>
    <w:rsid w:val="00E2631E"/>
    <w:rsid w:val="00E30674"/>
    <w:rsid w:val="00E30B92"/>
    <w:rsid w:val="00E3363B"/>
    <w:rsid w:val="00E354EF"/>
    <w:rsid w:val="00E36034"/>
    <w:rsid w:val="00E436D2"/>
    <w:rsid w:val="00E442BA"/>
    <w:rsid w:val="00E46CCE"/>
    <w:rsid w:val="00E47248"/>
    <w:rsid w:val="00E5016A"/>
    <w:rsid w:val="00E52F66"/>
    <w:rsid w:val="00E53C33"/>
    <w:rsid w:val="00E544B8"/>
    <w:rsid w:val="00E54BE1"/>
    <w:rsid w:val="00E56347"/>
    <w:rsid w:val="00E576DB"/>
    <w:rsid w:val="00E6370F"/>
    <w:rsid w:val="00E66C1F"/>
    <w:rsid w:val="00E721D5"/>
    <w:rsid w:val="00E72DB3"/>
    <w:rsid w:val="00E73856"/>
    <w:rsid w:val="00E753E5"/>
    <w:rsid w:val="00E76B92"/>
    <w:rsid w:val="00E83563"/>
    <w:rsid w:val="00E839E0"/>
    <w:rsid w:val="00E845DA"/>
    <w:rsid w:val="00E86129"/>
    <w:rsid w:val="00E86757"/>
    <w:rsid w:val="00E87108"/>
    <w:rsid w:val="00E91E69"/>
    <w:rsid w:val="00E925FC"/>
    <w:rsid w:val="00E935BD"/>
    <w:rsid w:val="00E939B5"/>
    <w:rsid w:val="00E945EA"/>
    <w:rsid w:val="00E96EFD"/>
    <w:rsid w:val="00E97AB4"/>
    <w:rsid w:val="00EA0260"/>
    <w:rsid w:val="00EA12A6"/>
    <w:rsid w:val="00EA166D"/>
    <w:rsid w:val="00EA3F3A"/>
    <w:rsid w:val="00EA6BB6"/>
    <w:rsid w:val="00EA7696"/>
    <w:rsid w:val="00EB02F1"/>
    <w:rsid w:val="00EB5160"/>
    <w:rsid w:val="00EC2E88"/>
    <w:rsid w:val="00EC50AF"/>
    <w:rsid w:val="00ED254F"/>
    <w:rsid w:val="00ED3B43"/>
    <w:rsid w:val="00ED40DE"/>
    <w:rsid w:val="00ED45FD"/>
    <w:rsid w:val="00EE007A"/>
    <w:rsid w:val="00EE4239"/>
    <w:rsid w:val="00EE4402"/>
    <w:rsid w:val="00EE5393"/>
    <w:rsid w:val="00EE598E"/>
    <w:rsid w:val="00EE6E70"/>
    <w:rsid w:val="00EF06E8"/>
    <w:rsid w:val="00EF2FD1"/>
    <w:rsid w:val="00EF44AF"/>
    <w:rsid w:val="00F0438A"/>
    <w:rsid w:val="00F05444"/>
    <w:rsid w:val="00F12334"/>
    <w:rsid w:val="00F14EDD"/>
    <w:rsid w:val="00F16FF5"/>
    <w:rsid w:val="00F2079E"/>
    <w:rsid w:val="00F222A6"/>
    <w:rsid w:val="00F237C6"/>
    <w:rsid w:val="00F23C13"/>
    <w:rsid w:val="00F2674F"/>
    <w:rsid w:val="00F315B5"/>
    <w:rsid w:val="00F3202E"/>
    <w:rsid w:val="00F3290E"/>
    <w:rsid w:val="00F344B9"/>
    <w:rsid w:val="00F34631"/>
    <w:rsid w:val="00F3653A"/>
    <w:rsid w:val="00F41430"/>
    <w:rsid w:val="00F435BF"/>
    <w:rsid w:val="00F43871"/>
    <w:rsid w:val="00F453C9"/>
    <w:rsid w:val="00F52839"/>
    <w:rsid w:val="00F54243"/>
    <w:rsid w:val="00F55747"/>
    <w:rsid w:val="00F610B7"/>
    <w:rsid w:val="00F61382"/>
    <w:rsid w:val="00F67625"/>
    <w:rsid w:val="00F7096E"/>
    <w:rsid w:val="00F71666"/>
    <w:rsid w:val="00F719E3"/>
    <w:rsid w:val="00F719E6"/>
    <w:rsid w:val="00F73518"/>
    <w:rsid w:val="00F7353E"/>
    <w:rsid w:val="00F75213"/>
    <w:rsid w:val="00F764B4"/>
    <w:rsid w:val="00F76ACC"/>
    <w:rsid w:val="00F77D02"/>
    <w:rsid w:val="00F80E04"/>
    <w:rsid w:val="00F8346D"/>
    <w:rsid w:val="00F85A03"/>
    <w:rsid w:val="00F85C5A"/>
    <w:rsid w:val="00F869C6"/>
    <w:rsid w:val="00F9221A"/>
    <w:rsid w:val="00F96879"/>
    <w:rsid w:val="00FA43BA"/>
    <w:rsid w:val="00FA46FB"/>
    <w:rsid w:val="00FA4841"/>
    <w:rsid w:val="00FB14DF"/>
    <w:rsid w:val="00FB1764"/>
    <w:rsid w:val="00FB1A91"/>
    <w:rsid w:val="00FB31A6"/>
    <w:rsid w:val="00FB383F"/>
    <w:rsid w:val="00FB3FC6"/>
    <w:rsid w:val="00FB7173"/>
    <w:rsid w:val="00FC2281"/>
    <w:rsid w:val="00FC28EF"/>
    <w:rsid w:val="00FC2912"/>
    <w:rsid w:val="00FC3BDC"/>
    <w:rsid w:val="00FC490D"/>
    <w:rsid w:val="00FC7BB7"/>
    <w:rsid w:val="00FD1B08"/>
    <w:rsid w:val="00FD43D9"/>
    <w:rsid w:val="00FD4C32"/>
    <w:rsid w:val="00FD5A1A"/>
    <w:rsid w:val="00FD6BC2"/>
    <w:rsid w:val="00FD7EAF"/>
    <w:rsid w:val="00FE0415"/>
    <w:rsid w:val="00FE1EB6"/>
    <w:rsid w:val="00FE372B"/>
    <w:rsid w:val="00FE748C"/>
    <w:rsid w:val="00FF0797"/>
    <w:rsid w:val="00FF4825"/>
    <w:rsid w:val="00FF4E84"/>
    <w:rsid w:val="01040C82"/>
    <w:rsid w:val="01077D90"/>
    <w:rsid w:val="0133697B"/>
    <w:rsid w:val="01517A39"/>
    <w:rsid w:val="01527A64"/>
    <w:rsid w:val="01692524"/>
    <w:rsid w:val="016C506D"/>
    <w:rsid w:val="017009C4"/>
    <w:rsid w:val="0170211F"/>
    <w:rsid w:val="01991CB5"/>
    <w:rsid w:val="01AB1F39"/>
    <w:rsid w:val="01BF7387"/>
    <w:rsid w:val="01C42DED"/>
    <w:rsid w:val="01CF6C56"/>
    <w:rsid w:val="01D46520"/>
    <w:rsid w:val="01D9193B"/>
    <w:rsid w:val="01E30C71"/>
    <w:rsid w:val="01E85625"/>
    <w:rsid w:val="01F57C6E"/>
    <w:rsid w:val="01F7608F"/>
    <w:rsid w:val="02175012"/>
    <w:rsid w:val="021A7CE9"/>
    <w:rsid w:val="0232274B"/>
    <w:rsid w:val="02617DFD"/>
    <w:rsid w:val="029C2450"/>
    <w:rsid w:val="02B13983"/>
    <w:rsid w:val="02B5298B"/>
    <w:rsid w:val="02BC36FC"/>
    <w:rsid w:val="02C03F5A"/>
    <w:rsid w:val="02C95FCC"/>
    <w:rsid w:val="0321363F"/>
    <w:rsid w:val="0339172A"/>
    <w:rsid w:val="036B6749"/>
    <w:rsid w:val="039170A6"/>
    <w:rsid w:val="039F5291"/>
    <w:rsid w:val="03A74F67"/>
    <w:rsid w:val="03AF5E35"/>
    <w:rsid w:val="03C356A5"/>
    <w:rsid w:val="03C92A02"/>
    <w:rsid w:val="03CA22B6"/>
    <w:rsid w:val="03E91946"/>
    <w:rsid w:val="03EA59DF"/>
    <w:rsid w:val="03F27B36"/>
    <w:rsid w:val="03F843A3"/>
    <w:rsid w:val="03FC723F"/>
    <w:rsid w:val="042C7A30"/>
    <w:rsid w:val="042E3BEE"/>
    <w:rsid w:val="043D4B8F"/>
    <w:rsid w:val="044C2EDE"/>
    <w:rsid w:val="046F774A"/>
    <w:rsid w:val="048F1E63"/>
    <w:rsid w:val="04905BD2"/>
    <w:rsid w:val="049667CE"/>
    <w:rsid w:val="04967824"/>
    <w:rsid w:val="04A93503"/>
    <w:rsid w:val="04B6798B"/>
    <w:rsid w:val="04C7737B"/>
    <w:rsid w:val="04E333B8"/>
    <w:rsid w:val="04E746AC"/>
    <w:rsid w:val="04EB6598"/>
    <w:rsid w:val="04F948BD"/>
    <w:rsid w:val="04FF5652"/>
    <w:rsid w:val="05063183"/>
    <w:rsid w:val="051205BB"/>
    <w:rsid w:val="051F31A9"/>
    <w:rsid w:val="053D2F8A"/>
    <w:rsid w:val="053F7060"/>
    <w:rsid w:val="0547220D"/>
    <w:rsid w:val="054B2732"/>
    <w:rsid w:val="057153F0"/>
    <w:rsid w:val="05757370"/>
    <w:rsid w:val="05845C1A"/>
    <w:rsid w:val="058C50F4"/>
    <w:rsid w:val="05AD26D5"/>
    <w:rsid w:val="05D043AB"/>
    <w:rsid w:val="05EF02FD"/>
    <w:rsid w:val="05F53974"/>
    <w:rsid w:val="05FD435B"/>
    <w:rsid w:val="060A22A2"/>
    <w:rsid w:val="061A7717"/>
    <w:rsid w:val="062017D4"/>
    <w:rsid w:val="06240BAF"/>
    <w:rsid w:val="062E611B"/>
    <w:rsid w:val="063D27C9"/>
    <w:rsid w:val="06423561"/>
    <w:rsid w:val="065564E9"/>
    <w:rsid w:val="06646CA6"/>
    <w:rsid w:val="06726978"/>
    <w:rsid w:val="067E27FE"/>
    <w:rsid w:val="06811F4E"/>
    <w:rsid w:val="06A80137"/>
    <w:rsid w:val="06A848C6"/>
    <w:rsid w:val="06AA18B2"/>
    <w:rsid w:val="06B53AEC"/>
    <w:rsid w:val="06C310A2"/>
    <w:rsid w:val="06CA2490"/>
    <w:rsid w:val="06D05987"/>
    <w:rsid w:val="06E63019"/>
    <w:rsid w:val="06F9699D"/>
    <w:rsid w:val="06FD370C"/>
    <w:rsid w:val="070C2E60"/>
    <w:rsid w:val="07243EB5"/>
    <w:rsid w:val="07631032"/>
    <w:rsid w:val="077A26AF"/>
    <w:rsid w:val="07853E3C"/>
    <w:rsid w:val="07891EE6"/>
    <w:rsid w:val="07A35C30"/>
    <w:rsid w:val="07BF64ED"/>
    <w:rsid w:val="07CB3223"/>
    <w:rsid w:val="07D145AB"/>
    <w:rsid w:val="07DF3072"/>
    <w:rsid w:val="081A70B5"/>
    <w:rsid w:val="082C5929"/>
    <w:rsid w:val="08526AD3"/>
    <w:rsid w:val="086157D5"/>
    <w:rsid w:val="08680D51"/>
    <w:rsid w:val="086904A7"/>
    <w:rsid w:val="087665B3"/>
    <w:rsid w:val="08793A3D"/>
    <w:rsid w:val="088E7192"/>
    <w:rsid w:val="089068FA"/>
    <w:rsid w:val="089515C4"/>
    <w:rsid w:val="08AF3369"/>
    <w:rsid w:val="08B23889"/>
    <w:rsid w:val="08CC58CE"/>
    <w:rsid w:val="08D46C70"/>
    <w:rsid w:val="08F065FE"/>
    <w:rsid w:val="08F73C3D"/>
    <w:rsid w:val="09070D2B"/>
    <w:rsid w:val="091A4982"/>
    <w:rsid w:val="09317CD6"/>
    <w:rsid w:val="094226C6"/>
    <w:rsid w:val="094A0527"/>
    <w:rsid w:val="095A575C"/>
    <w:rsid w:val="096B580B"/>
    <w:rsid w:val="09797205"/>
    <w:rsid w:val="097A038F"/>
    <w:rsid w:val="097E0C75"/>
    <w:rsid w:val="098F4274"/>
    <w:rsid w:val="09CA0442"/>
    <w:rsid w:val="09DF4649"/>
    <w:rsid w:val="09EF7E8C"/>
    <w:rsid w:val="09F21477"/>
    <w:rsid w:val="0A1A5E84"/>
    <w:rsid w:val="0A2B4E94"/>
    <w:rsid w:val="0A5B4537"/>
    <w:rsid w:val="0A734984"/>
    <w:rsid w:val="0AA97A24"/>
    <w:rsid w:val="0AB2745F"/>
    <w:rsid w:val="0AD97F21"/>
    <w:rsid w:val="0ADE4C8E"/>
    <w:rsid w:val="0AE94FE2"/>
    <w:rsid w:val="0AF3157B"/>
    <w:rsid w:val="0B1E2F7D"/>
    <w:rsid w:val="0B291AB9"/>
    <w:rsid w:val="0B3123FB"/>
    <w:rsid w:val="0B370BBC"/>
    <w:rsid w:val="0B435A56"/>
    <w:rsid w:val="0B481FE0"/>
    <w:rsid w:val="0B4B777C"/>
    <w:rsid w:val="0B5A7A48"/>
    <w:rsid w:val="0B60462C"/>
    <w:rsid w:val="0B673551"/>
    <w:rsid w:val="0B6B794E"/>
    <w:rsid w:val="0B712ED1"/>
    <w:rsid w:val="0B713DCB"/>
    <w:rsid w:val="0B891F30"/>
    <w:rsid w:val="0B93082E"/>
    <w:rsid w:val="0BC455BF"/>
    <w:rsid w:val="0BC50E5D"/>
    <w:rsid w:val="0BCD3641"/>
    <w:rsid w:val="0BCE61B4"/>
    <w:rsid w:val="0BE45F4D"/>
    <w:rsid w:val="0C1617DE"/>
    <w:rsid w:val="0C181B15"/>
    <w:rsid w:val="0C1A38F7"/>
    <w:rsid w:val="0C206C7F"/>
    <w:rsid w:val="0C2B7975"/>
    <w:rsid w:val="0C3701DE"/>
    <w:rsid w:val="0C3D0AE2"/>
    <w:rsid w:val="0C764F2B"/>
    <w:rsid w:val="0C7F645A"/>
    <w:rsid w:val="0C8C6656"/>
    <w:rsid w:val="0CAA76B8"/>
    <w:rsid w:val="0CC67DF9"/>
    <w:rsid w:val="0CEC3BC8"/>
    <w:rsid w:val="0CF024DB"/>
    <w:rsid w:val="0D065623"/>
    <w:rsid w:val="0D447593"/>
    <w:rsid w:val="0D482A14"/>
    <w:rsid w:val="0D492C0C"/>
    <w:rsid w:val="0D4F298E"/>
    <w:rsid w:val="0D4F2AEC"/>
    <w:rsid w:val="0D5B0377"/>
    <w:rsid w:val="0D8078A2"/>
    <w:rsid w:val="0D9B43C6"/>
    <w:rsid w:val="0DA71649"/>
    <w:rsid w:val="0DAB3327"/>
    <w:rsid w:val="0DB54560"/>
    <w:rsid w:val="0DB70749"/>
    <w:rsid w:val="0DD06ADC"/>
    <w:rsid w:val="0DD17832"/>
    <w:rsid w:val="0DDB753F"/>
    <w:rsid w:val="0DE405CA"/>
    <w:rsid w:val="0E003A43"/>
    <w:rsid w:val="0E0541AD"/>
    <w:rsid w:val="0E416E48"/>
    <w:rsid w:val="0E617EFC"/>
    <w:rsid w:val="0E69274A"/>
    <w:rsid w:val="0E702C4D"/>
    <w:rsid w:val="0E7A7217"/>
    <w:rsid w:val="0E7C4E83"/>
    <w:rsid w:val="0E831199"/>
    <w:rsid w:val="0E8420A7"/>
    <w:rsid w:val="0EA22496"/>
    <w:rsid w:val="0EA965F7"/>
    <w:rsid w:val="0EB760C0"/>
    <w:rsid w:val="0ECA22BF"/>
    <w:rsid w:val="0EE70ADD"/>
    <w:rsid w:val="0EFC6DB5"/>
    <w:rsid w:val="0F050E22"/>
    <w:rsid w:val="0F0A7D4C"/>
    <w:rsid w:val="0F1112D6"/>
    <w:rsid w:val="0F19037E"/>
    <w:rsid w:val="0F2F7721"/>
    <w:rsid w:val="0F4D7307"/>
    <w:rsid w:val="0F522C0D"/>
    <w:rsid w:val="0F675BE0"/>
    <w:rsid w:val="0F793F61"/>
    <w:rsid w:val="0F873E20"/>
    <w:rsid w:val="0F91715E"/>
    <w:rsid w:val="0F925A61"/>
    <w:rsid w:val="0F961399"/>
    <w:rsid w:val="0F971F79"/>
    <w:rsid w:val="0FAF7FF7"/>
    <w:rsid w:val="0FB93046"/>
    <w:rsid w:val="0FCB3C39"/>
    <w:rsid w:val="0FDE5C7E"/>
    <w:rsid w:val="10080939"/>
    <w:rsid w:val="101E60DF"/>
    <w:rsid w:val="102613BB"/>
    <w:rsid w:val="10370EFA"/>
    <w:rsid w:val="103B32E8"/>
    <w:rsid w:val="1044645D"/>
    <w:rsid w:val="10524CF2"/>
    <w:rsid w:val="10586638"/>
    <w:rsid w:val="105E4C20"/>
    <w:rsid w:val="1067455A"/>
    <w:rsid w:val="10697697"/>
    <w:rsid w:val="106B3C85"/>
    <w:rsid w:val="107807F6"/>
    <w:rsid w:val="10815DF0"/>
    <w:rsid w:val="108A52DD"/>
    <w:rsid w:val="10913052"/>
    <w:rsid w:val="109F60C7"/>
    <w:rsid w:val="10B151DB"/>
    <w:rsid w:val="10BC184F"/>
    <w:rsid w:val="10C208F1"/>
    <w:rsid w:val="10DA1A7E"/>
    <w:rsid w:val="10DA283D"/>
    <w:rsid w:val="10E822DA"/>
    <w:rsid w:val="110519AC"/>
    <w:rsid w:val="111669FC"/>
    <w:rsid w:val="1118728F"/>
    <w:rsid w:val="111A1814"/>
    <w:rsid w:val="111D1C2C"/>
    <w:rsid w:val="11294651"/>
    <w:rsid w:val="112B5199"/>
    <w:rsid w:val="1136341F"/>
    <w:rsid w:val="11435A59"/>
    <w:rsid w:val="115B3918"/>
    <w:rsid w:val="11645966"/>
    <w:rsid w:val="1167698B"/>
    <w:rsid w:val="11797A4A"/>
    <w:rsid w:val="117D338E"/>
    <w:rsid w:val="11856B38"/>
    <w:rsid w:val="118F4783"/>
    <w:rsid w:val="1192618B"/>
    <w:rsid w:val="11D7313C"/>
    <w:rsid w:val="11E233FD"/>
    <w:rsid w:val="11E442FF"/>
    <w:rsid w:val="11E73EAD"/>
    <w:rsid w:val="11EF1F48"/>
    <w:rsid w:val="11F22D92"/>
    <w:rsid w:val="11F43267"/>
    <w:rsid w:val="11F63BEB"/>
    <w:rsid w:val="120A0E7E"/>
    <w:rsid w:val="12165A80"/>
    <w:rsid w:val="121E432C"/>
    <w:rsid w:val="1232053C"/>
    <w:rsid w:val="12324885"/>
    <w:rsid w:val="12663CED"/>
    <w:rsid w:val="12695FD6"/>
    <w:rsid w:val="127D46B9"/>
    <w:rsid w:val="12916164"/>
    <w:rsid w:val="129218A6"/>
    <w:rsid w:val="12952667"/>
    <w:rsid w:val="129C2615"/>
    <w:rsid w:val="12A75E40"/>
    <w:rsid w:val="12AA29CF"/>
    <w:rsid w:val="12C92393"/>
    <w:rsid w:val="12D6579B"/>
    <w:rsid w:val="12E95341"/>
    <w:rsid w:val="12FB0035"/>
    <w:rsid w:val="13040606"/>
    <w:rsid w:val="130B5C2E"/>
    <w:rsid w:val="132F3F7B"/>
    <w:rsid w:val="13385113"/>
    <w:rsid w:val="13716662"/>
    <w:rsid w:val="1377284B"/>
    <w:rsid w:val="13792D54"/>
    <w:rsid w:val="137B690F"/>
    <w:rsid w:val="13941011"/>
    <w:rsid w:val="139851AD"/>
    <w:rsid w:val="13A65316"/>
    <w:rsid w:val="13B56C59"/>
    <w:rsid w:val="13B94A72"/>
    <w:rsid w:val="13C42C64"/>
    <w:rsid w:val="13CA0482"/>
    <w:rsid w:val="13E672A7"/>
    <w:rsid w:val="13EB6E6B"/>
    <w:rsid w:val="13EC51E9"/>
    <w:rsid w:val="13F15512"/>
    <w:rsid w:val="13F643DD"/>
    <w:rsid w:val="13FB0332"/>
    <w:rsid w:val="140916BF"/>
    <w:rsid w:val="140E7A2F"/>
    <w:rsid w:val="141058C9"/>
    <w:rsid w:val="14316A25"/>
    <w:rsid w:val="14320174"/>
    <w:rsid w:val="14443E8F"/>
    <w:rsid w:val="144E76E8"/>
    <w:rsid w:val="1459740C"/>
    <w:rsid w:val="145D0512"/>
    <w:rsid w:val="146C3ACC"/>
    <w:rsid w:val="149F453F"/>
    <w:rsid w:val="14A8159B"/>
    <w:rsid w:val="14BD4AC3"/>
    <w:rsid w:val="14C26CCA"/>
    <w:rsid w:val="14C42460"/>
    <w:rsid w:val="14D22F3B"/>
    <w:rsid w:val="150C63D7"/>
    <w:rsid w:val="150F4C00"/>
    <w:rsid w:val="152922E9"/>
    <w:rsid w:val="152A6EFE"/>
    <w:rsid w:val="154047B6"/>
    <w:rsid w:val="15407B3D"/>
    <w:rsid w:val="154C086F"/>
    <w:rsid w:val="156152CD"/>
    <w:rsid w:val="1568275C"/>
    <w:rsid w:val="15860217"/>
    <w:rsid w:val="159563BD"/>
    <w:rsid w:val="15974657"/>
    <w:rsid w:val="15B47D31"/>
    <w:rsid w:val="15BF3C8A"/>
    <w:rsid w:val="15CC6E1B"/>
    <w:rsid w:val="15CE6624"/>
    <w:rsid w:val="15E86B7B"/>
    <w:rsid w:val="160072C6"/>
    <w:rsid w:val="16242FDC"/>
    <w:rsid w:val="16346585"/>
    <w:rsid w:val="1639349C"/>
    <w:rsid w:val="163B74DB"/>
    <w:rsid w:val="164825A5"/>
    <w:rsid w:val="165D14D0"/>
    <w:rsid w:val="168C7CE3"/>
    <w:rsid w:val="16A90044"/>
    <w:rsid w:val="16CE1511"/>
    <w:rsid w:val="16D11D18"/>
    <w:rsid w:val="170E4F84"/>
    <w:rsid w:val="1716225C"/>
    <w:rsid w:val="17302320"/>
    <w:rsid w:val="174723DB"/>
    <w:rsid w:val="17543AD2"/>
    <w:rsid w:val="17564C6F"/>
    <w:rsid w:val="17566D59"/>
    <w:rsid w:val="17653D1F"/>
    <w:rsid w:val="176B3C61"/>
    <w:rsid w:val="17704CBA"/>
    <w:rsid w:val="178E5A4D"/>
    <w:rsid w:val="1790401A"/>
    <w:rsid w:val="17A101C0"/>
    <w:rsid w:val="17A3635A"/>
    <w:rsid w:val="17AA112A"/>
    <w:rsid w:val="17AB25B7"/>
    <w:rsid w:val="17B21371"/>
    <w:rsid w:val="17BC170C"/>
    <w:rsid w:val="17C036CD"/>
    <w:rsid w:val="17C05264"/>
    <w:rsid w:val="17CE39B9"/>
    <w:rsid w:val="17ED4D9F"/>
    <w:rsid w:val="17F02D1F"/>
    <w:rsid w:val="17F329A0"/>
    <w:rsid w:val="18105C1F"/>
    <w:rsid w:val="18213104"/>
    <w:rsid w:val="18287ED4"/>
    <w:rsid w:val="183A4C3A"/>
    <w:rsid w:val="18586C77"/>
    <w:rsid w:val="185E5F87"/>
    <w:rsid w:val="186C2523"/>
    <w:rsid w:val="188A444A"/>
    <w:rsid w:val="189E6404"/>
    <w:rsid w:val="18A376F3"/>
    <w:rsid w:val="18E73E29"/>
    <w:rsid w:val="18EA1209"/>
    <w:rsid w:val="19197F2E"/>
    <w:rsid w:val="19293A0E"/>
    <w:rsid w:val="19341336"/>
    <w:rsid w:val="19411937"/>
    <w:rsid w:val="19496191"/>
    <w:rsid w:val="19642DE3"/>
    <w:rsid w:val="1972561B"/>
    <w:rsid w:val="198B3A64"/>
    <w:rsid w:val="199120EB"/>
    <w:rsid w:val="19922F9D"/>
    <w:rsid w:val="199A5CA6"/>
    <w:rsid w:val="19B1439D"/>
    <w:rsid w:val="19C14AEC"/>
    <w:rsid w:val="19C217C3"/>
    <w:rsid w:val="1A2C58F9"/>
    <w:rsid w:val="1A300F19"/>
    <w:rsid w:val="1A3662B0"/>
    <w:rsid w:val="1A3E3529"/>
    <w:rsid w:val="1A46295C"/>
    <w:rsid w:val="1A4C2926"/>
    <w:rsid w:val="1A5D4729"/>
    <w:rsid w:val="1A613CD0"/>
    <w:rsid w:val="1A894895"/>
    <w:rsid w:val="1A917D94"/>
    <w:rsid w:val="1A966B1F"/>
    <w:rsid w:val="1AA225A9"/>
    <w:rsid w:val="1ABA26CE"/>
    <w:rsid w:val="1AD0225F"/>
    <w:rsid w:val="1ADA4DC3"/>
    <w:rsid w:val="1AE517D2"/>
    <w:rsid w:val="1AEB022E"/>
    <w:rsid w:val="1B1E5031"/>
    <w:rsid w:val="1B47426D"/>
    <w:rsid w:val="1B500883"/>
    <w:rsid w:val="1B7E4231"/>
    <w:rsid w:val="1B956F2F"/>
    <w:rsid w:val="1BA97F65"/>
    <w:rsid w:val="1BB55EAA"/>
    <w:rsid w:val="1BBF01C0"/>
    <w:rsid w:val="1BC130B8"/>
    <w:rsid w:val="1BC5175C"/>
    <w:rsid w:val="1BCE4524"/>
    <w:rsid w:val="1BCF4029"/>
    <w:rsid w:val="1BD223E0"/>
    <w:rsid w:val="1BDF2756"/>
    <w:rsid w:val="1C023B8F"/>
    <w:rsid w:val="1C02594C"/>
    <w:rsid w:val="1C1618E8"/>
    <w:rsid w:val="1C1F3FF9"/>
    <w:rsid w:val="1C2C7326"/>
    <w:rsid w:val="1C417D3E"/>
    <w:rsid w:val="1C4A5F2C"/>
    <w:rsid w:val="1C4B3514"/>
    <w:rsid w:val="1C4E5315"/>
    <w:rsid w:val="1C5D310F"/>
    <w:rsid w:val="1C761697"/>
    <w:rsid w:val="1C767BCB"/>
    <w:rsid w:val="1C8674A9"/>
    <w:rsid w:val="1C8B5DDB"/>
    <w:rsid w:val="1C9233B8"/>
    <w:rsid w:val="1C954F18"/>
    <w:rsid w:val="1CA23B78"/>
    <w:rsid w:val="1CD22269"/>
    <w:rsid w:val="1CDC3C14"/>
    <w:rsid w:val="1D26728F"/>
    <w:rsid w:val="1D450F90"/>
    <w:rsid w:val="1D480A88"/>
    <w:rsid w:val="1D5A630A"/>
    <w:rsid w:val="1D893428"/>
    <w:rsid w:val="1D910384"/>
    <w:rsid w:val="1D9D4690"/>
    <w:rsid w:val="1DAD1E5E"/>
    <w:rsid w:val="1DBD6DCC"/>
    <w:rsid w:val="1DF9546F"/>
    <w:rsid w:val="1E000A21"/>
    <w:rsid w:val="1E0306FE"/>
    <w:rsid w:val="1E2B13BD"/>
    <w:rsid w:val="1E2C53C5"/>
    <w:rsid w:val="1E2E600E"/>
    <w:rsid w:val="1E46459D"/>
    <w:rsid w:val="1E481034"/>
    <w:rsid w:val="1E4E3F2C"/>
    <w:rsid w:val="1E510EB5"/>
    <w:rsid w:val="1E537C85"/>
    <w:rsid w:val="1E632DCD"/>
    <w:rsid w:val="1E711BF6"/>
    <w:rsid w:val="1EA93D6F"/>
    <w:rsid w:val="1F0F15E0"/>
    <w:rsid w:val="1F147167"/>
    <w:rsid w:val="1F1B6671"/>
    <w:rsid w:val="1F244814"/>
    <w:rsid w:val="1F2A3C14"/>
    <w:rsid w:val="1F371B04"/>
    <w:rsid w:val="1F3A5646"/>
    <w:rsid w:val="1F3B1FFA"/>
    <w:rsid w:val="1F4D4746"/>
    <w:rsid w:val="1F502A91"/>
    <w:rsid w:val="1F504E8C"/>
    <w:rsid w:val="1F533D9A"/>
    <w:rsid w:val="1F5560BF"/>
    <w:rsid w:val="1F6478EE"/>
    <w:rsid w:val="1F6C5AC3"/>
    <w:rsid w:val="1F890FF5"/>
    <w:rsid w:val="1F992D1E"/>
    <w:rsid w:val="1FAB5DB7"/>
    <w:rsid w:val="1FE06D55"/>
    <w:rsid w:val="1FE07EA3"/>
    <w:rsid w:val="1FF61359"/>
    <w:rsid w:val="20035A15"/>
    <w:rsid w:val="201A7FE3"/>
    <w:rsid w:val="2032373E"/>
    <w:rsid w:val="204440B8"/>
    <w:rsid w:val="205422B5"/>
    <w:rsid w:val="20545ABF"/>
    <w:rsid w:val="205863BB"/>
    <w:rsid w:val="205C30D2"/>
    <w:rsid w:val="208F4066"/>
    <w:rsid w:val="20945D45"/>
    <w:rsid w:val="20D3169B"/>
    <w:rsid w:val="20D42127"/>
    <w:rsid w:val="20DB17B8"/>
    <w:rsid w:val="20DD739A"/>
    <w:rsid w:val="20E12118"/>
    <w:rsid w:val="20E34703"/>
    <w:rsid w:val="20F017CE"/>
    <w:rsid w:val="20F05BB9"/>
    <w:rsid w:val="20FA2553"/>
    <w:rsid w:val="20FD07EF"/>
    <w:rsid w:val="210616F1"/>
    <w:rsid w:val="211051DF"/>
    <w:rsid w:val="2133568A"/>
    <w:rsid w:val="213A4721"/>
    <w:rsid w:val="21444D16"/>
    <w:rsid w:val="21491E79"/>
    <w:rsid w:val="21620A26"/>
    <w:rsid w:val="21836592"/>
    <w:rsid w:val="21837B25"/>
    <w:rsid w:val="21894968"/>
    <w:rsid w:val="218957A8"/>
    <w:rsid w:val="21933B53"/>
    <w:rsid w:val="21A81A54"/>
    <w:rsid w:val="21AF1817"/>
    <w:rsid w:val="21AF3DD9"/>
    <w:rsid w:val="21C7300C"/>
    <w:rsid w:val="21C848BA"/>
    <w:rsid w:val="21D019EA"/>
    <w:rsid w:val="21DC1C0E"/>
    <w:rsid w:val="21E564F0"/>
    <w:rsid w:val="21EC6E48"/>
    <w:rsid w:val="21F17D02"/>
    <w:rsid w:val="21FB6513"/>
    <w:rsid w:val="22074016"/>
    <w:rsid w:val="222617FC"/>
    <w:rsid w:val="223900E6"/>
    <w:rsid w:val="224B1DD5"/>
    <w:rsid w:val="22573E51"/>
    <w:rsid w:val="227E7BC5"/>
    <w:rsid w:val="228D7F7E"/>
    <w:rsid w:val="22A12BF9"/>
    <w:rsid w:val="22C21F87"/>
    <w:rsid w:val="22D22315"/>
    <w:rsid w:val="22D63706"/>
    <w:rsid w:val="22DB4CC4"/>
    <w:rsid w:val="22DD6240"/>
    <w:rsid w:val="22E4303E"/>
    <w:rsid w:val="22F31A75"/>
    <w:rsid w:val="22F74828"/>
    <w:rsid w:val="23365978"/>
    <w:rsid w:val="234C35BA"/>
    <w:rsid w:val="2360687F"/>
    <w:rsid w:val="237E3017"/>
    <w:rsid w:val="237F3E02"/>
    <w:rsid w:val="238561C1"/>
    <w:rsid w:val="239F023F"/>
    <w:rsid w:val="23B56A29"/>
    <w:rsid w:val="23BC2CBE"/>
    <w:rsid w:val="23C273C0"/>
    <w:rsid w:val="23D704C2"/>
    <w:rsid w:val="23DA1A1D"/>
    <w:rsid w:val="23EA0B23"/>
    <w:rsid w:val="23F01AFF"/>
    <w:rsid w:val="24105324"/>
    <w:rsid w:val="244819F4"/>
    <w:rsid w:val="24644314"/>
    <w:rsid w:val="246B70F5"/>
    <w:rsid w:val="246C4F8E"/>
    <w:rsid w:val="24852F95"/>
    <w:rsid w:val="249366C5"/>
    <w:rsid w:val="249E5E10"/>
    <w:rsid w:val="249F3BEE"/>
    <w:rsid w:val="24B90153"/>
    <w:rsid w:val="24CE26A5"/>
    <w:rsid w:val="24DB1980"/>
    <w:rsid w:val="24E57B81"/>
    <w:rsid w:val="24F54E2A"/>
    <w:rsid w:val="24FB5ACC"/>
    <w:rsid w:val="24FD6D99"/>
    <w:rsid w:val="250A7EB0"/>
    <w:rsid w:val="25151923"/>
    <w:rsid w:val="252578CC"/>
    <w:rsid w:val="252C095A"/>
    <w:rsid w:val="252D0F77"/>
    <w:rsid w:val="2533008E"/>
    <w:rsid w:val="253D2B33"/>
    <w:rsid w:val="254867C6"/>
    <w:rsid w:val="2550166B"/>
    <w:rsid w:val="25587027"/>
    <w:rsid w:val="256B578D"/>
    <w:rsid w:val="258211A8"/>
    <w:rsid w:val="25882BB7"/>
    <w:rsid w:val="258E0770"/>
    <w:rsid w:val="25924BDA"/>
    <w:rsid w:val="259B3E84"/>
    <w:rsid w:val="25A14FC7"/>
    <w:rsid w:val="25A635E3"/>
    <w:rsid w:val="25BE0010"/>
    <w:rsid w:val="25C400B5"/>
    <w:rsid w:val="25D55DDD"/>
    <w:rsid w:val="260335CA"/>
    <w:rsid w:val="26170EB4"/>
    <w:rsid w:val="261E012E"/>
    <w:rsid w:val="266669FF"/>
    <w:rsid w:val="26936849"/>
    <w:rsid w:val="26AC2D57"/>
    <w:rsid w:val="26B0478E"/>
    <w:rsid w:val="26B067A8"/>
    <w:rsid w:val="26CD55DD"/>
    <w:rsid w:val="26F72BA9"/>
    <w:rsid w:val="270744CE"/>
    <w:rsid w:val="27170D3B"/>
    <w:rsid w:val="27287E1E"/>
    <w:rsid w:val="272D6B5F"/>
    <w:rsid w:val="273A0789"/>
    <w:rsid w:val="276925CC"/>
    <w:rsid w:val="277D6BB0"/>
    <w:rsid w:val="27914D09"/>
    <w:rsid w:val="27A32275"/>
    <w:rsid w:val="27B00A56"/>
    <w:rsid w:val="27B16B1E"/>
    <w:rsid w:val="27DA2D7C"/>
    <w:rsid w:val="27FE5589"/>
    <w:rsid w:val="281908A2"/>
    <w:rsid w:val="281D3AB8"/>
    <w:rsid w:val="282400DB"/>
    <w:rsid w:val="282D2842"/>
    <w:rsid w:val="284820E4"/>
    <w:rsid w:val="285F36D3"/>
    <w:rsid w:val="28626E0C"/>
    <w:rsid w:val="286D1087"/>
    <w:rsid w:val="286E1954"/>
    <w:rsid w:val="288C52A7"/>
    <w:rsid w:val="28A16E49"/>
    <w:rsid w:val="28CB09BE"/>
    <w:rsid w:val="28D02879"/>
    <w:rsid w:val="28DB70DC"/>
    <w:rsid w:val="28E477B7"/>
    <w:rsid w:val="28EE5BE5"/>
    <w:rsid w:val="29147FD1"/>
    <w:rsid w:val="291A2793"/>
    <w:rsid w:val="29331421"/>
    <w:rsid w:val="293759BF"/>
    <w:rsid w:val="29411809"/>
    <w:rsid w:val="294378A5"/>
    <w:rsid w:val="294D022B"/>
    <w:rsid w:val="29611526"/>
    <w:rsid w:val="29683DD2"/>
    <w:rsid w:val="296C7E8F"/>
    <w:rsid w:val="298B6FF5"/>
    <w:rsid w:val="299712D8"/>
    <w:rsid w:val="299A5C41"/>
    <w:rsid w:val="29AA2F5D"/>
    <w:rsid w:val="29CF159D"/>
    <w:rsid w:val="2A163CF7"/>
    <w:rsid w:val="2A1E0EAB"/>
    <w:rsid w:val="2A1E49BF"/>
    <w:rsid w:val="2A273498"/>
    <w:rsid w:val="2A4723AB"/>
    <w:rsid w:val="2A4A5DC7"/>
    <w:rsid w:val="2A4B7D02"/>
    <w:rsid w:val="2A4E6C4A"/>
    <w:rsid w:val="2A610163"/>
    <w:rsid w:val="2A731772"/>
    <w:rsid w:val="2A785AA6"/>
    <w:rsid w:val="2A7C64B3"/>
    <w:rsid w:val="2A800253"/>
    <w:rsid w:val="2A9609A7"/>
    <w:rsid w:val="2AA05ACA"/>
    <w:rsid w:val="2AC777D1"/>
    <w:rsid w:val="2ACF5164"/>
    <w:rsid w:val="2AD37469"/>
    <w:rsid w:val="2AF57D0F"/>
    <w:rsid w:val="2B1449B5"/>
    <w:rsid w:val="2B2A4F27"/>
    <w:rsid w:val="2B91066F"/>
    <w:rsid w:val="2B962B00"/>
    <w:rsid w:val="2BA308F6"/>
    <w:rsid w:val="2BA7472E"/>
    <w:rsid w:val="2BB037F7"/>
    <w:rsid w:val="2BBD42D7"/>
    <w:rsid w:val="2BDA36D2"/>
    <w:rsid w:val="2C0A4A18"/>
    <w:rsid w:val="2C126D6D"/>
    <w:rsid w:val="2C304B85"/>
    <w:rsid w:val="2C347A8E"/>
    <w:rsid w:val="2C4410F9"/>
    <w:rsid w:val="2C45768C"/>
    <w:rsid w:val="2C4A753C"/>
    <w:rsid w:val="2C4F4BC0"/>
    <w:rsid w:val="2C726E12"/>
    <w:rsid w:val="2C7274A5"/>
    <w:rsid w:val="2C7D2599"/>
    <w:rsid w:val="2C85637C"/>
    <w:rsid w:val="2C8F17BB"/>
    <w:rsid w:val="2C926E13"/>
    <w:rsid w:val="2C9C38DB"/>
    <w:rsid w:val="2CB514D6"/>
    <w:rsid w:val="2CE666F0"/>
    <w:rsid w:val="2CF7746D"/>
    <w:rsid w:val="2CFC045C"/>
    <w:rsid w:val="2CFC50DC"/>
    <w:rsid w:val="2D072F8E"/>
    <w:rsid w:val="2D18698F"/>
    <w:rsid w:val="2D2216D4"/>
    <w:rsid w:val="2D236280"/>
    <w:rsid w:val="2D3648C8"/>
    <w:rsid w:val="2D587314"/>
    <w:rsid w:val="2D5F29D6"/>
    <w:rsid w:val="2D72360E"/>
    <w:rsid w:val="2D922331"/>
    <w:rsid w:val="2D996EC7"/>
    <w:rsid w:val="2D9F6D0D"/>
    <w:rsid w:val="2DB22708"/>
    <w:rsid w:val="2DCD777E"/>
    <w:rsid w:val="2DD871E4"/>
    <w:rsid w:val="2DD91CEB"/>
    <w:rsid w:val="2DE40A2C"/>
    <w:rsid w:val="2DF71B7A"/>
    <w:rsid w:val="2E1153DB"/>
    <w:rsid w:val="2E2F0823"/>
    <w:rsid w:val="2E3A2DBA"/>
    <w:rsid w:val="2E4001EC"/>
    <w:rsid w:val="2E440F06"/>
    <w:rsid w:val="2E4416EC"/>
    <w:rsid w:val="2E656DC8"/>
    <w:rsid w:val="2E714859"/>
    <w:rsid w:val="2E891C22"/>
    <w:rsid w:val="2EA34EAC"/>
    <w:rsid w:val="2EBD1774"/>
    <w:rsid w:val="2EBE5F01"/>
    <w:rsid w:val="2EC13145"/>
    <w:rsid w:val="2ED358C0"/>
    <w:rsid w:val="2ED7167C"/>
    <w:rsid w:val="2EE67454"/>
    <w:rsid w:val="2EE75DA9"/>
    <w:rsid w:val="2F0E722B"/>
    <w:rsid w:val="2F0F3BE7"/>
    <w:rsid w:val="2F120F8D"/>
    <w:rsid w:val="2F2005F1"/>
    <w:rsid w:val="2F28565A"/>
    <w:rsid w:val="2F28727B"/>
    <w:rsid w:val="2F2B6567"/>
    <w:rsid w:val="2F320BA4"/>
    <w:rsid w:val="2F4006A2"/>
    <w:rsid w:val="2F427908"/>
    <w:rsid w:val="2F4670C0"/>
    <w:rsid w:val="2F4B1DFC"/>
    <w:rsid w:val="2F554367"/>
    <w:rsid w:val="2F5F660F"/>
    <w:rsid w:val="2F7B0B4B"/>
    <w:rsid w:val="2F867C40"/>
    <w:rsid w:val="2FA119EA"/>
    <w:rsid w:val="2FA82442"/>
    <w:rsid w:val="2FB654BD"/>
    <w:rsid w:val="2FBF4C43"/>
    <w:rsid w:val="2FC3683D"/>
    <w:rsid w:val="2FC86AD2"/>
    <w:rsid w:val="2FC960EF"/>
    <w:rsid w:val="2FD5211A"/>
    <w:rsid w:val="2FEE78F3"/>
    <w:rsid w:val="301A2AE2"/>
    <w:rsid w:val="30337C9D"/>
    <w:rsid w:val="303560AD"/>
    <w:rsid w:val="30380E7A"/>
    <w:rsid w:val="30653D08"/>
    <w:rsid w:val="307F7096"/>
    <w:rsid w:val="3082152A"/>
    <w:rsid w:val="30A22815"/>
    <w:rsid w:val="30A77EAC"/>
    <w:rsid w:val="30AF438B"/>
    <w:rsid w:val="30B1686E"/>
    <w:rsid w:val="30B67BF6"/>
    <w:rsid w:val="30B86A52"/>
    <w:rsid w:val="30DA3616"/>
    <w:rsid w:val="30EF0CF5"/>
    <w:rsid w:val="30F16CB3"/>
    <w:rsid w:val="31062B8C"/>
    <w:rsid w:val="310D79F8"/>
    <w:rsid w:val="311310EC"/>
    <w:rsid w:val="311C32F0"/>
    <w:rsid w:val="314158DB"/>
    <w:rsid w:val="314A2D6A"/>
    <w:rsid w:val="31623D25"/>
    <w:rsid w:val="3162769D"/>
    <w:rsid w:val="3166111B"/>
    <w:rsid w:val="316F3100"/>
    <w:rsid w:val="317A646F"/>
    <w:rsid w:val="31811E00"/>
    <w:rsid w:val="318E7737"/>
    <w:rsid w:val="31945A45"/>
    <w:rsid w:val="31D55430"/>
    <w:rsid w:val="31ED0F5E"/>
    <w:rsid w:val="31ED7047"/>
    <w:rsid w:val="31EF0062"/>
    <w:rsid w:val="321C0175"/>
    <w:rsid w:val="321F5909"/>
    <w:rsid w:val="322054E5"/>
    <w:rsid w:val="323264EE"/>
    <w:rsid w:val="3237453A"/>
    <w:rsid w:val="3238138B"/>
    <w:rsid w:val="32605672"/>
    <w:rsid w:val="32815A8F"/>
    <w:rsid w:val="32856FF0"/>
    <w:rsid w:val="32950DE4"/>
    <w:rsid w:val="32B01E2C"/>
    <w:rsid w:val="32DD1732"/>
    <w:rsid w:val="32E7503D"/>
    <w:rsid w:val="32E97541"/>
    <w:rsid w:val="32EC578E"/>
    <w:rsid w:val="331129D3"/>
    <w:rsid w:val="333004D3"/>
    <w:rsid w:val="33371734"/>
    <w:rsid w:val="33373D08"/>
    <w:rsid w:val="333D133C"/>
    <w:rsid w:val="3340757B"/>
    <w:rsid w:val="335E117D"/>
    <w:rsid w:val="33672048"/>
    <w:rsid w:val="337904CB"/>
    <w:rsid w:val="33931B6A"/>
    <w:rsid w:val="33935D7F"/>
    <w:rsid w:val="339A15CA"/>
    <w:rsid w:val="33AB3149"/>
    <w:rsid w:val="33B014FB"/>
    <w:rsid w:val="33B2562A"/>
    <w:rsid w:val="33BE7BF2"/>
    <w:rsid w:val="33C55E05"/>
    <w:rsid w:val="33C8592F"/>
    <w:rsid w:val="33CA3137"/>
    <w:rsid w:val="33CA3464"/>
    <w:rsid w:val="33D22B04"/>
    <w:rsid w:val="33E307AE"/>
    <w:rsid w:val="34030991"/>
    <w:rsid w:val="341E1020"/>
    <w:rsid w:val="342012CB"/>
    <w:rsid w:val="344A051C"/>
    <w:rsid w:val="345137DF"/>
    <w:rsid w:val="346E0511"/>
    <w:rsid w:val="34750AD3"/>
    <w:rsid w:val="347533EE"/>
    <w:rsid w:val="347D05E5"/>
    <w:rsid w:val="348F3777"/>
    <w:rsid w:val="34923E98"/>
    <w:rsid w:val="34A16AD4"/>
    <w:rsid w:val="34AA29DF"/>
    <w:rsid w:val="34C23ADD"/>
    <w:rsid w:val="34D42D46"/>
    <w:rsid w:val="34DF2D92"/>
    <w:rsid w:val="34F438D0"/>
    <w:rsid w:val="34FD7427"/>
    <w:rsid w:val="35091367"/>
    <w:rsid w:val="35315FD2"/>
    <w:rsid w:val="353C0D85"/>
    <w:rsid w:val="355701EE"/>
    <w:rsid w:val="356B6123"/>
    <w:rsid w:val="357426E6"/>
    <w:rsid w:val="358D5987"/>
    <w:rsid w:val="35D10A91"/>
    <w:rsid w:val="35D578A2"/>
    <w:rsid w:val="360515F8"/>
    <w:rsid w:val="360B63D2"/>
    <w:rsid w:val="361C277B"/>
    <w:rsid w:val="3621714C"/>
    <w:rsid w:val="36464FF5"/>
    <w:rsid w:val="36535D50"/>
    <w:rsid w:val="36594560"/>
    <w:rsid w:val="367316B8"/>
    <w:rsid w:val="36C64FE9"/>
    <w:rsid w:val="36D678FB"/>
    <w:rsid w:val="36EA46C2"/>
    <w:rsid w:val="370F5F3E"/>
    <w:rsid w:val="371F5852"/>
    <w:rsid w:val="374752D0"/>
    <w:rsid w:val="37580556"/>
    <w:rsid w:val="37600E99"/>
    <w:rsid w:val="377E689F"/>
    <w:rsid w:val="379A3BA8"/>
    <w:rsid w:val="379A59CE"/>
    <w:rsid w:val="379C134B"/>
    <w:rsid w:val="37A97AA7"/>
    <w:rsid w:val="37AE725C"/>
    <w:rsid w:val="37C40735"/>
    <w:rsid w:val="37C433F9"/>
    <w:rsid w:val="37C90465"/>
    <w:rsid w:val="37DF2F93"/>
    <w:rsid w:val="37F92A8E"/>
    <w:rsid w:val="38043468"/>
    <w:rsid w:val="380C355C"/>
    <w:rsid w:val="38122B75"/>
    <w:rsid w:val="38160ED6"/>
    <w:rsid w:val="38355340"/>
    <w:rsid w:val="38403001"/>
    <w:rsid w:val="384269C1"/>
    <w:rsid w:val="385958EA"/>
    <w:rsid w:val="38692569"/>
    <w:rsid w:val="38725724"/>
    <w:rsid w:val="387466FD"/>
    <w:rsid w:val="38962FDF"/>
    <w:rsid w:val="389C2C25"/>
    <w:rsid w:val="389C4A55"/>
    <w:rsid w:val="38C16291"/>
    <w:rsid w:val="38D270D7"/>
    <w:rsid w:val="38E55648"/>
    <w:rsid w:val="38E61183"/>
    <w:rsid w:val="38ED1F88"/>
    <w:rsid w:val="39066375"/>
    <w:rsid w:val="390773CC"/>
    <w:rsid w:val="39092657"/>
    <w:rsid w:val="39122400"/>
    <w:rsid w:val="39197E0A"/>
    <w:rsid w:val="391D3302"/>
    <w:rsid w:val="392F4948"/>
    <w:rsid w:val="394A2139"/>
    <w:rsid w:val="394D1EAD"/>
    <w:rsid w:val="39627C5E"/>
    <w:rsid w:val="39643E37"/>
    <w:rsid w:val="396F4C73"/>
    <w:rsid w:val="39757AC0"/>
    <w:rsid w:val="3997627B"/>
    <w:rsid w:val="399B22FE"/>
    <w:rsid w:val="39D44F1F"/>
    <w:rsid w:val="39D815CB"/>
    <w:rsid w:val="39DC1ADF"/>
    <w:rsid w:val="39FC11D1"/>
    <w:rsid w:val="3A160D66"/>
    <w:rsid w:val="3A35151E"/>
    <w:rsid w:val="3A5E63D2"/>
    <w:rsid w:val="3A753424"/>
    <w:rsid w:val="3A7B236E"/>
    <w:rsid w:val="3AA91F90"/>
    <w:rsid w:val="3AB529C2"/>
    <w:rsid w:val="3ABF6A12"/>
    <w:rsid w:val="3AD350AB"/>
    <w:rsid w:val="3AD9698A"/>
    <w:rsid w:val="3AF61899"/>
    <w:rsid w:val="3B11681D"/>
    <w:rsid w:val="3B2646EA"/>
    <w:rsid w:val="3B2C459B"/>
    <w:rsid w:val="3B4F68FA"/>
    <w:rsid w:val="3B5D734C"/>
    <w:rsid w:val="3B7227DF"/>
    <w:rsid w:val="3B757D6C"/>
    <w:rsid w:val="3B971A5C"/>
    <w:rsid w:val="3BAB3E8E"/>
    <w:rsid w:val="3BBD5006"/>
    <w:rsid w:val="3BD5107F"/>
    <w:rsid w:val="3BFA7185"/>
    <w:rsid w:val="3C0E05CB"/>
    <w:rsid w:val="3C0F1AFF"/>
    <w:rsid w:val="3C2103EE"/>
    <w:rsid w:val="3C220A84"/>
    <w:rsid w:val="3C3D1EAC"/>
    <w:rsid w:val="3C3F75D3"/>
    <w:rsid w:val="3C5B4FF8"/>
    <w:rsid w:val="3C6B1833"/>
    <w:rsid w:val="3C800A62"/>
    <w:rsid w:val="3C895082"/>
    <w:rsid w:val="3C8E77BA"/>
    <w:rsid w:val="3C94138F"/>
    <w:rsid w:val="3C974850"/>
    <w:rsid w:val="3C996FA1"/>
    <w:rsid w:val="3CB6019B"/>
    <w:rsid w:val="3CB84C7B"/>
    <w:rsid w:val="3CBD111D"/>
    <w:rsid w:val="3CBD3850"/>
    <w:rsid w:val="3CC700B0"/>
    <w:rsid w:val="3CCF0774"/>
    <w:rsid w:val="3CF539E0"/>
    <w:rsid w:val="3D272E82"/>
    <w:rsid w:val="3D350281"/>
    <w:rsid w:val="3D3B05B5"/>
    <w:rsid w:val="3D8950D2"/>
    <w:rsid w:val="3D8C23DA"/>
    <w:rsid w:val="3D97122A"/>
    <w:rsid w:val="3D9C16EF"/>
    <w:rsid w:val="3DA20842"/>
    <w:rsid w:val="3DAE4CAF"/>
    <w:rsid w:val="3DD53B3D"/>
    <w:rsid w:val="3DFE4FA8"/>
    <w:rsid w:val="3E051815"/>
    <w:rsid w:val="3E0905CF"/>
    <w:rsid w:val="3E2B689F"/>
    <w:rsid w:val="3E2D057A"/>
    <w:rsid w:val="3E40778F"/>
    <w:rsid w:val="3E7B7584"/>
    <w:rsid w:val="3E8447CF"/>
    <w:rsid w:val="3E875A1B"/>
    <w:rsid w:val="3E955BE1"/>
    <w:rsid w:val="3EA624BA"/>
    <w:rsid w:val="3EA7552E"/>
    <w:rsid w:val="3EC40C3B"/>
    <w:rsid w:val="3EDB3363"/>
    <w:rsid w:val="3EDC6213"/>
    <w:rsid w:val="3EE5469C"/>
    <w:rsid w:val="3EFF2550"/>
    <w:rsid w:val="3F1A3DA9"/>
    <w:rsid w:val="3F252D04"/>
    <w:rsid w:val="3F4C1293"/>
    <w:rsid w:val="3F5D5E92"/>
    <w:rsid w:val="3F7B5BA3"/>
    <w:rsid w:val="3F83739E"/>
    <w:rsid w:val="3FA95A21"/>
    <w:rsid w:val="3FB62A0E"/>
    <w:rsid w:val="3FBA3587"/>
    <w:rsid w:val="3FC25459"/>
    <w:rsid w:val="3FC87F61"/>
    <w:rsid w:val="3FF51A11"/>
    <w:rsid w:val="4005719E"/>
    <w:rsid w:val="402D6541"/>
    <w:rsid w:val="40491438"/>
    <w:rsid w:val="405F0016"/>
    <w:rsid w:val="408829D9"/>
    <w:rsid w:val="408F7801"/>
    <w:rsid w:val="40916A4B"/>
    <w:rsid w:val="40A55F2E"/>
    <w:rsid w:val="40AA59EE"/>
    <w:rsid w:val="40D45139"/>
    <w:rsid w:val="40E56ED8"/>
    <w:rsid w:val="40FD1C07"/>
    <w:rsid w:val="411F69B4"/>
    <w:rsid w:val="411F6F6E"/>
    <w:rsid w:val="4123271A"/>
    <w:rsid w:val="412B3475"/>
    <w:rsid w:val="414859AE"/>
    <w:rsid w:val="416242B7"/>
    <w:rsid w:val="41676BC7"/>
    <w:rsid w:val="418025CD"/>
    <w:rsid w:val="4198384A"/>
    <w:rsid w:val="41992D40"/>
    <w:rsid w:val="41A203DB"/>
    <w:rsid w:val="41A45311"/>
    <w:rsid w:val="41A5498F"/>
    <w:rsid w:val="41A55329"/>
    <w:rsid w:val="41DA2789"/>
    <w:rsid w:val="41E65DF4"/>
    <w:rsid w:val="41F57AEA"/>
    <w:rsid w:val="41F6750C"/>
    <w:rsid w:val="42276386"/>
    <w:rsid w:val="42413D62"/>
    <w:rsid w:val="424770F1"/>
    <w:rsid w:val="42544940"/>
    <w:rsid w:val="42576697"/>
    <w:rsid w:val="425C4835"/>
    <w:rsid w:val="425E3E3C"/>
    <w:rsid w:val="426107F4"/>
    <w:rsid w:val="426940D4"/>
    <w:rsid w:val="42717647"/>
    <w:rsid w:val="428127C0"/>
    <w:rsid w:val="42857AEA"/>
    <w:rsid w:val="42934A1B"/>
    <w:rsid w:val="429443B3"/>
    <w:rsid w:val="429B73CB"/>
    <w:rsid w:val="42A21008"/>
    <w:rsid w:val="42AA4AD9"/>
    <w:rsid w:val="42DD7EB6"/>
    <w:rsid w:val="4302644D"/>
    <w:rsid w:val="43191285"/>
    <w:rsid w:val="432E1C5A"/>
    <w:rsid w:val="432F7EA3"/>
    <w:rsid w:val="43343AE8"/>
    <w:rsid w:val="433A6460"/>
    <w:rsid w:val="43534F9C"/>
    <w:rsid w:val="43570061"/>
    <w:rsid w:val="4361311D"/>
    <w:rsid w:val="43652469"/>
    <w:rsid w:val="43656C10"/>
    <w:rsid w:val="437027B9"/>
    <w:rsid w:val="437E08F8"/>
    <w:rsid w:val="438B75E0"/>
    <w:rsid w:val="43926D3E"/>
    <w:rsid w:val="439A5701"/>
    <w:rsid w:val="43B15B6A"/>
    <w:rsid w:val="43B56D3E"/>
    <w:rsid w:val="43CC0C95"/>
    <w:rsid w:val="43DE4FEB"/>
    <w:rsid w:val="43F366F1"/>
    <w:rsid w:val="43F37DE5"/>
    <w:rsid w:val="43F45D39"/>
    <w:rsid w:val="44165D35"/>
    <w:rsid w:val="44251871"/>
    <w:rsid w:val="44391AFF"/>
    <w:rsid w:val="444529FA"/>
    <w:rsid w:val="445A41BE"/>
    <w:rsid w:val="445D50FC"/>
    <w:rsid w:val="44626440"/>
    <w:rsid w:val="44750D26"/>
    <w:rsid w:val="44802248"/>
    <w:rsid w:val="44A33971"/>
    <w:rsid w:val="44C46EE0"/>
    <w:rsid w:val="44DE17C4"/>
    <w:rsid w:val="44DE7324"/>
    <w:rsid w:val="44E36D7A"/>
    <w:rsid w:val="44E42F23"/>
    <w:rsid w:val="450C5D89"/>
    <w:rsid w:val="45124DBA"/>
    <w:rsid w:val="45390B49"/>
    <w:rsid w:val="453E2AD8"/>
    <w:rsid w:val="45417F26"/>
    <w:rsid w:val="45421B88"/>
    <w:rsid w:val="455169DE"/>
    <w:rsid w:val="455C11BF"/>
    <w:rsid w:val="45765A7B"/>
    <w:rsid w:val="458C5D77"/>
    <w:rsid w:val="458C5DFC"/>
    <w:rsid w:val="45905C75"/>
    <w:rsid w:val="45912183"/>
    <w:rsid w:val="4597249D"/>
    <w:rsid w:val="45A17413"/>
    <w:rsid w:val="45B521B2"/>
    <w:rsid w:val="45C05D46"/>
    <w:rsid w:val="45C16C93"/>
    <w:rsid w:val="460E319E"/>
    <w:rsid w:val="4647445C"/>
    <w:rsid w:val="466F72B6"/>
    <w:rsid w:val="46750BF7"/>
    <w:rsid w:val="4686673A"/>
    <w:rsid w:val="46950D1D"/>
    <w:rsid w:val="46B52641"/>
    <w:rsid w:val="46C25CF4"/>
    <w:rsid w:val="46C50CA2"/>
    <w:rsid w:val="46C7724E"/>
    <w:rsid w:val="46CC505E"/>
    <w:rsid w:val="46CD2DCC"/>
    <w:rsid w:val="46D6571F"/>
    <w:rsid w:val="46F01AF1"/>
    <w:rsid w:val="46F623B2"/>
    <w:rsid w:val="4702285E"/>
    <w:rsid w:val="47027FE7"/>
    <w:rsid w:val="470B7694"/>
    <w:rsid w:val="470C155B"/>
    <w:rsid w:val="47374172"/>
    <w:rsid w:val="47451F75"/>
    <w:rsid w:val="4747462B"/>
    <w:rsid w:val="47480F4A"/>
    <w:rsid w:val="4749354B"/>
    <w:rsid w:val="474F3204"/>
    <w:rsid w:val="47641784"/>
    <w:rsid w:val="47763B26"/>
    <w:rsid w:val="478760F5"/>
    <w:rsid w:val="478915D3"/>
    <w:rsid w:val="4793462D"/>
    <w:rsid w:val="479365F1"/>
    <w:rsid w:val="47982277"/>
    <w:rsid w:val="479B4E51"/>
    <w:rsid w:val="479E1B27"/>
    <w:rsid w:val="47AB60D9"/>
    <w:rsid w:val="47AE16D3"/>
    <w:rsid w:val="47D8621B"/>
    <w:rsid w:val="47FA11AE"/>
    <w:rsid w:val="480D4B4D"/>
    <w:rsid w:val="48232219"/>
    <w:rsid w:val="482E02D3"/>
    <w:rsid w:val="483C651B"/>
    <w:rsid w:val="48445EBF"/>
    <w:rsid w:val="484C6D00"/>
    <w:rsid w:val="48712C82"/>
    <w:rsid w:val="4876094C"/>
    <w:rsid w:val="487C0756"/>
    <w:rsid w:val="48B2318D"/>
    <w:rsid w:val="48CB21A7"/>
    <w:rsid w:val="48D45FCF"/>
    <w:rsid w:val="48E143B0"/>
    <w:rsid w:val="48EA49C2"/>
    <w:rsid w:val="48F55BF4"/>
    <w:rsid w:val="48FD1835"/>
    <w:rsid w:val="490A4DE5"/>
    <w:rsid w:val="491241B3"/>
    <w:rsid w:val="49206F4F"/>
    <w:rsid w:val="49675337"/>
    <w:rsid w:val="499A05F2"/>
    <w:rsid w:val="49C06D9B"/>
    <w:rsid w:val="49C31B5A"/>
    <w:rsid w:val="49C47011"/>
    <w:rsid w:val="49D075AA"/>
    <w:rsid w:val="49DB1B45"/>
    <w:rsid w:val="49FE0CE1"/>
    <w:rsid w:val="49FE3C0C"/>
    <w:rsid w:val="4A076E53"/>
    <w:rsid w:val="4A133897"/>
    <w:rsid w:val="4A2757FA"/>
    <w:rsid w:val="4A2A222A"/>
    <w:rsid w:val="4A624F88"/>
    <w:rsid w:val="4A742C0C"/>
    <w:rsid w:val="4A7B4BEB"/>
    <w:rsid w:val="4A8960C4"/>
    <w:rsid w:val="4AD7549B"/>
    <w:rsid w:val="4B013B18"/>
    <w:rsid w:val="4B033D2D"/>
    <w:rsid w:val="4B325024"/>
    <w:rsid w:val="4B326D44"/>
    <w:rsid w:val="4B33442F"/>
    <w:rsid w:val="4B4D0746"/>
    <w:rsid w:val="4B571003"/>
    <w:rsid w:val="4B8509BA"/>
    <w:rsid w:val="4B8F14E3"/>
    <w:rsid w:val="4BAE163C"/>
    <w:rsid w:val="4BB044A7"/>
    <w:rsid w:val="4BB51035"/>
    <w:rsid w:val="4BD754EA"/>
    <w:rsid w:val="4BDC438B"/>
    <w:rsid w:val="4BDE3D9C"/>
    <w:rsid w:val="4BE54C67"/>
    <w:rsid w:val="4BF844FF"/>
    <w:rsid w:val="4BFB5FBF"/>
    <w:rsid w:val="4BFD561F"/>
    <w:rsid w:val="4C121806"/>
    <w:rsid w:val="4C366C85"/>
    <w:rsid w:val="4C3B2D30"/>
    <w:rsid w:val="4C57789F"/>
    <w:rsid w:val="4C5A1A06"/>
    <w:rsid w:val="4C6A6880"/>
    <w:rsid w:val="4C751D7C"/>
    <w:rsid w:val="4C786FB6"/>
    <w:rsid w:val="4C87739A"/>
    <w:rsid w:val="4CAE1E76"/>
    <w:rsid w:val="4CB137BE"/>
    <w:rsid w:val="4CB33973"/>
    <w:rsid w:val="4CB410D8"/>
    <w:rsid w:val="4CCC4033"/>
    <w:rsid w:val="4CD70EE3"/>
    <w:rsid w:val="4CDE4584"/>
    <w:rsid w:val="4CFF2819"/>
    <w:rsid w:val="4D007E68"/>
    <w:rsid w:val="4D0F3AED"/>
    <w:rsid w:val="4D1153F4"/>
    <w:rsid w:val="4D132E9E"/>
    <w:rsid w:val="4D2032CD"/>
    <w:rsid w:val="4D393925"/>
    <w:rsid w:val="4D4414BF"/>
    <w:rsid w:val="4D460DBA"/>
    <w:rsid w:val="4D7A7154"/>
    <w:rsid w:val="4D941827"/>
    <w:rsid w:val="4D9D623C"/>
    <w:rsid w:val="4DB1528C"/>
    <w:rsid w:val="4DB22E79"/>
    <w:rsid w:val="4DBF5303"/>
    <w:rsid w:val="4DD61BE0"/>
    <w:rsid w:val="4DDD1CB8"/>
    <w:rsid w:val="4E1A1DF7"/>
    <w:rsid w:val="4E2529D0"/>
    <w:rsid w:val="4E2C64C8"/>
    <w:rsid w:val="4E302095"/>
    <w:rsid w:val="4E3504A3"/>
    <w:rsid w:val="4E3D65C7"/>
    <w:rsid w:val="4E40366F"/>
    <w:rsid w:val="4E563EA6"/>
    <w:rsid w:val="4E580931"/>
    <w:rsid w:val="4E590D24"/>
    <w:rsid w:val="4E7173D3"/>
    <w:rsid w:val="4E7F546A"/>
    <w:rsid w:val="4E967734"/>
    <w:rsid w:val="4EB57B07"/>
    <w:rsid w:val="4EBC6AE4"/>
    <w:rsid w:val="4ECC25A0"/>
    <w:rsid w:val="4EEB30B7"/>
    <w:rsid w:val="4F0F5BA4"/>
    <w:rsid w:val="4F175E85"/>
    <w:rsid w:val="4F265DA7"/>
    <w:rsid w:val="4F35787D"/>
    <w:rsid w:val="4F364590"/>
    <w:rsid w:val="4F452216"/>
    <w:rsid w:val="4F597DC0"/>
    <w:rsid w:val="4F61688C"/>
    <w:rsid w:val="4F660C45"/>
    <w:rsid w:val="4F6B06F6"/>
    <w:rsid w:val="4F7306AE"/>
    <w:rsid w:val="4F781E14"/>
    <w:rsid w:val="4F7E0AE5"/>
    <w:rsid w:val="4F8140F6"/>
    <w:rsid w:val="4F8B7569"/>
    <w:rsid w:val="4FAF62D9"/>
    <w:rsid w:val="4FAF7235"/>
    <w:rsid w:val="4FB4376A"/>
    <w:rsid w:val="4FBB63FA"/>
    <w:rsid w:val="4FC141A7"/>
    <w:rsid w:val="4FD146D3"/>
    <w:rsid w:val="4FD60CC7"/>
    <w:rsid w:val="4FF95E7F"/>
    <w:rsid w:val="5004493F"/>
    <w:rsid w:val="50052F69"/>
    <w:rsid w:val="503053A3"/>
    <w:rsid w:val="5035246F"/>
    <w:rsid w:val="503B30A1"/>
    <w:rsid w:val="50476229"/>
    <w:rsid w:val="50606CE9"/>
    <w:rsid w:val="50626D41"/>
    <w:rsid w:val="50656EF9"/>
    <w:rsid w:val="50730853"/>
    <w:rsid w:val="507929BF"/>
    <w:rsid w:val="50A16C0F"/>
    <w:rsid w:val="50A44C62"/>
    <w:rsid w:val="50C975F8"/>
    <w:rsid w:val="50CF6F90"/>
    <w:rsid w:val="50EA174A"/>
    <w:rsid w:val="50F419AD"/>
    <w:rsid w:val="50F975F7"/>
    <w:rsid w:val="510873FE"/>
    <w:rsid w:val="51171A25"/>
    <w:rsid w:val="512603AE"/>
    <w:rsid w:val="51275421"/>
    <w:rsid w:val="51463698"/>
    <w:rsid w:val="516941BF"/>
    <w:rsid w:val="518D4EEE"/>
    <w:rsid w:val="51912361"/>
    <w:rsid w:val="51964582"/>
    <w:rsid w:val="51A03146"/>
    <w:rsid w:val="51A43F6C"/>
    <w:rsid w:val="51AF3E48"/>
    <w:rsid w:val="51BB14B8"/>
    <w:rsid w:val="51D71C93"/>
    <w:rsid w:val="51E61EFB"/>
    <w:rsid w:val="52076FBE"/>
    <w:rsid w:val="52082E3C"/>
    <w:rsid w:val="523D5B33"/>
    <w:rsid w:val="523E2936"/>
    <w:rsid w:val="524511F7"/>
    <w:rsid w:val="52A74FC7"/>
    <w:rsid w:val="52AA14F8"/>
    <w:rsid w:val="52FD06EE"/>
    <w:rsid w:val="53000115"/>
    <w:rsid w:val="5302018C"/>
    <w:rsid w:val="53081F6F"/>
    <w:rsid w:val="53175346"/>
    <w:rsid w:val="532E4005"/>
    <w:rsid w:val="533440B4"/>
    <w:rsid w:val="53376D4B"/>
    <w:rsid w:val="533B435B"/>
    <w:rsid w:val="533F13CC"/>
    <w:rsid w:val="53441D5E"/>
    <w:rsid w:val="535E2AD0"/>
    <w:rsid w:val="5360537E"/>
    <w:rsid w:val="53694D26"/>
    <w:rsid w:val="5370630D"/>
    <w:rsid w:val="53815220"/>
    <w:rsid w:val="538D03F4"/>
    <w:rsid w:val="53CF105B"/>
    <w:rsid w:val="53DE2EFA"/>
    <w:rsid w:val="54013E8F"/>
    <w:rsid w:val="541059FB"/>
    <w:rsid w:val="54196D8A"/>
    <w:rsid w:val="541D7FED"/>
    <w:rsid w:val="542207D1"/>
    <w:rsid w:val="5448325D"/>
    <w:rsid w:val="5494329A"/>
    <w:rsid w:val="549B38B2"/>
    <w:rsid w:val="54A844F4"/>
    <w:rsid w:val="54A90E1F"/>
    <w:rsid w:val="54B60FF9"/>
    <w:rsid w:val="54C213B7"/>
    <w:rsid w:val="54DB4815"/>
    <w:rsid w:val="54DE360B"/>
    <w:rsid w:val="54E04DEB"/>
    <w:rsid w:val="54E4790D"/>
    <w:rsid w:val="54EC4891"/>
    <w:rsid w:val="54EF4AFC"/>
    <w:rsid w:val="54F36B5E"/>
    <w:rsid w:val="55273BB0"/>
    <w:rsid w:val="55293DAC"/>
    <w:rsid w:val="552E539A"/>
    <w:rsid w:val="55327890"/>
    <w:rsid w:val="5538222D"/>
    <w:rsid w:val="55396AE8"/>
    <w:rsid w:val="55465483"/>
    <w:rsid w:val="554F16B2"/>
    <w:rsid w:val="556B117A"/>
    <w:rsid w:val="55732ABB"/>
    <w:rsid w:val="557C4FB5"/>
    <w:rsid w:val="55EE4D3D"/>
    <w:rsid w:val="55FB5EE5"/>
    <w:rsid w:val="560A3758"/>
    <w:rsid w:val="560C6DCA"/>
    <w:rsid w:val="560D4A5B"/>
    <w:rsid w:val="56382437"/>
    <w:rsid w:val="56390EF2"/>
    <w:rsid w:val="564210FD"/>
    <w:rsid w:val="5658202B"/>
    <w:rsid w:val="565B43AD"/>
    <w:rsid w:val="565F5E8F"/>
    <w:rsid w:val="56625603"/>
    <w:rsid w:val="568721CA"/>
    <w:rsid w:val="56A50DA0"/>
    <w:rsid w:val="56A5229D"/>
    <w:rsid w:val="56BD5139"/>
    <w:rsid w:val="56C92FC3"/>
    <w:rsid w:val="56DE395C"/>
    <w:rsid w:val="56DF4707"/>
    <w:rsid w:val="56F0366D"/>
    <w:rsid w:val="56F66152"/>
    <w:rsid w:val="56F76B34"/>
    <w:rsid w:val="571358FF"/>
    <w:rsid w:val="57264BC5"/>
    <w:rsid w:val="572C409B"/>
    <w:rsid w:val="573B290A"/>
    <w:rsid w:val="5746710D"/>
    <w:rsid w:val="575979D4"/>
    <w:rsid w:val="576111AD"/>
    <w:rsid w:val="577E4DCE"/>
    <w:rsid w:val="578D5C23"/>
    <w:rsid w:val="57B20175"/>
    <w:rsid w:val="57B92170"/>
    <w:rsid w:val="57BA51C8"/>
    <w:rsid w:val="57C335C2"/>
    <w:rsid w:val="57C82781"/>
    <w:rsid w:val="57D2181F"/>
    <w:rsid w:val="57DC5F91"/>
    <w:rsid w:val="57DF4AD4"/>
    <w:rsid w:val="57EE15D8"/>
    <w:rsid w:val="580124BC"/>
    <w:rsid w:val="58253BE0"/>
    <w:rsid w:val="58263CC6"/>
    <w:rsid w:val="58446774"/>
    <w:rsid w:val="58591D22"/>
    <w:rsid w:val="585F4353"/>
    <w:rsid w:val="587E724C"/>
    <w:rsid w:val="588D3B72"/>
    <w:rsid w:val="589971E3"/>
    <w:rsid w:val="58A232B3"/>
    <w:rsid w:val="58C4327D"/>
    <w:rsid w:val="58C62D20"/>
    <w:rsid w:val="58D35652"/>
    <w:rsid w:val="58DC5CC3"/>
    <w:rsid w:val="58FB3C57"/>
    <w:rsid w:val="590B1547"/>
    <w:rsid w:val="591F4FE7"/>
    <w:rsid w:val="591F55D9"/>
    <w:rsid w:val="59231A06"/>
    <w:rsid w:val="59370E0A"/>
    <w:rsid w:val="59470B4F"/>
    <w:rsid w:val="5957399B"/>
    <w:rsid w:val="595924EF"/>
    <w:rsid w:val="599732B4"/>
    <w:rsid w:val="59B05673"/>
    <w:rsid w:val="59B938C3"/>
    <w:rsid w:val="59DF00CB"/>
    <w:rsid w:val="59E75AA6"/>
    <w:rsid w:val="5A0B7B96"/>
    <w:rsid w:val="5A191B23"/>
    <w:rsid w:val="5A2536FB"/>
    <w:rsid w:val="5A383EBD"/>
    <w:rsid w:val="5A402202"/>
    <w:rsid w:val="5A42615D"/>
    <w:rsid w:val="5A593D9C"/>
    <w:rsid w:val="5A5F720A"/>
    <w:rsid w:val="5A5F7C14"/>
    <w:rsid w:val="5A693FF6"/>
    <w:rsid w:val="5A6B6E23"/>
    <w:rsid w:val="5A8420CF"/>
    <w:rsid w:val="5ABE4384"/>
    <w:rsid w:val="5AE21802"/>
    <w:rsid w:val="5AF311F1"/>
    <w:rsid w:val="5AF91D00"/>
    <w:rsid w:val="5AFD292A"/>
    <w:rsid w:val="5B014AF8"/>
    <w:rsid w:val="5B0333B9"/>
    <w:rsid w:val="5B045A75"/>
    <w:rsid w:val="5B125307"/>
    <w:rsid w:val="5B143F1E"/>
    <w:rsid w:val="5B2F3A24"/>
    <w:rsid w:val="5B304E5D"/>
    <w:rsid w:val="5B3C3541"/>
    <w:rsid w:val="5B3C5DF9"/>
    <w:rsid w:val="5B6C11BF"/>
    <w:rsid w:val="5B711FD2"/>
    <w:rsid w:val="5B772829"/>
    <w:rsid w:val="5B911984"/>
    <w:rsid w:val="5B9359D3"/>
    <w:rsid w:val="5BC51C61"/>
    <w:rsid w:val="5BC66265"/>
    <w:rsid w:val="5BE12E5F"/>
    <w:rsid w:val="5BE62855"/>
    <w:rsid w:val="5BE95A14"/>
    <w:rsid w:val="5BFE2017"/>
    <w:rsid w:val="5C037700"/>
    <w:rsid w:val="5C0F72A5"/>
    <w:rsid w:val="5C243AD8"/>
    <w:rsid w:val="5C3452D6"/>
    <w:rsid w:val="5C3874D6"/>
    <w:rsid w:val="5C56341C"/>
    <w:rsid w:val="5C5A7CF7"/>
    <w:rsid w:val="5C733530"/>
    <w:rsid w:val="5C7D37D6"/>
    <w:rsid w:val="5C886CBA"/>
    <w:rsid w:val="5C8F21AA"/>
    <w:rsid w:val="5C956F1C"/>
    <w:rsid w:val="5C983A71"/>
    <w:rsid w:val="5CAE5DF1"/>
    <w:rsid w:val="5CB640A9"/>
    <w:rsid w:val="5CCB5F1C"/>
    <w:rsid w:val="5CCF527E"/>
    <w:rsid w:val="5CE56023"/>
    <w:rsid w:val="5CEC3644"/>
    <w:rsid w:val="5D016C8E"/>
    <w:rsid w:val="5D101F53"/>
    <w:rsid w:val="5D203EAB"/>
    <w:rsid w:val="5D28581D"/>
    <w:rsid w:val="5D334619"/>
    <w:rsid w:val="5D39325F"/>
    <w:rsid w:val="5D47102E"/>
    <w:rsid w:val="5D4A5144"/>
    <w:rsid w:val="5D566B7E"/>
    <w:rsid w:val="5D763E92"/>
    <w:rsid w:val="5D783198"/>
    <w:rsid w:val="5D802A6A"/>
    <w:rsid w:val="5D832C45"/>
    <w:rsid w:val="5D8A6F10"/>
    <w:rsid w:val="5D8F5864"/>
    <w:rsid w:val="5D943DC4"/>
    <w:rsid w:val="5DA170A9"/>
    <w:rsid w:val="5DA90FCF"/>
    <w:rsid w:val="5DB336EF"/>
    <w:rsid w:val="5DC23B09"/>
    <w:rsid w:val="5DDE414D"/>
    <w:rsid w:val="5DE135CC"/>
    <w:rsid w:val="5DE92009"/>
    <w:rsid w:val="5DFB3C45"/>
    <w:rsid w:val="5E2B7FEE"/>
    <w:rsid w:val="5E5C233D"/>
    <w:rsid w:val="5E79014F"/>
    <w:rsid w:val="5EB47478"/>
    <w:rsid w:val="5EBA742E"/>
    <w:rsid w:val="5EBC2BB0"/>
    <w:rsid w:val="5ED64900"/>
    <w:rsid w:val="5EE33912"/>
    <w:rsid w:val="5EED1D42"/>
    <w:rsid w:val="5EED3CED"/>
    <w:rsid w:val="5F027472"/>
    <w:rsid w:val="5F04599D"/>
    <w:rsid w:val="5F11261C"/>
    <w:rsid w:val="5F177CD0"/>
    <w:rsid w:val="5F3F3232"/>
    <w:rsid w:val="5F4C0AE1"/>
    <w:rsid w:val="5F5356DA"/>
    <w:rsid w:val="5F5F6DB1"/>
    <w:rsid w:val="5F8262E5"/>
    <w:rsid w:val="5F8F3CC5"/>
    <w:rsid w:val="5F942B9F"/>
    <w:rsid w:val="5F942D8B"/>
    <w:rsid w:val="5F961633"/>
    <w:rsid w:val="5FB3258E"/>
    <w:rsid w:val="5FBA7C2A"/>
    <w:rsid w:val="5FCE4084"/>
    <w:rsid w:val="5FCF1FD2"/>
    <w:rsid w:val="5FF14048"/>
    <w:rsid w:val="5FF351EC"/>
    <w:rsid w:val="5FF45B0E"/>
    <w:rsid w:val="600B5605"/>
    <w:rsid w:val="601D2625"/>
    <w:rsid w:val="60300DE6"/>
    <w:rsid w:val="604A5527"/>
    <w:rsid w:val="604C4376"/>
    <w:rsid w:val="605C62E2"/>
    <w:rsid w:val="6094186E"/>
    <w:rsid w:val="60987F2C"/>
    <w:rsid w:val="609C30F7"/>
    <w:rsid w:val="609F254F"/>
    <w:rsid w:val="60AC02F1"/>
    <w:rsid w:val="60C778EF"/>
    <w:rsid w:val="60C95697"/>
    <w:rsid w:val="60CD6ED3"/>
    <w:rsid w:val="60CF0E74"/>
    <w:rsid w:val="60D40B8D"/>
    <w:rsid w:val="60F5178B"/>
    <w:rsid w:val="61167251"/>
    <w:rsid w:val="614433DC"/>
    <w:rsid w:val="616C7548"/>
    <w:rsid w:val="616E6E6C"/>
    <w:rsid w:val="61734879"/>
    <w:rsid w:val="617628D4"/>
    <w:rsid w:val="61794B86"/>
    <w:rsid w:val="6185262D"/>
    <w:rsid w:val="61A90838"/>
    <w:rsid w:val="61B53458"/>
    <w:rsid w:val="61C61E19"/>
    <w:rsid w:val="61CC747A"/>
    <w:rsid w:val="61E85B3A"/>
    <w:rsid w:val="623603E7"/>
    <w:rsid w:val="623629B9"/>
    <w:rsid w:val="6242164B"/>
    <w:rsid w:val="624477A6"/>
    <w:rsid w:val="624C77E1"/>
    <w:rsid w:val="625C43C9"/>
    <w:rsid w:val="6264612D"/>
    <w:rsid w:val="62711E3F"/>
    <w:rsid w:val="6278049A"/>
    <w:rsid w:val="62820670"/>
    <w:rsid w:val="628C03AF"/>
    <w:rsid w:val="62994726"/>
    <w:rsid w:val="62A840EA"/>
    <w:rsid w:val="62BC181B"/>
    <w:rsid w:val="62BD07FB"/>
    <w:rsid w:val="62EB4CE3"/>
    <w:rsid w:val="62ED4CC4"/>
    <w:rsid w:val="62F014E4"/>
    <w:rsid w:val="62F04B08"/>
    <w:rsid w:val="631E19F2"/>
    <w:rsid w:val="6327547A"/>
    <w:rsid w:val="635427B5"/>
    <w:rsid w:val="636635BD"/>
    <w:rsid w:val="63955408"/>
    <w:rsid w:val="639B5442"/>
    <w:rsid w:val="63AC10FE"/>
    <w:rsid w:val="63B06EDA"/>
    <w:rsid w:val="63BE3158"/>
    <w:rsid w:val="63C527DF"/>
    <w:rsid w:val="63C85135"/>
    <w:rsid w:val="63E074A1"/>
    <w:rsid w:val="63E53987"/>
    <w:rsid w:val="63F4787D"/>
    <w:rsid w:val="63F56E80"/>
    <w:rsid w:val="64280515"/>
    <w:rsid w:val="644C59B6"/>
    <w:rsid w:val="64515407"/>
    <w:rsid w:val="645A3CC6"/>
    <w:rsid w:val="64680F82"/>
    <w:rsid w:val="64691A16"/>
    <w:rsid w:val="64790989"/>
    <w:rsid w:val="647E60A3"/>
    <w:rsid w:val="648D4109"/>
    <w:rsid w:val="649F78B6"/>
    <w:rsid w:val="64AA4E96"/>
    <w:rsid w:val="64B25383"/>
    <w:rsid w:val="64C25047"/>
    <w:rsid w:val="64D5132E"/>
    <w:rsid w:val="64DF2CC4"/>
    <w:rsid w:val="64E0610C"/>
    <w:rsid w:val="64EE4F7B"/>
    <w:rsid w:val="64F35DAB"/>
    <w:rsid w:val="64F97047"/>
    <w:rsid w:val="64FB7D7A"/>
    <w:rsid w:val="64FC2035"/>
    <w:rsid w:val="652077CF"/>
    <w:rsid w:val="653C6F14"/>
    <w:rsid w:val="65631741"/>
    <w:rsid w:val="65683744"/>
    <w:rsid w:val="65823CC4"/>
    <w:rsid w:val="6584615B"/>
    <w:rsid w:val="6597373B"/>
    <w:rsid w:val="65983D73"/>
    <w:rsid w:val="65A16B6F"/>
    <w:rsid w:val="65AE7AAA"/>
    <w:rsid w:val="65ED02ED"/>
    <w:rsid w:val="65F03493"/>
    <w:rsid w:val="65FD5D38"/>
    <w:rsid w:val="660C380D"/>
    <w:rsid w:val="66112C52"/>
    <w:rsid w:val="66247EF1"/>
    <w:rsid w:val="663466CA"/>
    <w:rsid w:val="663C314F"/>
    <w:rsid w:val="664B0CE1"/>
    <w:rsid w:val="66583C8D"/>
    <w:rsid w:val="6666267B"/>
    <w:rsid w:val="66673DB9"/>
    <w:rsid w:val="666A30BC"/>
    <w:rsid w:val="669F742D"/>
    <w:rsid w:val="66BE3D91"/>
    <w:rsid w:val="66C20DFC"/>
    <w:rsid w:val="66C22339"/>
    <w:rsid w:val="66C90D7B"/>
    <w:rsid w:val="66CF706B"/>
    <w:rsid w:val="66F86D1E"/>
    <w:rsid w:val="67002F58"/>
    <w:rsid w:val="67095652"/>
    <w:rsid w:val="673302D4"/>
    <w:rsid w:val="675C5AF9"/>
    <w:rsid w:val="67791B7C"/>
    <w:rsid w:val="677A2375"/>
    <w:rsid w:val="678D219A"/>
    <w:rsid w:val="67A033F0"/>
    <w:rsid w:val="67B422AB"/>
    <w:rsid w:val="67B80DA5"/>
    <w:rsid w:val="67CF39A9"/>
    <w:rsid w:val="67E0108F"/>
    <w:rsid w:val="67E01CC7"/>
    <w:rsid w:val="682E5B9B"/>
    <w:rsid w:val="68364A68"/>
    <w:rsid w:val="68376B58"/>
    <w:rsid w:val="683D0A9B"/>
    <w:rsid w:val="68500364"/>
    <w:rsid w:val="685F7B70"/>
    <w:rsid w:val="687E136C"/>
    <w:rsid w:val="68963EE9"/>
    <w:rsid w:val="689E178F"/>
    <w:rsid w:val="68C460F5"/>
    <w:rsid w:val="68DC2037"/>
    <w:rsid w:val="68E76311"/>
    <w:rsid w:val="68F522DE"/>
    <w:rsid w:val="69106427"/>
    <w:rsid w:val="69195563"/>
    <w:rsid w:val="691F496A"/>
    <w:rsid w:val="692B7EE3"/>
    <w:rsid w:val="69351EDE"/>
    <w:rsid w:val="695D3F52"/>
    <w:rsid w:val="6968659A"/>
    <w:rsid w:val="69842E28"/>
    <w:rsid w:val="69873562"/>
    <w:rsid w:val="69A37E42"/>
    <w:rsid w:val="69C03FB3"/>
    <w:rsid w:val="69C445E4"/>
    <w:rsid w:val="69C812EA"/>
    <w:rsid w:val="69F6502C"/>
    <w:rsid w:val="69FA5C5F"/>
    <w:rsid w:val="6A173A74"/>
    <w:rsid w:val="6A2F7151"/>
    <w:rsid w:val="6A39154F"/>
    <w:rsid w:val="6A5007AD"/>
    <w:rsid w:val="6A521AE2"/>
    <w:rsid w:val="6A56092F"/>
    <w:rsid w:val="6A7921F0"/>
    <w:rsid w:val="6A851D49"/>
    <w:rsid w:val="6A865108"/>
    <w:rsid w:val="6A91191F"/>
    <w:rsid w:val="6A972E84"/>
    <w:rsid w:val="6A9D366C"/>
    <w:rsid w:val="6AB06940"/>
    <w:rsid w:val="6AEC5541"/>
    <w:rsid w:val="6AEE4780"/>
    <w:rsid w:val="6AEF2EA8"/>
    <w:rsid w:val="6AEF6D66"/>
    <w:rsid w:val="6AF865CC"/>
    <w:rsid w:val="6B1049AE"/>
    <w:rsid w:val="6B2111FF"/>
    <w:rsid w:val="6B301D48"/>
    <w:rsid w:val="6B3C67AF"/>
    <w:rsid w:val="6B464007"/>
    <w:rsid w:val="6B493131"/>
    <w:rsid w:val="6B5F3D92"/>
    <w:rsid w:val="6B8A1FA7"/>
    <w:rsid w:val="6B922806"/>
    <w:rsid w:val="6B9B5D2B"/>
    <w:rsid w:val="6BAA591C"/>
    <w:rsid w:val="6BC5593B"/>
    <w:rsid w:val="6BC85FF4"/>
    <w:rsid w:val="6BC865C6"/>
    <w:rsid w:val="6BCF68DE"/>
    <w:rsid w:val="6BE343E0"/>
    <w:rsid w:val="6BEE1263"/>
    <w:rsid w:val="6C0425E8"/>
    <w:rsid w:val="6C0C5D36"/>
    <w:rsid w:val="6C185247"/>
    <w:rsid w:val="6C196754"/>
    <w:rsid w:val="6C1A3587"/>
    <w:rsid w:val="6C1A5FD5"/>
    <w:rsid w:val="6C24036C"/>
    <w:rsid w:val="6C24475F"/>
    <w:rsid w:val="6C4C551A"/>
    <w:rsid w:val="6C56036E"/>
    <w:rsid w:val="6C5A4BF1"/>
    <w:rsid w:val="6C670C6E"/>
    <w:rsid w:val="6C7B0655"/>
    <w:rsid w:val="6C947E63"/>
    <w:rsid w:val="6C956C85"/>
    <w:rsid w:val="6C96207E"/>
    <w:rsid w:val="6C9D48A8"/>
    <w:rsid w:val="6CED4C59"/>
    <w:rsid w:val="6CF20F57"/>
    <w:rsid w:val="6D0224B3"/>
    <w:rsid w:val="6D056DE5"/>
    <w:rsid w:val="6D0C05DC"/>
    <w:rsid w:val="6D1B7684"/>
    <w:rsid w:val="6D633A46"/>
    <w:rsid w:val="6D637470"/>
    <w:rsid w:val="6D821381"/>
    <w:rsid w:val="6D821413"/>
    <w:rsid w:val="6D8C272F"/>
    <w:rsid w:val="6D995DD8"/>
    <w:rsid w:val="6DB90221"/>
    <w:rsid w:val="6DC933B8"/>
    <w:rsid w:val="6DCF70DF"/>
    <w:rsid w:val="6DD4542E"/>
    <w:rsid w:val="6E022C69"/>
    <w:rsid w:val="6E1C4C9B"/>
    <w:rsid w:val="6E254D9B"/>
    <w:rsid w:val="6E297C1A"/>
    <w:rsid w:val="6E56114D"/>
    <w:rsid w:val="6E68567F"/>
    <w:rsid w:val="6E7140C4"/>
    <w:rsid w:val="6E825D48"/>
    <w:rsid w:val="6E987ACE"/>
    <w:rsid w:val="6EA4538A"/>
    <w:rsid w:val="6EB57897"/>
    <w:rsid w:val="6EBB19B7"/>
    <w:rsid w:val="6EBB6B9B"/>
    <w:rsid w:val="6EC4291D"/>
    <w:rsid w:val="6EC8268D"/>
    <w:rsid w:val="6ED95EAF"/>
    <w:rsid w:val="6EE35C9A"/>
    <w:rsid w:val="6EE72098"/>
    <w:rsid w:val="6EEF6874"/>
    <w:rsid w:val="6EF438D2"/>
    <w:rsid w:val="6EF71730"/>
    <w:rsid w:val="6EFE7F3E"/>
    <w:rsid w:val="6F012D6D"/>
    <w:rsid w:val="6F220971"/>
    <w:rsid w:val="6F2235F0"/>
    <w:rsid w:val="6F460998"/>
    <w:rsid w:val="6F495E82"/>
    <w:rsid w:val="6F5F1FFA"/>
    <w:rsid w:val="6F61007E"/>
    <w:rsid w:val="6F6C528C"/>
    <w:rsid w:val="6F6F21DC"/>
    <w:rsid w:val="6F91341C"/>
    <w:rsid w:val="6FA42761"/>
    <w:rsid w:val="6FA64CBA"/>
    <w:rsid w:val="6FA91562"/>
    <w:rsid w:val="6FBB328C"/>
    <w:rsid w:val="6FCE77C6"/>
    <w:rsid w:val="6FD14D9D"/>
    <w:rsid w:val="6FE70E3B"/>
    <w:rsid w:val="6FF7298E"/>
    <w:rsid w:val="6FFA57B6"/>
    <w:rsid w:val="70031E34"/>
    <w:rsid w:val="7008376D"/>
    <w:rsid w:val="700F7CE3"/>
    <w:rsid w:val="701C3104"/>
    <w:rsid w:val="701F27EA"/>
    <w:rsid w:val="70220D3B"/>
    <w:rsid w:val="70247B2F"/>
    <w:rsid w:val="702C03EE"/>
    <w:rsid w:val="70334995"/>
    <w:rsid w:val="703370A3"/>
    <w:rsid w:val="70505581"/>
    <w:rsid w:val="705638FE"/>
    <w:rsid w:val="70624379"/>
    <w:rsid w:val="70671107"/>
    <w:rsid w:val="708772E6"/>
    <w:rsid w:val="70B25CC4"/>
    <w:rsid w:val="70C35FD2"/>
    <w:rsid w:val="70EA4747"/>
    <w:rsid w:val="7119143A"/>
    <w:rsid w:val="7123790B"/>
    <w:rsid w:val="712C7200"/>
    <w:rsid w:val="712E1062"/>
    <w:rsid w:val="71497865"/>
    <w:rsid w:val="714D6F8A"/>
    <w:rsid w:val="71556637"/>
    <w:rsid w:val="718354F2"/>
    <w:rsid w:val="718B37C3"/>
    <w:rsid w:val="71AF6579"/>
    <w:rsid w:val="71BC766D"/>
    <w:rsid w:val="71C43F13"/>
    <w:rsid w:val="71C501F4"/>
    <w:rsid w:val="71D43663"/>
    <w:rsid w:val="71E910B7"/>
    <w:rsid w:val="71F32B43"/>
    <w:rsid w:val="71F64446"/>
    <w:rsid w:val="721D7B53"/>
    <w:rsid w:val="7253289A"/>
    <w:rsid w:val="72540B44"/>
    <w:rsid w:val="7266591D"/>
    <w:rsid w:val="726753FD"/>
    <w:rsid w:val="72687BDE"/>
    <w:rsid w:val="726D3D6C"/>
    <w:rsid w:val="72850C0E"/>
    <w:rsid w:val="7291655B"/>
    <w:rsid w:val="72967101"/>
    <w:rsid w:val="729C41DD"/>
    <w:rsid w:val="72A40354"/>
    <w:rsid w:val="72AD270D"/>
    <w:rsid w:val="72AE36A4"/>
    <w:rsid w:val="72BC7596"/>
    <w:rsid w:val="72C33283"/>
    <w:rsid w:val="72D548E3"/>
    <w:rsid w:val="72DB0409"/>
    <w:rsid w:val="72F0064C"/>
    <w:rsid w:val="730D4BB4"/>
    <w:rsid w:val="730E6B48"/>
    <w:rsid w:val="73231CAF"/>
    <w:rsid w:val="733D2E17"/>
    <w:rsid w:val="735967F5"/>
    <w:rsid w:val="735B075E"/>
    <w:rsid w:val="735D13DD"/>
    <w:rsid w:val="7375037B"/>
    <w:rsid w:val="739B205B"/>
    <w:rsid w:val="73A25E87"/>
    <w:rsid w:val="73AE4385"/>
    <w:rsid w:val="73C56647"/>
    <w:rsid w:val="73CA4362"/>
    <w:rsid w:val="73CC12A7"/>
    <w:rsid w:val="73D56586"/>
    <w:rsid w:val="73F53F56"/>
    <w:rsid w:val="73FF7217"/>
    <w:rsid w:val="7401555C"/>
    <w:rsid w:val="740C0935"/>
    <w:rsid w:val="740C37EA"/>
    <w:rsid w:val="74196F47"/>
    <w:rsid w:val="742622E0"/>
    <w:rsid w:val="74472EDC"/>
    <w:rsid w:val="746C7735"/>
    <w:rsid w:val="74787CAE"/>
    <w:rsid w:val="74852346"/>
    <w:rsid w:val="748559AD"/>
    <w:rsid w:val="74901C28"/>
    <w:rsid w:val="7498285B"/>
    <w:rsid w:val="7499764C"/>
    <w:rsid w:val="74A76CDA"/>
    <w:rsid w:val="74B12B16"/>
    <w:rsid w:val="74B81D40"/>
    <w:rsid w:val="74BA66F2"/>
    <w:rsid w:val="74CA7331"/>
    <w:rsid w:val="74D47F60"/>
    <w:rsid w:val="74FE33F4"/>
    <w:rsid w:val="75302FCA"/>
    <w:rsid w:val="754C42E4"/>
    <w:rsid w:val="755315D3"/>
    <w:rsid w:val="75555FAE"/>
    <w:rsid w:val="75593270"/>
    <w:rsid w:val="75811139"/>
    <w:rsid w:val="758933AE"/>
    <w:rsid w:val="758F2D01"/>
    <w:rsid w:val="758F32C6"/>
    <w:rsid w:val="75965E0F"/>
    <w:rsid w:val="75A90E95"/>
    <w:rsid w:val="75A9616D"/>
    <w:rsid w:val="75AD0B95"/>
    <w:rsid w:val="75B01D10"/>
    <w:rsid w:val="75B82F3E"/>
    <w:rsid w:val="75BD268F"/>
    <w:rsid w:val="75C02BEB"/>
    <w:rsid w:val="75C7231D"/>
    <w:rsid w:val="75D367A1"/>
    <w:rsid w:val="75D646B7"/>
    <w:rsid w:val="75DA7717"/>
    <w:rsid w:val="75E45483"/>
    <w:rsid w:val="75EA5D2B"/>
    <w:rsid w:val="75EC12D8"/>
    <w:rsid w:val="75EC7C35"/>
    <w:rsid w:val="7615260F"/>
    <w:rsid w:val="76184D58"/>
    <w:rsid w:val="761E6BB0"/>
    <w:rsid w:val="76362814"/>
    <w:rsid w:val="763C3C9B"/>
    <w:rsid w:val="763E670F"/>
    <w:rsid w:val="765D35CC"/>
    <w:rsid w:val="76866B1F"/>
    <w:rsid w:val="76CF26B6"/>
    <w:rsid w:val="76D54CF9"/>
    <w:rsid w:val="7709162F"/>
    <w:rsid w:val="772162D9"/>
    <w:rsid w:val="77217DE8"/>
    <w:rsid w:val="77327F01"/>
    <w:rsid w:val="773F7C6E"/>
    <w:rsid w:val="774C0F0C"/>
    <w:rsid w:val="774F5D27"/>
    <w:rsid w:val="77507340"/>
    <w:rsid w:val="775F7388"/>
    <w:rsid w:val="77675FAE"/>
    <w:rsid w:val="77752CBD"/>
    <w:rsid w:val="777E3AA4"/>
    <w:rsid w:val="778837AE"/>
    <w:rsid w:val="77A95A64"/>
    <w:rsid w:val="77B7605F"/>
    <w:rsid w:val="77CA1AF5"/>
    <w:rsid w:val="77D76D18"/>
    <w:rsid w:val="780C62AB"/>
    <w:rsid w:val="78150F6C"/>
    <w:rsid w:val="78346622"/>
    <w:rsid w:val="784175B4"/>
    <w:rsid w:val="78430FE4"/>
    <w:rsid w:val="78446508"/>
    <w:rsid w:val="788C787A"/>
    <w:rsid w:val="7890442E"/>
    <w:rsid w:val="78981330"/>
    <w:rsid w:val="789F56D7"/>
    <w:rsid w:val="78A47F56"/>
    <w:rsid w:val="78A67449"/>
    <w:rsid w:val="78BA3A7A"/>
    <w:rsid w:val="78C034E9"/>
    <w:rsid w:val="78CE19F4"/>
    <w:rsid w:val="78D724B0"/>
    <w:rsid w:val="78D75BBA"/>
    <w:rsid w:val="78DA533A"/>
    <w:rsid w:val="78DE4B3A"/>
    <w:rsid w:val="78E1453F"/>
    <w:rsid w:val="78EB105F"/>
    <w:rsid w:val="78F46CDC"/>
    <w:rsid w:val="79104C4C"/>
    <w:rsid w:val="794C2AC6"/>
    <w:rsid w:val="795D07C7"/>
    <w:rsid w:val="796C070E"/>
    <w:rsid w:val="798209BA"/>
    <w:rsid w:val="798F78D3"/>
    <w:rsid w:val="79A937F3"/>
    <w:rsid w:val="79BD6B24"/>
    <w:rsid w:val="79C32C6D"/>
    <w:rsid w:val="79D64928"/>
    <w:rsid w:val="79DC1BC0"/>
    <w:rsid w:val="79DE0F74"/>
    <w:rsid w:val="79EB55DF"/>
    <w:rsid w:val="79EF5224"/>
    <w:rsid w:val="79F12BA1"/>
    <w:rsid w:val="7A1951F1"/>
    <w:rsid w:val="7A3032ED"/>
    <w:rsid w:val="7A477322"/>
    <w:rsid w:val="7A5F706E"/>
    <w:rsid w:val="7A686833"/>
    <w:rsid w:val="7A8621AB"/>
    <w:rsid w:val="7A9B3790"/>
    <w:rsid w:val="7A9C1CAB"/>
    <w:rsid w:val="7AD52FB8"/>
    <w:rsid w:val="7AEB2379"/>
    <w:rsid w:val="7AF37C1D"/>
    <w:rsid w:val="7AFE27A9"/>
    <w:rsid w:val="7B0E1D78"/>
    <w:rsid w:val="7B100067"/>
    <w:rsid w:val="7B177A4A"/>
    <w:rsid w:val="7B293247"/>
    <w:rsid w:val="7B31619D"/>
    <w:rsid w:val="7B3B151B"/>
    <w:rsid w:val="7B3F0826"/>
    <w:rsid w:val="7B4B64B6"/>
    <w:rsid w:val="7B675B6B"/>
    <w:rsid w:val="7B6E190F"/>
    <w:rsid w:val="7B813468"/>
    <w:rsid w:val="7B8639FC"/>
    <w:rsid w:val="7B865B99"/>
    <w:rsid w:val="7BCB7695"/>
    <w:rsid w:val="7BCD4586"/>
    <w:rsid w:val="7BCF224C"/>
    <w:rsid w:val="7BF710AA"/>
    <w:rsid w:val="7C1618F7"/>
    <w:rsid w:val="7C223F1F"/>
    <w:rsid w:val="7C2E71CD"/>
    <w:rsid w:val="7C3C7A89"/>
    <w:rsid w:val="7C7A55A7"/>
    <w:rsid w:val="7C8654B4"/>
    <w:rsid w:val="7C9F3988"/>
    <w:rsid w:val="7CA27E5B"/>
    <w:rsid w:val="7CAC0F0A"/>
    <w:rsid w:val="7CB12ACF"/>
    <w:rsid w:val="7CCE549B"/>
    <w:rsid w:val="7CDA33D9"/>
    <w:rsid w:val="7CDF03C1"/>
    <w:rsid w:val="7CE875E6"/>
    <w:rsid w:val="7D0E557C"/>
    <w:rsid w:val="7D0F3DAC"/>
    <w:rsid w:val="7D1671ED"/>
    <w:rsid w:val="7D175DCC"/>
    <w:rsid w:val="7D303F46"/>
    <w:rsid w:val="7D391BD6"/>
    <w:rsid w:val="7D3A064E"/>
    <w:rsid w:val="7D4B0B1E"/>
    <w:rsid w:val="7D573B58"/>
    <w:rsid w:val="7D5E261F"/>
    <w:rsid w:val="7D6A4148"/>
    <w:rsid w:val="7D8107DE"/>
    <w:rsid w:val="7D8D1141"/>
    <w:rsid w:val="7D9D6F6B"/>
    <w:rsid w:val="7DA56904"/>
    <w:rsid w:val="7DCE2703"/>
    <w:rsid w:val="7DD11557"/>
    <w:rsid w:val="7DF75C0B"/>
    <w:rsid w:val="7E2B53F2"/>
    <w:rsid w:val="7E3A67D7"/>
    <w:rsid w:val="7E4B74A4"/>
    <w:rsid w:val="7E640B21"/>
    <w:rsid w:val="7E647569"/>
    <w:rsid w:val="7E7A1F7C"/>
    <w:rsid w:val="7E7C24EA"/>
    <w:rsid w:val="7E8C3BB0"/>
    <w:rsid w:val="7E943882"/>
    <w:rsid w:val="7ED07E86"/>
    <w:rsid w:val="7ED46686"/>
    <w:rsid w:val="7EFF1362"/>
    <w:rsid w:val="7F071544"/>
    <w:rsid w:val="7F1C52D3"/>
    <w:rsid w:val="7F5B5272"/>
    <w:rsid w:val="7F5E6A03"/>
    <w:rsid w:val="7F6B58B1"/>
    <w:rsid w:val="7F822FEB"/>
    <w:rsid w:val="7F894975"/>
    <w:rsid w:val="7F9C045E"/>
    <w:rsid w:val="7FD24EC5"/>
    <w:rsid w:val="7FE40B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qFormat/>
    <w:uiPriority w:val="0"/>
    <w:pPr>
      <w:keepNext/>
      <w:keepLines/>
      <w:spacing w:before="240" w:after="64" w:line="320" w:lineRule="auto"/>
      <w:outlineLvl w:val="6"/>
    </w:pPr>
    <w:rPr>
      <w:b/>
      <w:bCs/>
      <w:sz w:val="24"/>
    </w:rPr>
  </w:style>
  <w:style w:type="paragraph" w:styleId="10">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qFormat/>
    <w:uiPriority w:val="0"/>
    <w:pPr>
      <w:tabs>
        <w:tab w:val="center" w:pos="4153"/>
        <w:tab w:val="right" w:pos="8306"/>
      </w:tabs>
      <w:snapToGrid w:val="0"/>
      <w:ind w:right="210" w:rightChars="100"/>
      <w:jc w:val="right"/>
    </w:pPr>
    <w:rPr>
      <w:sz w:val="18"/>
      <w:szCs w:val="18"/>
    </w:rPr>
  </w:style>
  <w:style w:type="paragraph" w:styleId="12">
    <w:name w:val="toc 7"/>
    <w:basedOn w:val="13"/>
    <w:next w:val="1"/>
    <w:semiHidden/>
    <w:qFormat/>
    <w:uiPriority w:val="0"/>
  </w:style>
  <w:style w:type="paragraph" w:styleId="13">
    <w:name w:val="toc 6"/>
    <w:basedOn w:val="14"/>
    <w:next w:val="1"/>
    <w:semiHidden/>
    <w:qFormat/>
    <w:uiPriority w:val="0"/>
  </w:style>
  <w:style w:type="paragraph" w:styleId="14">
    <w:name w:val="toc 5"/>
    <w:basedOn w:val="15"/>
    <w:next w:val="1"/>
    <w:semiHidden/>
    <w:qFormat/>
    <w:uiPriority w:val="0"/>
  </w:style>
  <w:style w:type="paragraph" w:styleId="15">
    <w:name w:val="toc 4"/>
    <w:basedOn w:val="16"/>
    <w:next w:val="1"/>
    <w:semiHidden/>
    <w:qFormat/>
    <w:uiPriority w:val="0"/>
  </w:style>
  <w:style w:type="paragraph" w:styleId="16">
    <w:name w:val="toc 3"/>
    <w:basedOn w:val="17"/>
    <w:next w:val="1"/>
    <w:semiHidden/>
    <w:qFormat/>
    <w:uiPriority w:val="0"/>
  </w:style>
  <w:style w:type="paragraph" w:styleId="17">
    <w:name w:val="toc 2"/>
    <w:basedOn w:val="18"/>
    <w:next w:val="1"/>
    <w:semiHidden/>
    <w:qFormat/>
    <w:uiPriority w:val="0"/>
  </w:style>
  <w:style w:type="paragraph" w:styleId="18">
    <w:name w:val="toc 1"/>
    <w:next w:val="1"/>
    <w:semiHidden/>
    <w:qFormat/>
    <w:uiPriority w:val="0"/>
    <w:pPr>
      <w:jc w:val="both"/>
    </w:pPr>
    <w:rPr>
      <w:rFonts w:ascii="宋体" w:hAnsi="Times New Roman" w:eastAsia="宋体" w:cs="Times New Roman"/>
      <w:sz w:val="21"/>
      <w:lang w:val="en-US" w:eastAsia="zh-CN" w:bidi="ar-SA"/>
    </w:rPr>
  </w:style>
  <w:style w:type="paragraph" w:styleId="19">
    <w:name w:val="caption"/>
    <w:basedOn w:val="1"/>
    <w:next w:val="1"/>
    <w:qFormat/>
    <w:uiPriority w:val="0"/>
    <w:pPr>
      <w:widowControl/>
      <w:overflowPunct w:val="0"/>
      <w:autoSpaceDE w:val="0"/>
      <w:autoSpaceDN w:val="0"/>
      <w:adjustRightInd w:val="0"/>
      <w:jc w:val="left"/>
      <w:textAlignment w:val="baseline"/>
    </w:pPr>
    <w:rPr>
      <w:b/>
      <w:bCs/>
      <w:kern w:val="0"/>
      <w:sz w:val="20"/>
      <w:szCs w:val="20"/>
      <w:lang w:eastAsia="en-US"/>
    </w:rPr>
  </w:style>
  <w:style w:type="paragraph" w:styleId="20">
    <w:name w:val="Document Map"/>
    <w:basedOn w:val="1"/>
    <w:semiHidden/>
    <w:qFormat/>
    <w:uiPriority w:val="0"/>
    <w:pPr>
      <w:shd w:val="clear" w:color="auto" w:fill="000080"/>
    </w:pPr>
  </w:style>
  <w:style w:type="paragraph" w:styleId="21">
    <w:name w:val="annotation text"/>
    <w:basedOn w:val="1"/>
    <w:semiHidden/>
    <w:unhideWhenUsed/>
    <w:qFormat/>
    <w:uiPriority w:val="0"/>
    <w:pPr>
      <w:jc w:val="left"/>
    </w:pPr>
  </w:style>
  <w:style w:type="paragraph" w:styleId="22">
    <w:name w:val="Body Text"/>
    <w:basedOn w:val="1"/>
    <w:link w:val="119"/>
    <w:semiHidden/>
    <w:unhideWhenUsed/>
    <w:qFormat/>
    <w:uiPriority w:val="0"/>
    <w:pPr>
      <w:spacing w:after="120"/>
    </w:pPr>
  </w:style>
  <w:style w:type="paragraph" w:styleId="23">
    <w:name w:val="Body Text Indent"/>
    <w:basedOn w:val="1"/>
    <w:qFormat/>
    <w:uiPriority w:val="0"/>
    <w:pPr>
      <w:ind w:firstLine="360"/>
    </w:pPr>
    <w:rPr>
      <w:rFonts w:cs="CG Times"/>
      <w:sz w:val="24"/>
      <w:szCs w:val="20"/>
    </w:rPr>
  </w:style>
  <w:style w:type="paragraph" w:styleId="24">
    <w:name w:val="HTML Address"/>
    <w:basedOn w:val="1"/>
    <w:qFormat/>
    <w:uiPriority w:val="0"/>
    <w:rPr>
      <w:i/>
      <w:iCs/>
    </w:rPr>
  </w:style>
  <w:style w:type="paragraph" w:styleId="25">
    <w:name w:val="toc 8"/>
    <w:basedOn w:val="12"/>
    <w:next w:val="1"/>
    <w:semiHidden/>
    <w:qFormat/>
    <w:uiPriority w:val="0"/>
  </w:style>
  <w:style w:type="paragraph" w:styleId="26">
    <w:name w:val="Date"/>
    <w:basedOn w:val="1"/>
    <w:next w:val="1"/>
    <w:qFormat/>
    <w:uiPriority w:val="0"/>
    <w:pPr>
      <w:ind w:left="100" w:leftChars="2500"/>
    </w:pPr>
  </w:style>
  <w:style w:type="paragraph" w:styleId="27">
    <w:name w:val="Body Text Indent 2"/>
    <w:basedOn w:val="1"/>
    <w:qFormat/>
    <w:uiPriority w:val="0"/>
    <w:pPr>
      <w:spacing w:after="120" w:line="480" w:lineRule="auto"/>
      <w:ind w:left="420" w:leftChars="200"/>
    </w:pPr>
  </w:style>
  <w:style w:type="paragraph" w:styleId="28">
    <w:name w:val="Balloon Text"/>
    <w:basedOn w:val="1"/>
    <w:semiHidden/>
    <w:qFormat/>
    <w:uiPriority w:val="0"/>
    <w:rPr>
      <w:sz w:val="16"/>
      <w:szCs w:val="16"/>
    </w:rPr>
  </w:style>
  <w:style w:type="paragraph" w:styleId="2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0">
    <w:name w:val="footnote text"/>
    <w:basedOn w:val="1"/>
    <w:semiHidden/>
    <w:qFormat/>
    <w:uiPriority w:val="0"/>
    <w:pPr>
      <w:snapToGrid w:val="0"/>
      <w:jc w:val="left"/>
    </w:pPr>
    <w:rPr>
      <w:sz w:val="18"/>
      <w:szCs w:val="18"/>
    </w:rPr>
  </w:style>
  <w:style w:type="paragraph" w:styleId="31">
    <w:name w:val="toc 9"/>
    <w:basedOn w:val="25"/>
    <w:next w:val="1"/>
    <w:semiHidden/>
    <w:qFormat/>
    <w:uiPriority w:val="0"/>
  </w:style>
  <w:style w:type="paragraph" w:styleId="32">
    <w:name w:val="HTML Preformatted"/>
    <w:basedOn w:val="1"/>
    <w:qFormat/>
    <w:uiPriority w:val="0"/>
    <w:rPr>
      <w:rFonts w:ascii="Courier New" w:hAnsi="Courier New" w:cs="Courier New"/>
      <w:sz w:val="20"/>
      <w:szCs w:val="20"/>
    </w:rPr>
  </w:style>
  <w:style w:type="paragraph" w:styleId="33">
    <w:name w:val="Title"/>
    <w:basedOn w:val="1"/>
    <w:qFormat/>
    <w:uiPriority w:val="0"/>
    <w:pPr>
      <w:spacing w:before="240" w:after="60"/>
      <w:jc w:val="center"/>
      <w:outlineLvl w:val="0"/>
    </w:pPr>
    <w:rPr>
      <w:rFonts w:ascii="Arial" w:hAnsi="Arial" w:cs="Arial"/>
      <w:b/>
      <w:bCs/>
      <w:sz w:val="32"/>
      <w:szCs w:val="32"/>
    </w:rPr>
  </w:style>
  <w:style w:type="table" w:styleId="35">
    <w:name w:val="Table Grid"/>
    <w:basedOn w:val="3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7">
    <w:name w:val="page number"/>
    <w:qFormat/>
    <w:uiPriority w:val="0"/>
    <w:rPr>
      <w:rFonts w:ascii="Times New Roman" w:hAnsi="Times New Roman" w:eastAsia="宋体"/>
      <w:sz w:val="18"/>
    </w:rPr>
  </w:style>
  <w:style w:type="character" w:styleId="38">
    <w:name w:val="HTML Definition"/>
    <w:qFormat/>
    <w:uiPriority w:val="0"/>
    <w:rPr>
      <w:i/>
      <w:iCs/>
    </w:rPr>
  </w:style>
  <w:style w:type="character" w:styleId="39">
    <w:name w:val="HTML Typewriter"/>
    <w:qFormat/>
    <w:uiPriority w:val="0"/>
    <w:rPr>
      <w:rFonts w:ascii="Courier New" w:hAnsi="Courier New"/>
      <w:sz w:val="20"/>
      <w:szCs w:val="20"/>
    </w:rPr>
  </w:style>
  <w:style w:type="character" w:styleId="40">
    <w:name w:val="HTML Acronym"/>
    <w:basedOn w:val="36"/>
    <w:qFormat/>
    <w:uiPriority w:val="0"/>
  </w:style>
  <w:style w:type="character" w:styleId="41">
    <w:name w:val="HTML Variable"/>
    <w:qFormat/>
    <w:uiPriority w:val="0"/>
    <w:rPr>
      <w:i/>
      <w:iCs/>
    </w:rPr>
  </w:style>
  <w:style w:type="character" w:styleId="42">
    <w:name w:val="Hyperlink"/>
    <w:qFormat/>
    <w:uiPriority w:val="0"/>
    <w:rPr>
      <w:rFonts w:ascii="Times New Roman" w:hAnsi="Times New Roman" w:eastAsia="宋体"/>
      <w:color w:val="auto"/>
      <w:spacing w:val="0"/>
      <w:w w:val="100"/>
      <w:position w:val="0"/>
      <w:sz w:val="21"/>
      <w:u w:val="none"/>
      <w:vertAlign w:val="baseline"/>
    </w:rPr>
  </w:style>
  <w:style w:type="character" w:styleId="43">
    <w:name w:val="HTML Code"/>
    <w:qFormat/>
    <w:uiPriority w:val="0"/>
    <w:rPr>
      <w:rFonts w:ascii="Courier New" w:hAnsi="Courier New"/>
      <w:sz w:val="20"/>
      <w:szCs w:val="20"/>
    </w:rPr>
  </w:style>
  <w:style w:type="character" w:styleId="44">
    <w:name w:val="annotation reference"/>
    <w:basedOn w:val="36"/>
    <w:semiHidden/>
    <w:unhideWhenUsed/>
    <w:qFormat/>
    <w:uiPriority w:val="0"/>
    <w:rPr>
      <w:sz w:val="21"/>
      <w:szCs w:val="21"/>
    </w:rPr>
  </w:style>
  <w:style w:type="character" w:styleId="45">
    <w:name w:val="HTML Cite"/>
    <w:qFormat/>
    <w:uiPriority w:val="0"/>
    <w:rPr>
      <w:i/>
      <w:iCs/>
    </w:rPr>
  </w:style>
  <w:style w:type="character" w:styleId="46">
    <w:name w:val="footnote reference"/>
    <w:semiHidden/>
    <w:qFormat/>
    <w:uiPriority w:val="0"/>
    <w:rPr>
      <w:vertAlign w:val="superscript"/>
    </w:rPr>
  </w:style>
  <w:style w:type="character" w:styleId="47">
    <w:name w:val="HTML Keyboard"/>
    <w:qFormat/>
    <w:uiPriority w:val="0"/>
    <w:rPr>
      <w:rFonts w:ascii="Courier New" w:hAnsi="Courier New"/>
      <w:sz w:val="20"/>
      <w:szCs w:val="20"/>
    </w:rPr>
  </w:style>
  <w:style w:type="character" w:styleId="48">
    <w:name w:val="HTML Sample"/>
    <w:qFormat/>
    <w:uiPriority w:val="0"/>
    <w:rPr>
      <w:rFonts w:ascii="Courier New" w:hAnsi="Courier New"/>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51">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5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5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54">
    <w:name w:val="标准书眉_偶数页"/>
    <w:basedOn w:val="53"/>
    <w:next w:val="1"/>
    <w:qFormat/>
    <w:uiPriority w:val="0"/>
    <w:pPr>
      <w:jc w:val="left"/>
    </w:pPr>
  </w:style>
  <w:style w:type="paragraph" w:customStyle="1" w:styleId="55">
    <w:name w:val="标准书眉一"/>
    <w:qFormat/>
    <w:uiPriority w:val="0"/>
    <w:pPr>
      <w:jc w:val="both"/>
    </w:pPr>
    <w:rPr>
      <w:rFonts w:ascii="Times New Roman" w:hAnsi="Times New Roman" w:eastAsia="宋体" w:cs="Times New Roman"/>
      <w:lang w:val="en-US" w:eastAsia="zh-CN" w:bidi="ar-SA"/>
    </w:rPr>
  </w:style>
  <w:style w:type="paragraph" w:customStyle="1" w:styleId="56">
    <w:name w:val="前言、引言标题"/>
    <w:next w:val="1"/>
    <w:qFormat/>
    <w:uiPriority w:val="0"/>
    <w:pPr>
      <w:numPr>
        <w:ilvl w:val="0"/>
        <w:numId w:val="1"/>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57">
    <w:name w:val="参考文献、索引标题"/>
    <w:basedOn w:val="56"/>
    <w:next w:val="1"/>
    <w:qFormat/>
    <w:uiPriority w:val="0"/>
    <w:pPr>
      <w:numPr>
        <w:numId w:val="0"/>
      </w:numPr>
      <w:spacing w:after="200"/>
    </w:pPr>
    <w:rPr>
      <w:sz w:val="21"/>
    </w:rPr>
  </w:style>
  <w:style w:type="paragraph" w:customStyle="1" w:styleId="58">
    <w:name w:val="段"/>
    <w:link w:val="117"/>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9">
    <w:name w:val="章标题"/>
    <w:next w:val="58"/>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60">
    <w:name w:val="一级条标题"/>
    <w:basedOn w:val="59"/>
    <w:next w:val="58"/>
    <w:qFormat/>
    <w:uiPriority w:val="0"/>
    <w:pPr>
      <w:numPr>
        <w:ilvl w:val="0"/>
        <w:numId w:val="0"/>
      </w:numPr>
      <w:spacing w:beforeLines="0" w:afterLines="0"/>
      <w:outlineLvl w:val="2"/>
    </w:pPr>
  </w:style>
  <w:style w:type="paragraph" w:customStyle="1" w:styleId="61">
    <w:name w:val="二级条标题"/>
    <w:basedOn w:val="60"/>
    <w:next w:val="58"/>
    <w:qFormat/>
    <w:uiPriority w:val="0"/>
    <w:pPr>
      <w:numPr>
        <w:ilvl w:val="3"/>
        <w:numId w:val="1"/>
      </w:numPr>
      <w:outlineLvl w:val="3"/>
    </w:pPr>
  </w:style>
  <w:style w:type="paragraph" w:customStyle="1" w:styleId="62">
    <w:name w:val="二级无标题条"/>
    <w:basedOn w:val="1"/>
    <w:qFormat/>
    <w:uiPriority w:val="0"/>
    <w:pPr>
      <w:numPr>
        <w:ilvl w:val="3"/>
        <w:numId w:val="2"/>
      </w:numPr>
    </w:pPr>
  </w:style>
  <w:style w:type="character" w:customStyle="1" w:styleId="63">
    <w:name w:val="发布"/>
    <w:qFormat/>
    <w:uiPriority w:val="0"/>
    <w:rPr>
      <w:rFonts w:ascii="黑体" w:eastAsia="黑体"/>
      <w:spacing w:val="22"/>
      <w:w w:val="100"/>
      <w:position w:val="3"/>
      <w:sz w:val="28"/>
    </w:rPr>
  </w:style>
  <w:style w:type="paragraph" w:customStyle="1" w:styleId="64">
    <w:name w:val="发布部门"/>
    <w:next w:val="58"/>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65">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66">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67">
    <w:name w:val="封面标准号2"/>
    <w:basedOn w:val="66"/>
    <w:qFormat/>
    <w:uiPriority w:val="0"/>
    <w:pPr>
      <w:framePr w:w="9138" w:h="1244" w:hRule="exact" w:wrap="auto" w:vAnchor="page" w:hAnchor="margin" w:y="2908"/>
      <w:adjustRightInd w:val="0"/>
      <w:spacing w:before="357" w:line="280" w:lineRule="exact"/>
    </w:pPr>
  </w:style>
  <w:style w:type="paragraph" w:customStyle="1" w:styleId="68">
    <w:name w:val="封面标准代替信息"/>
    <w:basedOn w:val="67"/>
    <w:qFormat/>
    <w:uiPriority w:val="0"/>
    <w:pPr>
      <w:spacing w:before="57"/>
    </w:pPr>
    <w:rPr>
      <w:rFonts w:ascii="宋体"/>
      <w:sz w:val="21"/>
    </w:rPr>
  </w:style>
  <w:style w:type="paragraph" w:customStyle="1" w:styleId="69">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71">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72">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73">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74">
    <w:name w:val="封面正文"/>
    <w:qFormat/>
    <w:uiPriority w:val="0"/>
    <w:pPr>
      <w:jc w:val="both"/>
    </w:pPr>
    <w:rPr>
      <w:rFonts w:ascii="Times New Roman" w:hAnsi="Times New Roman" w:eastAsia="宋体" w:cs="Times New Roman"/>
      <w:lang w:val="en-US" w:eastAsia="zh-CN" w:bidi="ar-SA"/>
    </w:rPr>
  </w:style>
  <w:style w:type="paragraph" w:customStyle="1" w:styleId="75">
    <w:name w:val="附录标识"/>
    <w:basedOn w:val="56"/>
    <w:qFormat/>
    <w:uiPriority w:val="0"/>
    <w:pPr>
      <w:numPr>
        <w:ilvl w:val="0"/>
        <w:numId w:val="3"/>
      </w:numPr>
      <w:tabs>
        <w:tab w:val="left" w:pos="6405"/>
      </w:tabs>
      <w:spacing w:after="200"/>
    </w:pPr>
    <w:rPr>
      <w:sz w:val="21"/>
    </w:rPr>
  </w:style>
  <w:style w:type="paragraph" w:customStyle="1" w:styleId="76">
    <w:name w:val="附录表标题"/>
    <w:next w:val="58"/>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77">
    <w:name w:val="附录章标题"/>
    <w:next w:val="58"/>
    <w:qFormat/>
    <w:uiPriority w:val="0"/>
    <w:pPr>
      <w:numPr>
        <w:ilvl w:val="1"/>
        <w:numId w:val="3"/>
      </w:num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78">
    <w:name w:val="附录一级条标题"/>
    <w:basedOn w:val="77"/>
    <w:next w:val="58"/>
    <w:qFormat/>
    <w:uiPriority w:val="0"/>
    <w:pPr>
      <w:numPr>
        <w:ilvl w:val="2"/>
      </w:numPr>
      <w:autoSpaceDN w:val="0"/>
      <w:spacing w:beforeLines="0" w:afterLines="0"/>
      <w:outlineLvl w:val="2"/>
    </w:pPr>
  </w:style>
  <w:style w:type="paragraph" w:customStyle="1" w:styleId="79">
    <w:name w:val="附录二级条标题"/>
    <w:basedOn w:val="78"/>
    <w:next w:val="58"/>
    <w:qFormat/>
    <w:uiPriority w:val="0"/>
    <w:pPr>
      <w:numPr>
        <w:ilvl w:val="3"/>
      </w:numPr>
      <w:outlineLvl w:val="3"/>
    </w:pPr>
  </w:style>
  <w:style w:type="paragraph" w:customStyle="1" w:styleId="80">
    <w:name w:val="附录三级条标题"/>
    <w:basedOn w:val="79"/>
    <w:next w:val="58"/>
    <w:qFormat/>
    <w:uiPriority w:val="0"/>
    <w:pPr>
      <w:numPr>
        <w:ilvl w:val="4"/>
      </w:numPr>
      <w:outlineLvl w:val="4"/>
    </w:pPr>
  </w:style>
  <w:style w:type="paragraph" w:customStyle="1" w:styleId="81">
    <w:name w:val="附录四级条标题"/>
    <w:basedOn w:val="80"/>
    <w:next w:val="58"/>
    <w:qFormat/>
    <w:uiPriority w:val="0"/>
    <w:pPr>
      <w:numPr>
        <w:ilvl w:val="5"/>
      </w:numPr>
      <w:outlineLvl w:val="5"/>
    </w:pPr>
  </w:style>
  <w:style w:type="paragraph" w:customStyle="1" w:styleId="82">
    <w:name w:val="附录图标题"/>
    <w:next w:val="58"/>
    <w:qFormat/>
    <w:uiPriority w:val="0"/>
    <w:pPr>
      <w:jc w:val="center"/>
    </w:pPr>
    <w:rPr>
      <w:rFonts w:ascii="黑体" w:hAnsi="Times New Roman" w:eastAsia="黑体" w:cs="Times New Roman"/>
      <w:sz w:val="21"/>
      <w:lang w:val="en-US" w:eastAsia="zh-CN" w:bidi="ar-SA"/>
    </w:rPr>
  </w:style>
  <w:style w:type="paragraph" w:customStyle="1" w:styleId="83">
    <w:name w:val="附录五级条标题"/>
    <w:basedOn w:val="81"/>
    <w:next w:val="58"/>
    <w:qFormat/>
    <w:uiPriority w:val="0"/>
    <w:pPr>
      <w:numPr>
        <w:ilvl w:val="6"/>
      </w:numPr>
      <w:outlineLvl w:val="6"/>
    </w:pPr>
  </w:style>
  <w:style w:type="character" w:customStyle="1" w:styleId="84">
    <w:name w:val="个人答复风格"/>
    <w:qFormat/>
    <w:uiPriority w:val="0"/>
    <w:rPr>
      <w:rFonts w:ascii="Arial" w:hAnsi="Arial" w:eastAsia="宋体" w:cs="Arial"/>
      <w:color w:val="auto"/>
      <w:sz w:val="20"/>
    </w:rPr>
  </w:style>
  <w:style w:type="character" w:customStyle="1" w:styleId="85">
    <w:name w:val="个人撰写风格"/>
    <w:qFormat/>
    <w:uiPriority w:val="0"/>
    <w:rPr>
      <w:rFonts w:ascii="Arial" w:hAnsi="Arial" w:eastAsia="宋体" w:cs="Arial"/>
      <w:color w:val="auto"/>
      <w:sz w:val="20"/>
    </w:rPr>
  </w:style>
  <w:style w:type="paragraph" w:customStyle="1" w:styleId="86">
    <w:name w:val="列项——"/>
    <w:qFormat/>
    <w:uiPriority w:val="0"/>
    <w:pPr>
      <w:widowControl w:val="0"/>
      <w:numPr>
        <w:ilvl w:val="0"/>
        <w:numId w:val="4"/>
      </w:numPr>
      <w:tabs>
        <w:tab w:val="left" w:pos="854"/>
        <w:tab w:val="clear" w:pos="1140"/>
      </w:tabs>
      <w:ind w:left="200" w:leftChars="200" w:hanging="200" w:hangingChars="200"/>
      <w:jc w:val="both"/>
    </w:pPr>
    <w:rPr>
      <w:rFonts w:ascii="宋体" w:hAnsi="Times New Roman" w:eastAsia="宋体" w:cs="Times New Roman"/>
      <w:sz w:val="21"/>
      <w:lang w:val="en-US" w:eastAsia="zh-CN" w:bidi="ar-SA"/>
    </w:rPr>
  </w:style>
  <w:style w:type="paragraph" w:customStyle="1" w:styleId="87">
    <w:name w:val="列项·"/>
    <w:qFormat/>
    <w:uiPriority w:val="0"/>
    <w:pPr>
      <w:numPr>
        <w:ilvl w:val="0"/>
        <w:numId w:val="5"/>
      </w:numPr>
      <w:tabs>
        <w:tab w:val="left" w:pos="840"/>
        <w:tab w:val="clear" w:pos="1140"/>
      </w:tabs>
      <w:ind w:left="840" w:leftChars="200" w:hanging="420" w:hangingChars="200"/>
      <w:jc w:val="both"/>
    </w:pPr>
    <w:rPr>
      <w:rFonts w:ascii="宋体" w:hAnsi="Times New Roman" w:eastAsia="宋体" w:cs="Times New Roman"/>
      <w:sz w:val="21"/>
      <w:lang w:val="en-US" w:eastAsia="zh-CN" w:bidi="ar-SA"/>
    </w:rPr>
  </w:style>
  <w:style w:type="paragraph" w:customStyle="1" w:styleId="88">
    <w:name w:val="目次、标准名称标题"/>
    <w:basedOn w:val="56"/>
    <w:next w:val="58"/>
    <w:qFormat/>
    <w:uiPriority w:val="0"/>
    <w:pPr>
      <w:numPr>
        <w:numId w:val="0"/>
      </w:numPr>
      <w:spacing w:line="460" w:lineRule="exact"/>
    </w:pPr>
  </w:style>
  <w:style w:type="paragraph" w:customStyle="1" w:styleId="89">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9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91">
    <w:name w:val="其他发布部门"/>
    <w:basedOn w:val="64"/>
    <w:qFormat/>
    <w:uiPriority w:val="0"/>
    <w:pPr>
      <w:framePr w:wrap="around"/>
      <w:spacing w:line="0" w:lineRule="atLeast"/>
    </w:pPr>
    <w:rPr>
      <w:rFonts w:ascii="黑体" w:eastAsia="黑体"/>
      <w:b w:val="0"/>
    </w:rPr>
  </w:style>
  <w:style w:type="paragraph" w:customStyle="1" w:styleId="92">
    <w:name w:val="三级条标题"/>
    <w:basedOn w:val="61"/>
    <w:next w:val="58"/>
    <w:qFormat/>
    <w:uiPriority w:val="0"/>
    <w:pPr>
      <w:numPr>
        <w:ilvl w:val="4"/>
      </w:numPr>
      <w:outlineLvl w:val="4"/>
    </w:pPr>
  </w:style>
  <w:style w:type="paragraph" w:customStyle="1" w:styleId="93">
    <w:name w:val="三级无标题条"/>
    <w:basedOn w:val="1"/>
    <w:qFormat/>
    <w:uiPriority w:val="0"/>
    <w:pPr>
      <w:numPr>
        <w:ilvl w:val="4"/>
        <w:numId w:val="2"/>
      </w:numPr>
    </w:pPr>
  </w:style>
  <w:style w:type="paragraph" w:customStyle="1" w:styleId="94">
    <w:name w:val="实施日期"/>
    <w:basedOn w:val="65"/>
    <w:qFormat/>
    <w:uiPriority w:val="0"/>
    <w:pPr>
      <w:framePr w:hSpace="0" w:wrap="around" w:xAlign="right"/>
      <w:jc w:val="right"/>
    </w:pPr>
  </w:style>
  <w:style w:type="paragraph" w:customStyle="1" w:styleId="95">
    <w:name w:val="示例"/>
    <w:next w:val="58"/>
    <w:qFormat/>
    <w:uiPriority w:val="0"/>
    <w:pPr>
      <w:numPr>
        <w:ilvl w:val="0"/>
        <w:numId w:val="6"/>
      </w:numPr>
      <w:tabs>
        <w:tab w:val="left" w:pos="816"/>
        <w:tab w:val="clear" w:pos="1120"/>
      </w:tabs>
      <w:ind w:firstLine="419" w:firstLineChars="233"/>
      <w:jc w:val="both"/>
    </w:pPr>
    <w:rPr>
      <w:rFonts w:ascii="宋体" w:hAnsi="Times New Roman" w:eastAsia="宋体" w:cs="Times New Roman"/>
      <w:sz w:val="18"/>
      <w:lang w:val="en-US" w:eastAsia="zh-CN" w:bidi="ar-SA"/>
    </w:rPr>
  </w:style>
  <w:style w:type="paragraph" w:customStyle="1" w:styleId="96">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97">
    <w:name w:val="四级条标题"/>
    <w:basedOn w:val="92"/>
    <w:next w:val="58"/>
    <w:qFormat/>
    <w:uiPriority w:val="0"/>
    <w:pPr>
      <w:numPr>
        <w:ilvl w:val="5"/>
      </w:numPr>
      <w:outlineLvl w:val="5"/>
    </w:pPr>
  </w:style>
  <w:style w:type="paragraph" w:customStyle="1" w:styleId="98">
    <w:name w:val="四级无标题条"/>
    <w:basedOn w:val="1"/>
    <w:qFormat/>
    <w:uiPriority w:val="0"/>
    <w:pPr>
      <w:numPr>
        <w:ilvl w:val="5"/>
        <w:numId w:val="2"/>
      </w:numPr>
    </w:pPr>
  </w:style>
  <w:style w:type="paragraph" w:customStyle="1" w:styleId="99">
    <w:name w:val="条文脚注"/>
    <w:basedOn w:val="30"/>
    <w:qFormat/>
    <w:uiPriority w:val="0"/>
    <w:pPr>
      <w:ind w:left="780" w:leftChars="200" w:hanging="360" w:hangingChars="200"/>
      <w:jc w:val="both"/>
    </w:pPr>
    <w:rPr>
      <w:rFonts w:ascii="宋体"/>
    </w:rPr>
  </w:style>
  <w:style w:type="paragraph" w:customStyle="1" w:styleId="100">
    <w:name w:val="图表脚注"/>
    <w:next w:val="58"/>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01">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02">
    <w:name w:val="无标题条"/>
    <w:next w:val="58"/>
    <w:qFormat/>
    <w:uiPriority w:val="0"/>
    <w:pPr>
      <w:jc w:val="both"/>
    </w:pPr>
    <w:rPr>
      <w:rFonts w:ascii="Times New Roman" w:hAnsi="Times New Roman" w:eastAsia="宋体" w:cs="Times New Roman"/>
      <w:sz w:val="21"/>
      <w:lang w:val="en-US" w:eastAsia="zh-CN" w:bidi="ar-SA"/>
    </w:rPr>
  </w:style>
  <w:style w:type="paragraph" w:customStyle="1" w:styleId="103">
    <w:name w:val="五级条标题"/>
    <w:basedOn w:val="97"/>
    <w:next w:val="58"/>
    <w:qFormat/>
    <w:uiPriority w:val="0"/>
    <w:pPr>
      <w:numPr>
        <w:ilvl w:val="6"/>
      </w:numPr>
      <w:outlineLvl w:val="6"/>
    </w:pPr>
  </w:style>
  <w:style w:type="paragraph" w:customStyle="1" w:styleId="104">
    <w:name w:val="五级无标题条"/>
    <w:basedOn w:val="1"/>
    <w:qFormat/>
    <w:uiPriority w:val="0"/>
    <w:pPr>
      <w:numPr>
        <w:ilvl w:val="6"/>
        <w:numId w:val="2"/>
      </w:numPr>
    </w:pPr>
  </w:style>
  <w:style w:type="paragraph" w:customStyle="1" w:styleId="105">
    <w:name w:val="一级无标题条"/>
    <w:basedOn w:val="1"/>
    <w:qFormat/>
    <w:uiPriority w:val="0"/>
    <w:pPr>
      <w:numPr>
        <w:ilvl w:val="2"/>
        <w:numId w:val="2"/>
      </w:numPr>
    </w:pPr>
  </w:style>
  <w:style w:type="paragraph" w:customStyle="1" w:styleId="106">
    <w:name w:val="正文表标题"/>
    <w:next w:val="58"/>
    <w:qFormat/>
    <w:uiPriority w:val="0"/>
    <w:pPr>
      <w:numPr>
        <w:ilvl w:val="0"/>
        <w:numId w:val="7"/>
      </w:numPr>
      <w:jc w:val="center"/>
    </w:pPr>
    <w:rPr>
      <w:rFonts w:ascii="黑体" w:hAnsi="Times New Roman" w:eastAsia="黑体" w:cs="Times New Roman"/>
      <w:sz w:val="21"/>
      <w:lang w:val="en-US" w:eastAsia="zh-CN" w:bidi="ar-SA"/>
    </w:rPr>
  </w:style>
  <w:style w:type="paragraph" w:customStyle="1" w:styleId="107">
    <w:name w:val="正文图标题"/>
    <w:next w:val="58"/>
    <w:qFormat/>
    <w:uiPriority w:val="0"/>
    <w:pPr>
      <w:numPr>
        <w:ilvl w:val="0"/>
        <w:numId w:val="8"/>
      </w:numPr>
      <w:jc w:val="center"/>
    </w:pPr>
    <w:rPr>
      <w:rFonts w:ascii="黑体" w:hAnsi="Times New Roman" w:eastAsia="黑体" w:cs="Times New Roman"/>
      <w:sz w:val="21"/>
      <w:lang w:val="en-US" w:eastAsia="zh-CN" w:bidi="ar-SA"/>
    </w:rPr>
  </w:style>
  <w:style w:type="paragraph" w:customStyle="1" w:styleId="108">
    <w:name w:val="注："/>
    <w:next w:val="58"/>
    <w:qFormat/>
    <w:uiPriority w:val="0"/>
    <w:pPr>
      <w:widowControl w:val="0"/>
      <w:numPr>
        <w:ilvl w:val="0"/>
        <w:numId w:val="9"/>
      </w:numPr>
      <w:tabs>
        <w:tab w:val="clear" w:pos="1140"/>
      </w:tabs>
      <w:autoSpaceDE w:val="0"/>
      <w:autoSpaceDN w:val="0"/>
      <w:jc w:val="both"/>
    </w:pPr>
    <w:rPr>
      <w:rFonts w:ascii="宋体" w:hAnsi="Times New Roman" w:eastAsia="宋体" w:cs="Times New Roman"/>
      <w:sz w:val="18"/>
      <w:lang w:val="en-US" w:eastAsia="zh-CN" w:bidi="ar-SA"/>
    </w:rPr>
  </w:style>
  <w:style w:type="paragraph" w:customStyle="1" w:styleId="109">
    <w:name w:val="注×："/>
    <w:qFormat/>
    <w:uiPriority w:val="0"/>
    <w:pPr>
      <w:widowControl w:val="0"/>
      <w:numPr>
        <w:ilvl w:val="0"/>
        <w:numId w:val="10"/>
      </w:numPr>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110">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character" w:customStyle="1" w:styleId="111">
    <w:name w:val="已访问的超链接1"/>
    <w:qFormat/>
    <w:uiPriority w:val="0"/>
    <w:rPr>
      <w:color w:val="800080"/>
      <w:u w:val="single"/>
    </w:rPr>
  </w:style>
  <w:style w:type="paragraph" w:customStyle="1" w:styleId="112">
    <w:name w:val="B1"/>
    <w:basedOn w:val="1"/>
    <w:qFormat/>
    <w:uiPriority w:val="0"/>
    <w:pPr>
      <w:widowControl/>
      <w:tabs>
        <w:tab w:val="left" w:pos="567"/>
        <w:tab w:val="left" w:pos="1247"/>
        <w:tab w:val="left" w:pos="1814"/>
        <w:tab w:val="left" w:pos="2268"/>
      </w:tabs>
      <w:suppressAutoHyphens/>
      <w:spacing w:before="120" w:line="260" w:lineRule="exact"/>
    </w:pPr>
    <w:rPr>
      <w:color w:val="000000"/>
      <w:spacing w:val="6"/>
      <w:kern w:val="0"/>
      <w:sz w:val="22"/>
      <w:szCs w:val="20"/>
      <w:lang w:val="en-AU" w:eastAsia="en-US"/>
    </w:rPr>
  </w:style>
  <w:style w:type="paragraph" w:customStyle="1" w:styleId="113">
    <w:name w:val="H2#"/>
    <w:basedOn w:val="112"/>
    <w:next w:val="112"/>
    <w:qFormat/>
    <w:uiPriority w:val="0"/>
    <w:pPr>
      <w:keepNext/>
      <w:tabs>
        <w:tab w:val="clear" w:pos="567"/>
      </w:tabs>
      <w:spacing w:before="280"/>
      <w:outlineLvl w:val="1"/>
    </w:pPr>
    <w:rPr>
      <w:rFonts w:ascii="Times" w:hAnsi="Times"/>
      <w:b/>
      <w:caps/>
    </w:rPr>
  </w:style>
  <w:style w:type="paragraph" w:customStyle="1" w:styleId="114">
    <w:name w:val="Style Caption + Centered"/>
    <w:basedOn w:val="19"/>
    <w:qFormat/>
    <w:uiPriority w:val="0"/>
    <w:pPr>
      <w:overflowPunct/>
      <w:autoSpaceDE/>
      <w:autoSpaceDN/>
      <w:adjustRightInd/>
      <w:spacing w:before="120" w:after="120"/>
      <w:jc w:val="center"/>
      <w:textAlignment w:val="auto"/>
    </w:pPr>
    <w:rPr>
      <w:rFonts w:ascii="Arial" w:hAnsi="Arial"/>
      <w:b w:val="0"/>
      <w:i/>
      <w:lang w:eastAsia="en-AU"/>
    </w:rPr>
  </w:style>
  <w:style w:type="paragraph" w:customStyle="1" w:styleId="115">
    <w:name w:val="批注框文本1"/>
    <w:basedOn w:val="1"/>
    <w:semiHidden/>
    <w:qFormat/>
    <w:uiPriority w:val="0"/>
    <w:rPr>
      <w:sz w:val="18"/>
      <w:szCs w:val="18"/>
    </w:rPr>
  </w:style>
  <w:style w:type="paragraph" w:customStyle="1" w:styleId="116">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117">
    <w:name w:val="段 Char"/>
    <w:link w:val="58"/>
    <w:qFormat/>
    <w:uiPriority w:val="0"/>
    <w:rPr>
      <w:rFonts w:ascii="宋体"/>
      <w:sz w:val="21"/>
    </w:rPr>
  </w:style>
  <w:style w:type="character" w:styleId="118">
    <w:name w:val="Placeholder Text"/>
    <w:basedOn w:val="36"/>
    <w:semiHidden/>
    <w:qFormat/>
    <w:uiPriority w:val="99"/>
    <w:rPr>
      <w:color w:val="808080"/>
    </w:rPr>
  </w:style>
  <w:style w:type="character" w:customStyle="1" w:styleId="119">
    <w:name w:val="正文文本 Char"/>
    <w:basedOn w:val="36"/>
    <w:link w:val="22"/>
    <w:semiHidden/>
    <w:qFormat/>
    <w:uiPriority w:val="0"/>
    <w:rPr>
      <w:kern w:val="2"/>
      <w:sz w:val="21"/>
      <w:szCs w:val="24"/>
    </w:rPr>
  </w:style>
  <w:style w:type="paragraph" w:customStyle="1" w:styleId="120">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TDS\Td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AB7B39-E34C-4682-B7BE-51CBA99D85D6}">
  <ds:schemaRefs/>
</ds:datastoreItem>
</file>

<file path=docProps/app.xml><?xml version="1.0" encoding="utf-8"?>
<Properties xmlns="http://schemas.openxmlformats.org/officeDocument/2006/extended-properties" xmlns:vt="http://schemas.openxmlformats.org/officeDocument/2006/docPropsVTypes">
  <Template>Tds</Template>
  <Company>中国标准研究中心</Company>
  <Pages>16</Pages>
  <Words>1366</Words>
  <Characters>7788</Characters>
  <Lines>64</Lines>
  <Paragraphs>18</Paragraphs>
  <TotalTime>20</TotalTime>
  <ScaleCrop>false</ScaleCrop>
  <LinksUpToDate>false</LinksUpToDate>
  <CharactersWithSpaces>9136</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2018-04-02T05:16:00Z</dcterms:created>
  <dc:creator>chenhaihong</dc:creator>
  <cp:lastModifiedBy>谷谷</cp:lastModifiedBy>
  <cp:lastPrinted>2021-06-02T06:36:00Z</cp:lastPrinted>
  <dcterms:modified xsi:type="dcterms:W3CDTF">2021-06-04T03:15:59Z</dcterms:modified>
  <dc:title>普通照明用自镇流荧光灯节能评价值及能效限定值</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566781086_embed</vt:lpwstr>
  </property>
  <property fmtid="{D5CDD505-2E9C-101B-9397-08002B2CF9AE}" pid="3" name="KSOProductBuildVer">
    <vt:lpwstr>2052-11.1.0.10577</vt:lpwstr>
  </property>
  <property fmtid="{D5CDD505-2E9C-101B-9397-08002B2CF9AE}" pid="4" name="ICV">
    <vt:lpwstr>C07FCAED836746CB846DC6798CD294FA</vt:lpwstr>
  </property>
</Properties>
</file>