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《神经管理学电生理实验数据采集与分析规范》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等两项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73"/>
        <w:gridCol w:w="2165"/>
        <w:gridCol w:w="1039"/>
        <w:gridCol w:w="1396"/>
        <w:gridCol w:w="1383"/>
        <w:gridCol w:w="1961"/>
        <w:gridCol w:w="2216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52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21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神经管理学电生理实验数据采集与分析规范</w:t>
            </w:r>
          </w:p>
        </w:tc>
        <w:tc>
          <w:tcPr>
            <w:tcW w:w="10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中国技术经济学会神经经济管理专业委员会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52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浙江工业大学、上海外国语大学、浙江大学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1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神经营销学脑电实验数据采集与分析规范</w:t>
            </w:r>
          </w:p>
        </w:tc>
        <w:tc>
          <w:tcPr>
            <w:tcW w:w="10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中国技术经济学会神经经济管理专业委员会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52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浙江工业大学、上海外国语大学、浙江大学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AD365B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19619EE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2021-06-17T08:00:34Z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A9F52AEED56E42F2B9050E6641775A4F</vt:lpwstr>
  </property>
</Properties>
</file>