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人造石》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等三项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218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43"/>
        <w:gridCol w:w="2582"/>
        <w:gridCol w:w="858"/>
        <w:gridCol w:w="1396"/>
        <w:gridCol w:w="1383"/>
        <w:gridCol w:w="1961"/>
        <w:gridCol w:w="221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58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人造石</w:t>
            </w:r>
          </w:p>
        </w:tc>
        <w:tc>
          <w:tcPr>
            <w:tcW w:w="8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佛山市质量和标准化研究院、中国标准化研究院等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58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冷热水用聚丙烯（PP-R）管材</w:t>
            </w:r>
          </w:p>
        </w:tc>
        <w:tc>
          <w:tcPr>
            <w:tcW w:w="8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佛山市质量和标准化研究院、中国标准化研究院等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58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建筑排水用硬聚氯乙烯（PVC-U）管材</w:t>
            </w:r>
          </w:p>
        </w:tc>
        <w:tc>
          <w:tcPr>
            <w:tcW w:w="8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佛山市质量和标准化研究院、中国标准化研究院等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2021-06-22T06:40:45Z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A9F52AEED56E42F2B9050E6641775A4F</vt:lpwstr>
  </property>
</Properties>
</file>