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《空压机控制器电磁兼容性能试验方法》团体标准计划项目汇总表</w:t>
      </w:r>
    </w:p>
    <w:tbl>
      <w:tblPr>
        <w:tblStyle w:val="10"/>
        <w:tblW w:w="14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68"/>
        <w:gridCol w:w="2092"/>
        <w:gridCol w:w="1117"/>
        <w:gridCol w:w="1408"/>
        <w:gridCol w:w="1367"/>
        <w:gridCol w:w="2191"/>
        <w:gridCol w:w="2175"/>
        <w:gridCol w:w="2341"/>
        <w:gridCol w:w="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729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0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6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19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34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6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20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空压机控制器电磁兼容性能试验方法</w:t>
            </w:r>
          </w:p>
        </w:tc>
        <w:tc>
          <w:tcPr>
            <w:tcW w:w="11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4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中国标准化研究院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416" w:type="dxa"/>
            <w:gridSpan w:val="2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中国汽车工程研究院股份有限公司和中国标准化研究院等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BB02EC0"/>
    <w:rsid w:val="1E422A57"/>
    <w:rsid w:val="1E630FA5"/>
    <w:rsid w:val="1F4C77D6"/>
    <w:rsid w:val="1F66774B"/>
    <w:rsid w:val="204B7270"/>
    <w:rsid w:val="216421A2"/>
    <w:rsid w:val="237B1F06"/>
    <w:rsid w:val="23AA51F1"/>
    <w:rsid w:val="26372B56"/>
    <w:rsid w:val="295447F0"/>
    <w:rsid w:val="2AB72EE9"/>
    <w:rsid w:val="3105307D"/>
    <w:rsid w:val="318311D2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5C57C56"/>
    <w:rsid w:val="462B2B78"/>
    <w:rsid w:val="4D944551"/>
    <w:rsid w:val="4F5B6973"/>
    <w:rsid w:val="4F6C0F99"/>
    <w:rsid w:val="516A1F6B"/>
    <w:rsid w:val="519627D8"/>
    <w:rsid w:val="51A520FD"/>
    <w:rsid w:val="53653646"/>
    <w:rsid w:val="5385131E"/>
    <w:rsid w:val="54CD4CCC"/>
    <w:rsid w:val="56241E48"/>
    <w:rsid w:val="56892E6A"/>
    <w:rsid w:val="56B03A31"/>
    <w:rsid w:val="5749468F"/>
    <w:rsid w:val="5B483964"/>
    <w:rsid w:val="5DF3014E"/>
    <w:rsid w:val="643B2E16"/>
    <w:rsid w:val="6830137E"/>
    <w:rsid w:val="696D75EB"/>
    <w:rsid w:val="69D27014"/>
    <w:rsid w:val="6AB26041"/>
    <w:rsid w:val="6AD76F6C"/>
    <w:rsid w:val="6BA045FB"/>
    <w:rsid w:val="6FC64911"/>
    <w:rsid w:val="70AC5DB4"/>
    <w:rsid w:val="712C52FD"/>
    <w:rsid w:val="71310078"/>
    <w:rsid w:val="74200B95"/>
    <w:rsid w:val="74AD546D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2021-07-01T04:41:49Z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A9F52AEED56E42F2B9050E6641775A4F</vt:lpwstr>
  </property>
</Properties>
</file>