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Lines="100" w:afterLines="200"/>
        <w:jc w:val="center"/>
        <w:rPr>
          <w:rFonts w:cs="宋体" w:asciiTheme="majorEastAsia" w:hAnsiTheme="majorEastAsia" w:eastAsiaTheme="majorEastAsia"/>
          <w:b/>
          <w:sz w:val="28"/>
          <w:szCs w:val="28"/>
        </w:rPr>
      </w:pPr>
      <w:bookmarkStart w:id="0" w:name="bookmark0"/>
    </w:p>
    <w:p>
      <w:pPr>
        <w:autoSpaceDE w:val="0"/>
        <w:autoSpaceDN w:val="0"/>
        <w:adjustRightInd w:val="0"/>
        <w:spacing w:beforeLines="100" w:afterLines="200"/>
        <w:jc w:val="center"/>
        <w:rPr>
          <w:rFonts w:cs="宋体" w:asciiTheme="majorEastAsia" w:hAnsiTheme="majorEastAsia" w:eastAsiaTheme="majorEastAsia"/>
          <w:b/>
          <w:sz w:val="28"/>
          <w:szCs w:val="28"/>
        </w:rPr>
      </w:pPr>
    </w:p>
    <w:p>
      <w:pPr>
        <w:autoSpaceDE w:val="0"/>
        <w:autoSpaceDN w:val="0"/>
        <w:adjustRightInd w:val="0"/>
        <w:spacing w:beforeLines="100" w:afterLines="200"/>
        <w:jc w:val="center"/>
        <w:rPr>
          <w:rFonts w:cs="宋体" w:asciiTheme="majorEastAsia" w:hAnsiTheme="majorEastAsia" w:eastAsiaTheme="majorEastAsia"/>
          <w:b/>
          <w:sz w:val="48"/>
          <w:szCs w:val="48"/>
        </w:rPr>
      </w:pPr>
      <w:r>
        <w:rPr>
          <w:rFonts w:hint="eastAsia" w:cs="宋体" w:asciiTheme="majorEastAsia" w:hAnsiTheme="majorEastAsia" w:eastAsiaTheme="majorEastAsia"/>
          <w:b/>
          <w:sz w:val="48"/>
          <w:szCs w:val="48"/>
        </w:rPr>
        <w:t>《</w:t>
      </w:r>
      <w:r>
        <w:rPr>
          <w:rFonts w:hint="eastAsia" w:asciiTheme="majorEastAsia" w:hAnsiTheme="majorEastAsia" w:eastAsiaTheme="majorEastAsia"/>
          <w:b/>
          <w:sz w:val="48"/>
          <w:szCs w:val="48"/>
        </w:rPr>
        <w:t>球形天然石墨</w:t>
      </w:r>
      <w:r>
        <w:rPr>
          <w:rFonts w:hint="eastAsia" w:cs="宋体" w:asciiTheme="majorEastAsia" w:hAnsiTheme="majorEastAsia" w:eastAsiaTheme="majorEastAsia"/>
          <w:b/>
          <w:sz w:val="48"/>
          <w:szCs w:val="48"/>
        </w:rPr>
        <w:t>团体标准》</w:t>
      </w:r>
    </w:p>
    <w:p>
      <w:pPr>
        <w:autoSpaceDE w:val="0"/>
        <w:autoSpaceDN w:val="0"/>
        <w:adjustRightInd w:val="0"/>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编</w:t>
      </w:r>
      <w:r>
        <w:rPr>
          <w:rFonts w:hint="eastAsia" w:cs="宋体" w:asciiTheme="majorEastAsia" w:hAnsiTheme="majorEastAsia" w:eastAsiaTheme="majorEastAsia"/>
          <w:b/>
          <w:sz w:val="52"/>
          <w:szCs w:val="52"/>
          <w:lang w:val="en-US"/>
        </w:rPr>
        <w:t xml:space="preserve"> </w:t>
      </w:r>
      <w:r>
        <w:rPr>
          <w:rFonts w:hint="eastAsia" w:cs="宋体" w:asciiTheme="majorEastAsia" w:hAnsiTheme="majorEastAsia" w:eastAsiaTheme="majorEastAsia"/>
          <w:b/>
          <w:sz w:val="52"/>
          <w:szCs w:val="52"/>
        </w:rPr>
        <w:t>制</w:t>
      </w:r>
      <w:r>
        <w:rPr>
          <w:rFonts w:hint="eastAsia" w:cs="宋体" w:asciiTheme="majorEastAsia" w:hAnsiTheme="majorEastAsia" w:eastAsiaTheme="majorEastAsia"/>
          <w:b/>
          <w:sz w:val="52"/>
          <w:szCs w:val="52"/>
          <w:lang w:val="en-US"/>
        </w:rPr>
        <w:t xml:space="preserve"> </w:t>
      </w:r>
      <w:r>
        <w:rPr>
          <w:rFonts w:hint="eastAsia" w:cs="宋体" w:asciiTheme="majorEastAsia" w:hAnsiTheme="majorEastAsia" w:eastAsiaTheme="majorEastAsia"/>
          <w:b/>
          <w:sz w:val="52"/>
          <w:szCs w:val="52"/>
        </w:rPr>
        <w:t>说</w:t>
      </w:r>
      <w:r>
        <w:rPr>
          <w:rFonts w:hint="eastAsia" w:cs="宋体" w:asciiTheme="majorEastAsia" w:hAnsiTheme="majorEastAsia" w:eastAsiaTheme="majorEastAsia"/>
          <w:b/>
          <w:sz w:val="52"/>
          <w:szCs w:val="52"/>
          <w:lang w:val="en-US"/>
        </w:rPr>
        <w:t xml:space="preserve"> </w:t>
      </w:r>
      <w:r>
        <w:rPr>
          <w:rFonts w:hint="eastAsia" w:cs="宋体" w:asciiTheme="majorEastAsia" w:hAnsiTheme="majorEastAsia" w:eastAsiaTheme="majorEastAsia"/>
          <w:b/>
          <w:sz w:val="52"/>
          <w:szCs w:val="52"/>
        </w:rPr>
        <w:t>明</w:t>
      </w:r>
    </w:p>
    <w:p>
      <w:pPr>
        <w:autoSpaceDE w:val="0"/>
        <w:autoSpaceDN w:val="0"/>
        <w:adjustRightInd w:val="0"/>
        <w:spacing w:beforeLines="100" w:afterLines="200"/>
        <w:jc w:val="center"/>
        <w:rPr>
          <w:rFonts w:cs="宋体" w:asciiTheme="majorEastAsia" w:hAnsiTheme="majorEastAsia" w:eastAsiaTheme="majorEastAsia"/>
          <w:b/>
          <w:sz w:val="52"/>
          <w:szCs w:val="52"/>
        </w:rPr>
      </w:pPr>
    </w:p>
    <w:p>
      <w:pPr>
        <w:autoSpaceDE w:val="0"/>
        <w:autoSpaceDN w:val="0"/>
        <w:adjustRightInd w:val="0"/>
        <w:spacing w:beforeLines="100" w:afterLines="200"/>
        <w:jc w:val="center"/>
        <w:rPr>
          <w:rFonts w:cs="宋体" w:asciiTheme="majorEastAsia" w:hAnsiTheme="majorEastAsia" w:eastAsiaTheme="majorEastAsia"/>
          <w:b/>
          <w:sz w:val="28"/>
          <w:szCs w:val="28"/>
        </w:rPr>
      </w:pPr>
    </w:p>
    <w:p>
      <w:pPr>
        <w:autoSpaceDE w:val="0"/>
        <w:autoSpaceDN w:val="0"/>
        <w:adjustRightInd w:val="0"/>
        <w:spacing w:beforeLines="100" w:afterLines="200"/>
        <w:jc w:val="center"/>
        <w:rPr>
          <w:rFonts w:cs="宋体" w:asciiTheme="majorEastAsia" w:hAnsiTheme="majorEastAsia" w:eastAsiaTheme="majorEastAsia"/>
          <w:b/>
          <w:sz w:val="28"/>
          <w:szCs w:val="28"/>
        </w:rPr>
      </w:pPr>
    </w:p>
    <w:p>
      <w:pPr>
        <w:autoSpaceDE w:val="0"/>
        <w:autoSpaceDN w:val="0"/>
        <w:adjustRightInd w:val="0"/>
        <w:spacing w:beforeLines="100" w:afterLines="200"/>
        <w:jc w:val="center"/>
        <w:rPr>
          <w:rFonts w:cs="宋体" w:asciiTheme="majorEastAsia" w:hAnsiTheme="majorEastAsia" w:eastAsiaTheme="majorEastAsia"/>
          <w:b/>
          <w:sz w:val="28"/>
          <w:szCs w:val="28"/>
        </w:rPr>
      </w:pPr>
    </w:p>
    <w:p>
      <w:pPr>
        <w:autoSpaceDE w:val="0"/>
        <w:autoSpaceDN w:val="0"/>
        <w:adjustRightInd w:val="0"/>
        <w:spacing w:beforeLines="100" w:afterLines="200"/>
        <w:jc w:val="center"/>
        <w:rPr>
          <w:rFonts w:cs="宋体" w:asciiTheme="majorEastAsia" w:hAnsiTheme="majorEastAsia" w:eastAsiaTheme="majorEastAsia"/>
          <w:b/>
          <w:sz w:val="28"/>
          <w:szCs w:val="28"/>
        </w:rPr>
      </w:pPr>
    </w:p>
    <w:p>
      <w:pPr>
        <w:autoSpaceDE w:val="0"/>
        <w:autoSpaceDN w:val="0"/>
        <w:adjustRightInd w:val="0"/>
        <w:spacing w:beforeLines="100" w:afterLines="200"/>
        <w:jc w:val="center"/>
        <w:rPr>
          <w:rFonts w:cs="宋体" w:asciiTheme="majorEastAsia" w:hAnsiTheme="majorEastAsia" w:eastAsiaTheme="majorEastAsia"/>
          <w:b/>
          <w:sz w:val="36"/>
          <w:szCs w:val="36"/>
          <w:lang w:val="en-US"/>
        </w:rPr>
      </w:pPr>
    </w:p>
    <w:p>
      <w:pPr>
        <w:autoSpaceDE w:val="0"/>
        <w:autoSpaceDN w:val="0"/>
        <w:adjustRightInd w:val="0"/>
        <w:spacing w:beforeLines="100" w:afterLines="200"/>
        <w:jc w:val="center"/>
        <w:rPr>
          <w:rFonts w:cs="宋体" w:asciiTheme="majorEastAsia" w:hAnsiTheme="majorEastAsia" w:eastAsiaTheme="majorEastAsia"/>
          <w:b/>
          <w:sz w:val="36"/>
          <w:szCs w:val="36"/>
          <w:lang w:val="en-US"/>
        </w:rPr>
      </w:pPr>
    </w:p>
    <w:p>
      <w:pPr>
        <w:autoSpaceDE w:val="0"/>
        <w:autoSpaceDN w:val="0"/>
        <w:adjustRightInd w:val="0"/>
        <w:spacing w:beforeLines="100" w:afterLines="200"/>
        <w:jc w:val="center"/>
        <w:rPr>
          <w:rFonts w:cs="宋体" w:asciiTheme="majorEastAsia" w:hAnsiTheme="majorEastAsia" w:eastAsiaTheme="majorEastAsia"/>
          <w:b/>
          <w:sz w:val="36"/>
          <w:szCs w:val="36"/>
          <w:lang w:val="en-US"/>
        </w:rPr>
      </w:pPr>
    </w:p>
    <w:p>
      <w:pPr>
        <w:autoSpaceDE w:val="0"/>
        <w:autoSpaceDN w:val="0"/>
        <w:adjustRightInd w:val="0"/>
        <w:spacing w:beforeLines="100" w:afterLines="200"/>
        <w:ind w:firstLine="1113" w:firstLineChars="396"/>
        <w:rPr>
          <w:rFonts w:cs="宋体" w:asciiTheme="majorEastAsia" w:hAnsiTheme="majorEastAsia" w:eastAsiaTheme="majorEastAsia"/>
          <w:b/>
          <w:sz w:val="28"/>
          <w:szCs w:val="28"/>
        </w:rPr>
      </w:pPr>
    </w:p>
    <w:p>
      <w:pPr>
        <w:autoSpaceDE w:val="0"/>
        <w:autoSpaceDN w:val="0"/>
        <w:adjustRightInd w:val="0"/>
        <w:spacing w:beforeLines="100" w:afterLines="200"/>
        <w:ind w:firstLine="1394" w:firstLineChars="496"/>
        <w:rPr>
          <w:rFonts w:cs="宋体" w:asciiTheme="majorEastAsia" w:hAnsiTheme="majorEastAsia" w:eastAsiaTheme="majorEastAsia"/>
          <w:b/>
          <w:sz w:val="28"/>
          <w:szCs w:val="28"/>
        </w:rPr>
      </w:pPr>
    </w:p>
    <w:p>
      <w:pPr>
        <w:autoSpaceDE w:val="0"/>
        <w:autoSpaceDN w:val="0"/>
        <w:adjustRightInd w:val="0"/>
        <w:spacing w:beforeLines="100" w:afterLines="200"/>
        <w:jc w:val="center"/>
        <w:rPr>
          <w:rFonts w:cs="宋体" w:asciiTheme="majorEastAsia" w:hAnsiTheme="majorEastAsia" w:eastAsiaTheme="majorEastAsia"/>
          <w:b/>
          <w:sz w:val="36"/>
          <w:szCs w:val="36"/>
        </w:rPr>
      </w:pPr>
      <w:r>
        <w:rPr>
          <w:rFonts w:hint="eastAsia" w:cs="宋体" w:asciiTheme="majorEastAsia" w:hAnsiTheme="majorEastAsia" w:eastAsiaTheme="majorEastAsia"/>
          <w:b/>
          <w:sz w:val="36"/>
          <w:szCs w:val="36"/>
        </w:rPr>
        <w:t>《</w:t>
      </w:r>
      <w:r>
        <w:rPr>
          <w:rFonts w:hint="eastAsia" w:asciiTheme="majorEastAsia" w:hAnsiTheme="majorEastAsia" w:eastAsiaTheme="majorEastAsia"/>
          <w:b/>
          <w:sz w:val="36"/>
          <w:szCs w:val="36"/>
        </w:rPr>
        <w:t>球形天然石墨</w:t>
      </w:r>
      <w:r>
        <w:rPr>
          <w:rFonts w:hint="eastAsia" w:cs="宋体" w:asciiTheme="majorEastAsia" w:hAnsiTheme="majorEastAsia" w:eastAsiaTheme="majorEastAsia"/>
          <w:b/>
          <w:sz w:val="36"/>
          <w:szCs w:val="36"/>
        </w:rPr>
        <w:t>团体标准》</w:t>
      </w:r>
    </w:p>
    <w:p>
      <w:pPr>
        <w:autoSpaceDE w:val="0"/>
        <w:autoSpaceDN w:val="0"/>
        <w:adjustRightInd w:val="0"/>
        <w:jc w:val="center"/>
        <w:rPr>
          <w:rFonts w:cs="宋体" w:asciiTheme="majorEastAsia" w:hAnsiTheme="majorEastAsia" w:eastAsiaTheme="majorEastAsia"/>
          <w:b/>
          <w:sz w:val="36"/>
          <w:szCs w:val="36"/>
        </w:rPr>
      </w:pPr>
      <w:r>
        <w:rPr>
          <w:rFonts w:hint="eastAsia" w:cs="宋体" w:asciiTheme="majorEastAsia" w:hAnsiTheme="majorEastAsia" w:eastAsiaTheme="majorEastAsia"/>
          <w:b/>
          <w:sz w:val="36"/>
          <w:szCs w:val="36"/>
        </w:rPr>
        <w:t>编</w:t>
      </w:r>
      <w:r>
        <w:rPr>
          <w:rFonts w:hint="eastAsia" w:cs="宋体" w:asciiTheme="majorEastAsia" w:hAnsiTheme="majorEastAsia" w:eastAsiaTheme="majorEastAsia"/>
          <w:b/>
          <w:sz w:val="36"/>
          <w:szCs w:val="36"/>
          <w:lang w:val="en-US"/>
        </w:rPr>
        <w:t xml:space="preserve"> </w:t>
      </w:r>
      <w:r>
        <w:rPr>
          <w:rFonts w:hint="eastAsia" w:cs="宋体" w:asciiTheme="majorEastAsia" w:hAnsiTheme="majorEastAsia" w:eastAsiaTheme="majorEastAsia"/>
          <w:b/>
          <w:sz w:val="36"/>
          <w:szCs w:val="36"/>
        </w:rPr>
        <w:t>制</w:t>
      </w:r>
      <w:r>
        <w:rPr>
          <w:rFonts w:hint="eastAsia" w:cs="宋体" w:asciiTheme="majorEastAsia" w:hAnsiTheme="majorEastAsia" w:eastAsiaTheme="majorEastAsia"/>
          <w:b/>
          <w:sz w:val="36"/>
          <w:szCs w:val="36"/>
          <w:lang w:val="en-US"/>
        </w:rPr>
        <w:t xml:space="preserve"> </w:t>
      </w:r>
      <w:r>
        <w:rPr>
          <w:rFonts w:hint="eastAsia" w:cs="宋体" w:asciiTheme="majorEastAsia" w:hAnsiTheme="majorEastAsia" w:eastAsiaTheme="majorEastAsia"/>
          <w:b/>
          <w:sz w:val="36"/>
          <w:szCs w:val="36"/>
        </w:rPr>
        <w:t>说</w:t>
      </w:r>
      <w:r>
        <w:rPr>
          <w:rFonts w:hint="eastAsia" w:cs="宋体" w:asciiTheme="majorEastAsia" w:hAnsiTheme="majorEastAsia" w:eastAsiaTheme="majorEastAsia"/>
          <w:b/>
          <w:sz w:val="36"/>
          <w:szCs w:val="36"/>
          <w:lang w:val="en-US"/>
        </w:rPr>
        <w:t xml:space="preserve"> </w:t>
      </w:r>
      <w:r>
        <w:rPr>
          <w:rFonts w:hint="eastAsia" w:cs="宋体" w:asciiTheme="majorEastAsia" w:hAnsiTheme="majorEastAsia" w:eastAsiaTheme="majorEastAsia"/>
          <w:b/>
          <w:sz w:val="36"/>
          <w:szCs w:val="36"/>
        </w:rPr>
        <w:t>明</w:t>
      </w:r>
      <w:bookmarkEnd w:id="0"/>
    </w:p>
    <w:p>
      <w:pPr>
        <w:autoSpaceDE w:val="0"/>
        <w:autoSpaceDN w:val="0"/>
        <w:adjustRightInd w:val="0"/>
        <w:jc w:val="center"/>
        <w:rPr>
          <w:rFonts w:cs="宋体" w:asciiTheme="majorEastAsia" w:hAnsiTheme="majorEastAsia" w:eastAsiaTheme="majorEastAsia"/>
          <w:b/>
          <w:sz w:val="28"/>
          <w:szCs w:val="28"/>
        </w:rPr>
      </w:pPr>
    </w:p>
    <w:p>
      <w:pPr>
        <w:pStyle w:val="30"/>
        <w:spacing w:line="360" w:lineRule="auto"/>
        <w:ind w:firstLine="560"/>
        <w:rPr>
          <w:rFonts w:asciiTheme="majorEastAsia" w:hAnsiTheme="majorEastAsia" w:eastAsiaTheme="majorEastAsia"/>
          <w:sz w:val="28"/>
          <w:szCs w:val="28"/>
        </w:rPr>
      </w:pPr>
      <w:bookmarkStart w:id="1" w:name="bookmark2"/>
      <w:r>
        <w:rPr>
          <w:rFonts w:hint="eastAsia" w:cs="仿宋_GB2312" w:asciiTheme="majorEastAsia" w:hAnsiTheme="majorEastAsia" w:eastAsiaTheme="majorEastAsia"/>
          <w:sz w:val="28"/>
          <w:szCs w:val="28"/>
        </w:rPr>
        <w:t>此团体标准工作由</w:t>
      </w:r>
      <w:r>
        <w:rPr>
          <w:rFonts w:hint="eastAsia" w:asciiTheme="majorEastAsia" w:hAnsiTheme="majorEastAsia" w:eastAsiaTheme="majorEastAsia"/>
          <w:sz w:val="28"/>
          <w:szCs w:val="28"/>
        </w:rPr>
        <w:t>萝北奥星新材料有限公司、 国家石墨产品质量监督检验中心（黑龙江）负责</w:t>
      </w:r>
      <w:r>
        <w:rPr>
          <w:rFonts w:hint="eastAsia" w:cs="仿宋_GB2312" w:asciiTheme="majorEastAsia" w:hAnsiTheme="majorEastAsia" w:eastAsiaTheme="majorEastAsia"/>
          <w:sz w:val="28"/>
          <w:szCs w:val="28"/>
        </w:rPr>
        <w:t>起草，该团体标准实施后将对黑龙江省石墨深加工企业生产</w:t>
      </w:r>
      <w:r>
        <w:rPr>
          <w:rFonts w:hint="eastAsia" w:asciiTheme="majorEastAsia" w:hAnsiTheme="majorEastAsia" w:eastAsiaTheme="majorEastAsia"/>
          <w:sz w:val="28"/>
          <w:szCs w:val="28"/>
        </w:rPr>
        <w:t>球形天然石墨加以</w:t>
      </w:r>
      <w:r>
        <w:rPr>
          <w:rFonts w:hint="eastAsia" w:cs="仿宋_GB2312" w:asciiTheme="majorEastAsia" w:hAnsiTheme="majorEastAsia" w:eastAsiaTheme="majorEastAsia"/>
          <w:sz w:val="28"/>
          <w:szCs w:val="28"/>
        </w:rPr>
        <w:t>规范。</w:t>
      </w:r>
    </w:p>
    <w:p>
      <w:pPr>
        <w:spacing w:line="360" w:lineRule="auto"/>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一、起草单位情况</w:t>
      </w:r>
      <w:bookmarkEnd w:id="1"/>
    </w:p>
    <w:p>
      <w:pPr>
        <w:spacing w:line="360" w:lineRule="auto"/>
        <w:ind w:firstLine="560" w:firstLineChars="200"/>
        <w:rPr>
          <w:rStyle w:val="32"/>
          <w:rFonts w:cs="Arial" w:asciiTheme="majorEastAsia" w:hAnsiTheme="majorEastAsia" w:eastAsiaTheme="majorEastAsia"/>
          <w:color w:val="333333"/>
          <w:sz w:val="28"/>
          <w:szCs w:val="28"/>
          <w:shd w:val="clear" w:color="auto" w:fill="FFFFFF"/>
        </w:rPr>
      </w:pPr>
      <w:r>
        <w:rPr>
          <w:rFonts w:hint="eastAsia" w:cs="仿宋_GB2312" w:asciiTheme="majorEastAsia" w:hAnsiTheme="majorEastAsia" w:eastAsiaTheme="majorEastAsia"/>
          <w:sz w:val="28"/>
          <w:szCs w:val="28"/>
        </w:rPr>
        <w:t>标准由</w:t>
      </w:r>
      <w:r>
        <w:rPr>
          <w:rFonts w:hint="eastAsia" w:asciiTheme="majorEastAsia" w:hAnsiTheme="majorEastAsia" w:eastAsiaTheme="majorEastAsia"/>
          <w:sz w:val="28"/>
          <w:szCs w:val="28"/>
        </w:rPr>
        <w:t>萝北奥星新材料有限公司、 国家石墨产品质量监督检验中心（黑龙江）</w:t>
      </w:r>
      <w:r>
        <w:rPr>
          <w:rFonts w:hint="eastAsia" w:cs="仿宋_GB2312" w:asciiTheme="majorEastAsia" w:hAnsiTheme="majorEastAsia" w:eastAsiaTheme="majorEastAsia"/>
          <w:sz w:val="28"/>
          <w:szCs w:val="28"/>
        </w:rPr>
        <w:t>负责起草。</w:t>
      </w:r>
    </w:p>
    <w:p>
      <w:pPr>
        <w:spacing w:line="360" w:lineRule="auto"/>
        <w:ind w:firstLine="560" w:firstLineChars="200"/>
        <w:rPr>
          <w:rFonts w:cs="Arial" w:asciiTheme="majorEastAsia" w:hAnsiTheme="majorEastAsia" w:eastAsiaTheme="majorEastAsia"/>
          <w:color w:val="auto"/>
          <w:sz w:val="28"/>
          <w:szCs w:val="28"/>
        </w:rPr>
      </w:pPr>
      <w:r>
        <w:rPr>
          <w:rFonts w:hint="eastAsia" w:cs="Arial" w:asciiTheme="majorEastAsia" w:hAnsiTheme="majorEastAsia" w:eastAsiaTheme="majorEastAsia"/>
          <w:color w:val="auto"/>
          <w:sz w:val="28"/>
          <w:szCs w:val="28"/>
        </w:rPr>
        <w:t>萝北奥星新材料有限公司是奥宇石墨集团旗下的一家独立法人企业，公司成立于2011年8月17日，注册资本人民币40166.7万元，位于具有“亚洲第一矿”美誉的萝北县石墨产业园区内，是一家集研发、生产、销售三位一体的产业链式石墨精深加工中外合资企业。公司总用地面积25.3公顷，建筑面积8.5万平方米，现有生产能力为鳞片石墨10万吨/年、球形石墨3万吨/年、负极材料4千吨/年，在建中的生产线生产规模为高纯石墨2万吨/年、可膨胀石墨2万吨/年。公司现有员工130名，其中具有大专以上管理、技术人员36名，建有锂电材料研发实验室，拥有已授权发明专利2项、实用新型专利21项，受理中的发明专利6项，2015年被认定为国家高新技术企业，2017年被授予黑龙江省企业技术中心称号，2018年被授予黑龙江省石墨工程技术研究中心称号，并承担黑龙江省科技厅2014年重大科技招标项目，项目名称《天然石墨负极材料生产关键技术及电池制造》。萝北奥星通过了国家工信部石墨行业准入条件，通过了ISO9001质量管理体系认证、ISO14001环境管理体系认证、OHSAS18001职业健康安全管理体系认证，被纳入黑龙江省2013、2014、2017、2018年省重点石墨产业项目，先后获得过黑龙江省《2013年省产业结构调整专项》、国家发改委《2015年第二批专项建设基金》、国家发改委《2017东北地区培育和发展新兴产业三年行动计划中央基建投资项目》等奖励。2020年11月获得工信部评定的“全国专精特新小巨人”企业荣誉称号。</w:t>
      </w:r>
    </w:p>
    <w:p>
      <w:pPr>
        <w:spacing w:line="360" w:lineRule="auto"/>
        <w:ind w:firstLine="560" w:firstLineChars="200"/>
        <w:rPr>
          <w:rFonts w:cs="Arial" w:asciiTheme="majorEastAsia" w:hAnsiTheme="majorEastAsia" w:eastAsiaTheme="majorEastAsia"/>
          <w:color w:val="auto"/>
          <w:sz w:val="28"/>
          <w:szCs w:val="28"/>
        </w:rPr>
      </w:pPr>
      <w:r>
        <w:rPr>
          <w:rFonts w:hint="eastAsia" w:asciiTheme="majorEastAsia" w:hAnsiTheme="majorEastAsia" w:eastAsiaTheme="majorEastAsia"/>
          <w:sz w:val="28"/>
          <w:szCs w:val="28"/>
        </w:rPr>
        <w:t>国家石墨中心项目始建于2011年9月，2011年11月，国家质检总局批准鸡西市筹建国家石墨产品质量监督检验中心（黑龙江）[国质检科[2011]601号]。2012年9月，一期工程主楼12780平方米土建完工；2013年8月，国家石墨中心实验室内部建设完成，并实现了整体搬迁。石墨中心一期工程基础建设项目（包括土建、实验室及配套设施建设）计划总投资4500万元，实际总投资5400万元。其中，市政府划拨土地价值1300万元，划拨实验室建设专项资金200万元；省、市质监局自筹资金3900万元（通过房屋置换，由开发商投入2500万元用于土建施工；自筹1400万元，</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该中心位于鸡西市鸡冠区康新路，占地面积1.1万平方米，中心大楼面积1.3万平方米。</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本中心现拥有固定资产3500万元，实验室面积2780m</w:t>
      </w:r>
      <w:r>
        <w:rPr>
          <w:rFonts w:hint="eastAsia" w:asciiTheme="majorEastAsia" w:hAnsiTheme="majorEastAsia" w:eastAsiaTheme="majorEastAsia"/>
          <w:sz w:val="28"/>
          <w:szCs w:val="28"/>
          <w:vertAlign w:val="superscript"/>
        </w:rPr>
        <w:t>2</w:t>
      </w:r>
      <w:r>
        <w:rPr>
          <w:rFonts w:hint="eastAsia" w:asciiTheme="majorEastAsia" w:hAnsiTheme="majorEastAsia" w:eastAsiaTheme="majorEastAsia"/>
          <w:sz w:val="28"/>
          <w:szCs w:val="28"/>
        </w:rPr>
        <w:t>,拥有美国安捷伦气相色谱-质谱仪、电感耦合等离子体-质谱仪（ICP-MS</w:t>
      </w:r>
      <w:r>
        <w:rPr>
          <w:rFonts w:asciiTheme="majorEastAsia" w:hAnsiTheme="majorEastAsia" w:eastAsiaTheme="majorEastAsia"/>
          <w:sz w:val="28"/>
          <w:szCs w:val="28"/>
        </w:rPr>
        <w:t>）</w:t>
      </w:r>
      <w:r>
        <w:rPr>
          <w:rFonts w:hint="eastAsia" w:asciiTheme="majorEastAsia" w:hAnsiTheme="majorEastAsia" w:eastAsiaTheme="majorEastAsia"/>
          <w:sz w:val="28"/>
          <w:szCs w:val="28"/>
        </w:rPr>
        <w:t>、瑞士万通离子色谱仪、日本日立冷场场发射扫描电镜、荷兰帕纳科X射线衍射仪等高精端检验检测仪器设备83台/件，现有职工30人，其中博士1人、硕士1人、研究员级高级工程师1人，高级工程师4人，中级职称13人，中级职称以上人员占中心人员的60 %，本中心具有较强的石墨产品检验检测技术优势。</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2013年6月，省质监局依托国家石墨产品质量监督检验中心（黑龙江）设置了“黑龙江省石墨产品标准化技术委员会、标委会秘书处”，为我省石墨及制品生产和检验检测标准体系建设提供了技术服务平台。</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2015年6月13-14日顺利通过国家认证认可监督管理委员会组织的实验室初次评审。同年8月取得了中国合格评定国家认可委员会实验室认可证书。注册号为</w:t>
      </w:r>
      <w:r>
        <w:rPr>
          <w:rFonts w:hint="eastAsia" w:asciiTheme="majorEastAsia" w:hAnsiTheme="majorEastAsia" w:eastAsiaTheme="majorEastAsia"/>
          <w:b/>
          <w:sz w:val="28"/>
          <w:szCs w:val="28"/>
        </w:rPr>
        <w:t>CNAS:L7878</w:t>
      </w:r>
      <w:r>
        <w:rPr>
          <w:rFonts w:hint="eastAsia" w:asciiTheme="majorEastAsia" w:hAnsiTheme="majorEastAsia" w:eastAsiaTheme="majorEastAsia"/>
          <w:sz w:val="28"/>
          <w:szCs w:val="28"/>
        </w:rPr>
        <w:t>。同时取得了中国国家认证认可监督管理委员会资质认定授权证书。证书编号：</w:t>
      </w:r>
      <w:r>
        <w:rPr>
          <w:rFonts w:hint="eastAsia" w:asciiTheme="majorEastAsia" w:hAnsiTheme="majorEastAsia" w:eastAsiaTheme="majorEastAsia"/>
          <w:b/>
          <w:sz w:val="28"/>
          <w:szCs w:val="28"/>
        </w:rPr>
        <w:t>（2015）国认监认字（627）号</w:t>
      </w:r>
      <w:r>
        <w:rPr>
          <w:rFonts w:hint="eastAsia" w:asciiTheme="majorEastAsia" w:hAnsiTheme="majorEastAsia" w:eastAsiaTheme="majorEastAsia"/>
          <w:sz w:val="28"/>
          <w:szCs w:val="28"/>
        </w:rPr>
        <w:t>和检验检测机构资质认定证书。编号为：</w:t>
      </w:r>
      <w:r>
        <w:rPr>
          <w:rFonts w:hint="eastAsia" w:asciiTheme="majorEastAsia" w:hAnsiTheme="majorEastAsia" w:eastAsiaTheme="majorEastAsia"/>
          <w:b/>
          <w:sz w:val="28"/>
          <w:szCs w:val="28"/>
        </w:rPr>
        <w:t>150017113605</w:t>
      </w:r>
      <w:r>
        <w:rPr>
          <w:rFonts w:hint="eastAsia" w:asciiTheme="majorEastAsia" w:hAnsiTheme="majorEastAsia" w:eastAsiaTheme="majorEastAsia"/>
          <w:sz w:val="28"/>
          <w:szCs w:val="28"/>
        </w:rPr>
        <w:t>。2015年12月17日-18日国家质检总局科技司派出的专家组对国家石墨产品质量监督检验中心（黑龙江）按照《质检系统国家质检中心规划与能力建设分级管理实施细则》从技术能力、团队建设、科研能力等六方面进行了为期2天的验收。最后通过专家组验收。2016年3月14日国检质检总局和国家认证认可监督管理委员会以国质检科联[2016]137号文件通知国家石墨产品质量监督检验中心（黑龙江）正式批准成立，标志着国家石墨产品质量监督检验中心（黑龙江）正式落户鸡西。</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高导热石墨材料院士工作站、黑龙江省石墨密封材料工程技术研究中心、鸡西市石墨产业孵化器、鸡西市政府石墨产业推进组已正式落户国家石墨产品质量监督检验中心。标志着鸡西市石墨产业产、学、研、检验一体化工程全面启动。</w:t>
      </w:r>
    </w:p>
    <w:p>
      <w:pPr>
        <w:spacing w:line="360" w:lineRule="auto"/>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二、目的与意义</w:t>
      </w:r>
    </w:p>
    <w:p>
      <w:pPr>
        <w:spacing w:line="360" w:lineRule="auto"/>
        <w:ind w:firstLine="560" w:firstLineChars="200"/>
        <w:rPr>
          <w:rFonts w:cs="仿宋_GB2312" w:asciiTheme="majorEastAsia" w:hAnsiTheme="majorEastAsia" w:eastAsiaTheme="majorEastAsia"/>
          <w:sz w:val="28"/>
          <w:szCs w:val="28"/>
        </w:rPr>
      </w:pPr>
      <w:r>
        <w:rPr>
          <w:rFonts w:hint="eastAsia" w:ascii="宋体" w:hAnsi="宋体"/>
          <w:sz w:val="28"/>
          <w:szCs w:val="28"/>
        </w:rPr>
        <w:t>球形天然石墨是指中位经为</w:t>
      </w:r>
      <w:r>
        <w:rPr>
          <w:rFonts w:hint="eastAsia" w:ascii="宋体" w:hAnsi="宋体"/>
          <w:sz w:val="28"/>
          <w:szCs w:val="28"/>
          <w:lang w:val="en-US" w:eastAsia="zh-CN"/>
        </w:rPr>
        <w:t>8</w:t>
      </w:r>
      <w:r>
        <w:rPr>
          <w:rFonts w:hint="eastAsia" w:ascii="宋体" w:hAnsi="宋体" w:cs="宋体"/>
          <w:sz w:val="28"/>
          <w:szCs w:val="28"/>
        </w:rPr>
        <w:t>μm-</w:t>
      </w:r>
      <w:r>
        <w:rPr>
          <w:rFonts w:hint="eastAsia" w:ascii="宋体" w:hAnsi="宋体" w:cs="宋体"/>
          <w:sz w:val="28"/>
          <w:szCs w:val="28"/>
          <w:lang w:val="en-US" w:eastAsia="zh-CN"/>
        </w:rPr>
        <w:t>23</w:t>
      </w:r>
      <w:r>
        <w:rPr>
          <w:rFonts w:hint="eastAsia" w:ascii="宋体" w:hAnsi="宋体" w:cs="宋体"/>
          <w:sz w:val="28"/>
          <w:szCs w:val="28"/>
        </w:rPr>
        <w:t>μm之间球形或类球形石墨颗粒</w:t>
      </w:r>
      <w:r>
        <w:rPr>
          <w:rFonts w:hint="eastAsia" w:ascii="宋体" w:hAnsi="宋体"/>
        </w:rPr>
        <w:t>。</w:t>
      </w:r>
      <w:r>
        <w:rPr>
          <w:rFonts w:hint="eastAsia" w:cs="仿宋_GB2312" w:asciiTheme="majorEastAsia" w:hAnsiTheme="majorEastAsia" w:eastAsiaTheme="majorEastAsia"/>
          <w:sz w:val="28"/>
          <w:szCs w:val="28"/>
        </w:rPr>
        <w:t>目前国内尚未有统一</w:t>
      </w:r>
      <w:r>
        <w:rPr>
          <w:rFonts w:hint="eastAsia" w:asciiTheme="majorEastAsia" w:hAnsiTheme="majorEastAsia" w:eastAsiaTheme="majorEastAsia"/>
          <w:sz w:val="28"/>
          <w:szCs w:val="28"/>
          <w:lang w:val="en-US" w:eastAsia="zh-CN"/>
        </w:rPr>
        <w:t>8</w:t>
      </w:r>
      <w:r>
        <w:rPr>
          <w:rFonts w:hint="eastAsia" w:asciiTheme="majorEastAsia" w:hAnsiTheme="majorEastAsia" w:eastAsiaTheme="majorEastAsia"/>
          <w:sz w:val="28"/>
          <w:szCs w:val="28"/>
        </w:rPr>
        <w:t>µm-</w:t>
      </w:r>
      <w:r>
        <w:rPr>
          <w:rFonts w:hint="eastAsia" w:asciiTheme="majorEastAsia" w:hAnsiTheme="majorEastAsia" w:eastAsiaTheme="majorEastAsia"/>
          <w:sz w:val="28"/>
          <w:szCs w:val="28"/>
          <w:lang w:val="en-US" w:eastAsia="zh-CN"/>
        </w:rPr>
        <w:t>23</w:t>
      </w:r>
      <w:r>
        <w:rPr>
          <w:rFonts w:hint="eastAsia" w:asciiTheme="majorEastAsia" w:hAnsiTheme="majorEastAsia" w:eastAsiaTheme="majorEastAsia"/>
          <w:sz w:val="28"/>
          <w:szCs w:val="28"/>
        </w:rPr>
        <w:t>µm</w:t>
      </w:r>
      <w:r>
        <w:rPr>
          <w:rFonts w:hint="eastAsia" w:cs="仿宋_GB2312" w:asciiTheme="majorEastAsia" w:hAnsiTheme="majorEastAsia" w:eastAsiaTheme="majorEastAsia"/>
          <w:sz w:val="28"/>
          <w:szCs w:val="28"/>
        </w:rPr>
        <w:t>的</w:t>
      </w:r>
      <w:r>
        <w:rPr>
          <w:rFonts w:hint="eastAsia" w:asciiTheme="majorEastAsia" w:hAnsiTheme="majorEastAsia" w:eastAsiaTheme="majorEastAsia"/>
          <w:sz w:val="28"/>
          <w:szCs w:val="28"/>
        </w:rPr>
        <w:t>球形天然石墨</w:t>
      </w:r>
      <w:r>
        <w:rPr>
          <w:rFonts w:hint="eastAsia" w:cs="仿宋_GB2312" w:asciiTheme="majorEastAsia" w:hAnsiTheme="majorEastAsia" w:eastAsiaTheme="majorEastAsia"/>
          <w:sz w:val="28"/>
          <w:szCs w:val="28"/>
        </w:rPr>
        <w:t>标准。通过制定本标准可以规范企业生产、方便用户使用，提高我国</w:t>
      </w:r>
      <w:r>
        <w:rPr>
          <w:rFonts w:hint="eastAsia" w:asciiTheme="majorEastAsia" w:hAnsiTheme="majorEastAsia" w:eastAsiaTheme="majorEastAsia"/>
          <w:sz w:val="28"/>
          <w:szCs w:val="28"/>
        </w:rPr>
        <w:t>球形天然石墨</w:t>
      </w:r>
      <w:r>
        <w:rPr>
          <w:rFonts w:hint="eastAsia" w:cs="仿宋_GB2312" w:asciiTheme="majorEastAsia" w:hAnsiTheme="majorEastAsia" w:eastAsiaTheme="majorEastAsia"/>
          <w:sz w:val="28"/>
          <w:szCs w:val="28"/>
        </w:rPr>
        <w:t>产品的市场竞争力。本标准对我省生产球形石墨企业在加工过程中所用原料、加工工艺、检验规则、包装和标志以及运输和贮存等进行规范。通过此标准对我省生产球形石墨企业具有达到统一原料、规范生产工艺、检验规则等要求。为企业生产出满足用户要求的产品具有指导意义。</w:t>
      </w:r>
    </w:p>
    <w:p>
      <w:pPr>
        <w:spacing w:line="360" w:lineRule="auto"/>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三、标准制定工作主要过程</w:t>
      </w:r>
    </w:p>
    <w:p>
      <w:pPr>
        <w:pStyle w:val="30"/>
        <w:spacing w:line="360" w:lineRule="auto"/>
        <w:ind w:firstLine="560"/>
        <w:rPr>
          <w:rFonts w:asciiTheme="majorEastAsia" w:hAnsiTheme="majorEastAsia" w:eastAsiaTheme="majorEastAsia"/>
          <w:sz w:val="28"/>
          <w:szCs w:val="28"/>
        </w:rPr>
      </w:pPr>
      <w:r>
        <w:rPr>
          <w:rFonts w:hint="eastAsia" w:cs="仿宋_GB2312" w:asciiTheme="majorEastAsia" w:hAnsiTheme="majorEastAsia" w:eastAsiaTheme="majorEastAsia"/>
          <w:sz w:val="28"/>
          <w:szCs w:val="28"/>
        </w:rPr>
        <w:t>球形天然石墨标准起草，标准的主要起草单位是</w:t>
      </w:r>
      <w:r>
        <w:rPr>
          <w:rFonts w:hint="eastAsia" w:asciiTheme="majorEastAsia" w:hAnsiTheme="majorEastAsia" w:eastAsiaTheme="majorEastAsia"/>
          <w:sz w:val="28"/>
          <w:szCs w:val="28"/>
        </w:rPr>
        <w:t>萝北奥星新材料有限公司、 国家石墨产品质量监督检验中心（黑龙江）。</w:t>
      </w:r>
    </w:p>
    <w:p>
      <w:pPr>
        <w:pStyle w:val="30"/>
        <w:spacing w:line="360" w:lineRule="auto"/>
        <w:ind w:firstLine="560"/>
        <w:rPr>
          <w:rFonts w:asciiTheme="majorEastAsia" w:hAnsiTheme="majorEastAsia" w:eastAsiaTheme="majorEastAsia"/>
          <w:sz w:val="28"/>
          <w:szCs w:val="28"/>
        </w:rPr>
      </w:pPr>
      <w:r>
        <w:rPr>
          <w:rFonts w:hint="eastAsia" w:cs="仿宋_GB2312" w:asciiTheme="majorEastAsia" w:hAnsiTheme="majorEastAsia" w:eastAsiaTheme="majorEastAsia"/>
          <w:sz w:val="28"/>
          <w:szCs w:val="28"/>
        </w:rPr>
        <w:t>首先着手于国内外标准资料的搜集工作，全面了解和掌握球型天然石墨生产厂商的生产现状、标准执行情况以及产品的质量水平。本标准设置如下检验项目：振实密度、粒度分布、压实密度、水分、固定碳、包装要求，确定了试验验证工作的内容和各阶段标准制订工作的分工与进度。在上述一系列工作的基础上，由</w:t>
      </w:r>
      <w:r>
        <w:rPr>
          <w:rFonts w:hint="eastAsia" w:asciiTheme="majorEastAsia" w:hAnsiTheme="majorEastAsia" w:eastAsiaTheme="majorEastAsia"/>
          <w:sz w:val="28"/>
          <w:szCs w:val="28"/>
        </w:rPr>
        <w:t>萝北奥星新材料有限公司、 国家石墨产品质量监督检验中心（黑龙江）</w:t>
      </w:r>
      <w:r>
        <w:rPr>
          <w:rFonts w:hint="eastAsia" w:cs="仿宋_GB2312" w:asciiTheme="majorEastAsia" w:hAnsiTheme="majorEastAsia" w:eastAsiaTheme="majorEastAsia"/>
          <w:sz w:val="28"/>
          <w:szCs w:val="28"/>
        </w:rPr>
        <w:t>提出该标准的编制说明，向中国技术经济学会申报审批。</w:t>
      </w:r>
    </w:p>
    <w:p>
      <w:pPr>
        <w:spacing w:line="360" w:lineRule="auto"/>
        <w:rPr>
          <w:rFonts w:cs="仿宋_GB2312" w:asciiTheme="majorEastAsia" w:hAnsiTheme="majorEastAsia" w:eastAsiaTheme="majorEastAsia"/>
          <w:b/>
          <w:bCs/>
          <w:sz w:val="28"/>
          <w:szCs w:val="28"/>
        </w:rPr>
      </w:pPr>
      <w:bookmarkStart w:id="2" w:name="bookmark3"/>
      <w:r>
        <w:rPr>
          <w:rFonts w:hint="eastAsia" w:cs="仿宋_GB2312" w:asciiTheme="majorEastAsia" w:hAnsiTheme="majorEastAsia" w:eastAsiaTheme="majorEastAsia"/>
          <w:b/>
          <w:bCs/>
          <w:sz w:val="28"/>
          <w:szCs w:val="28"/>
        </w:rPr>
        <w:t>四、标准制定的主要编制原则及格式</w:t>
      </w:r>
      <w:bookmarkEnd w:id="2"/>
    </w:p>
    <w:p>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编制原则符合我国的有关法律、法规，技术指标的确定符合国家的采标政策。 标准格式的编写符合GB/T 1.1-2020《标准化工作导则第1部分：标准的结构与编写规则》有关规定。</w:t>
      </w:r>
    </w:p>
    <w:p>
      <w:pPr>
        <w:spacing w:line="360" w:lineRule="auto"/>
        <w:rPr>
          <w:rFonts w:cs="仿宋_GB2312" w:asciiTheme="majorEastAsia" w:hAnsiTheme="majorEastAsia" w:eastAsiaTheme="majorEastAsia"/>
          <w:b/>
          <w:bCs/>
          <w:color w:val="auto"/>
          <w:sz w:val="28"/>
          <w:szCs w:val="28"/>
        </w:rPr>
      </w:pPr>
      <w:bookmarkStart w:id="3" w:name="bookmark4"/>
      <w:r>
        <w:rPr>
          <w:rFonts w:hint="eastAsia" w:cs="仿宋_GB2312" w:asciiTheme="majorEastAsia" w:hAnsiTheme="majorEastAsia" w:eastAsiaTheme="majorEastAsia"/>
          <w:b/>
          <w:bCs/>
          <w:color w:val="auto"/>
          <w:sz w:val="28"/>
          <w:szCs w:val="28"/>
        </w:rPr>
        <w:t>五、技术内容的确定</w:t>
      </w:r>
      <w:bookmarkEnd w:id="3"/>
    </w:p>
    <w:p>
      <w:pPr>
        <w:pStyle w:val="33"/>
        <w:numPr>
          <w:ilvl w:val="1"/>
          <w:numId w:val="0"/>
        </w:numPr>
        <w:spacing w:before="120" w:after="120"/>
        <w:rPr>
          <w:rFonts w:ascii="宋体" w:hAnsi="宋体" w:eastAsia="宋体" w:cs="宋体"/>
          <w:sz w:val="28"/>
          <w:szCs w:val="28"/>
        </w:rPr>
      </w:pPr>
      <w:r>
        <w:rPr>
          <w:rFonts w:hint="eastAsia"/>
          <w:sz w:val="28"/>
          <w:szCs w:val="28"/>
        </w:rPr>
        <w:t>1、 初碎：</w:t>
      </w:r>
      <w:r>
        <w:rPr>
          <w:rFonts w:hint="eastAsia" w:ascii="宋体" w:hAnsi="宋体" w:eastAsia="宋体" w:cs="宋体"/>
          <w:sz w:val="28"/>
          <w:szCs w:val="28"/>
        </w:rPr>
        <w:t>将天然鳞片石墨破碎到粒径不大于75μm的颗粒。</w:t>
      </w:r>
    </w:p>
    <w:p>
      <w:pPr>
        <w:pStyle w:val="33"/>
        <w:numPr>
          <w:ilvl w:val="1"/>
          <w:numId w:val="0"/>
        </w:numPr>
        <w:spacing w:before="120" w:after="120"/>
        <w:rPr>
          <w:rFonts w:ascii="宋体" w:hAnsi="宋体" w:eastAsia="宋体" w:cs="宋体"/>
          <w:sz w:val="28"/>
          <w:szCs w:val="28"/>
        </w:rPr>
      </w:pPr>
      <w:r>
        <w:rPr>
          <w:rFonts w:hint="eastAsia"/>
          <w:sz w:val="28"/>
          <w:szCs w:val="28"/>
        </w:rPr>
        <w:t>2、 细碎：</w:t>
      </w:r>
      <w:r>
        <w:rPr>
          <w:rFonts w:hint="eastAsia" w:ascii="宋体" w:hAnsi="宋体" w:eastAsia="宋体" w:cs="宋体"/>
          <w:sz w:val="28"/>
          <w:szCs w:val="28"/>
        </w:rPr>
        <w:t>将初碎的物料继续破碎到粒径不大于20μm的颗粒。</w:t>
      </w:r>
    </w:p>
    <w:p>
      <w:pPr>
        <w:pStyle w:val="33"/>
        <w:numPr>
          <w:ilvl w:val="1"/>
          <w:numId w:val="0"/>
        </w:numPr>
        <w:spacing w:before="120" w:after="120"/>
        <w:rPr>
          <w:rFonts w:ascii="宋体" w:hAnsi="宋体" w:eastAsia="宋体" w:cs="宋体"/>
          <w:sz w:val="28"/>
          <w:szCs w:val="28"/>
        </w:rPr>
      </w:pPr>
      <w:r>
        <w:rPr>
          <w:rFonts w:hint="eastAsia"/>
          <w:sz w:val="28"/>
          <w:szCs w:val="28"/>
        </w:rPr>
        <w:t>3、分级：</w:t>
      </w:r>
      <w:r>
        <w:rPr>
          <w:rFonts w:hint="eastAsia" w:ascii="宋体" w:hAnsi="宋体" w:eastAsia="宋体" w:cs="宋体"/>
          <w:sz w:val="28"/>
          <w:szCs w:val="28"/>
        </w:rPr>
        <w:t>将细碎的物料通过分级机分选到中位经为</w:t>
      </w:r>
      <w:r>
        <w:rPr>
          <w:rFonts w:hint="eastAsia" w:ascii="宋体" w:hAnsi="宋体" w:eastAsia="宋体" w:cs="宋体"/>
          <w:sz w:val="28"/>
          <w:szCs w:val="28"/>
          <w:lang w:val="en-US" w:eastAsia="zh-CN"/>
        </w:rPr>
        <w:t>8</w:t>
      </w:r>
      <w:r>
        <w:rPr>
          <w:rFonts w:hint="eastAsia" w:ascii="宋体" w:hAnsi="宋体" w:eastAsia="宋体" w:cs="宋体"/>
          <w:sz w:val="28"/>
          <w:szCs w:val="28"/>
        </w:rPr>
        <w:t>μm-</w:t>
      </w:r>
      <w:r>
        <w:rPr>
          <w:rFonts w:hint="eastAsia" w:ascii="宋体" w:hAnsi="宋体" w:eastAsia="宋体" w:cs="宋体"/>
          <w:sz w:val="28"/>
          <w:szCs w:val="28"/>
          <w:lang w:val="en-US" w:eastAsia="zh-CN"/>
        </w:rPr>
        <w:t>23</w:t>
      </w:r>
      <w:r>
        <w:rPr>
          <w:rFonts w:hint="eastAsia" w:ascii="宋体" w:hAnsi="宋体" w:eastAsia="宋体" w:cs="宋体"/>
          <w:sz w:val="28"/>
          <w:szCs w:val="28"/>
        </w:rPr>
        <w:t>μm之间的颗粒。</w:t>
      </w:r>
    </w:p>
    <w:p>
      <w:pPr>
        <w:pStyle w:val="30"/>
        <w:ind w:firstLine="0" w:firstLineChars="0"/>
        <w:rPr>
          <w:rFonts w:ascii="黑体" w:hAnsi="黑体" w:eastAsia="黑体" w:cs="黑体"/>
          <w:sz w:val="28"/>
          <w:szCs w:val="28"/>
        </w:rPr>
      </w:pPr>
      <w:r>
        <w:rPr>
          <w:rFonts w:hint="eastAsia" w:ascii="黑体" w:hAnsi="黑体" w:eastAsia="黑体" w:cs="黑体"/>
          <w:sz w:val="28"/>
          <w:szCs w:val="28"/>
        </w:rPr>
        <w:t>4、检验：</w:t>
      </w:r>
      <w:r>
        <w:rPr>
          <w:rFonts w:hint="eastAsia" w:hAnsi="宋体" w:cs="宋体"/>
          <w:sz w:val="28"/>
          <w:szCs w:val="28"/>
        </w:rPr>
        <w:t>在线检验分级后的物料颗粒粒径</w:t>
      </w:r>
      <w:r>
        <w:rPr>
          <w:rFonts w:hint="eastAsia" w:ascii="黑体" w:hAnsi="黑体" w:eastAsia="黑体" w:cs="黑体"/>
          <w:sz w:val="28"/>
          <w:szCs w:val="28"/>
        </w:rPr>
        <w:t>。</w:t>
      </w:r>
    </w:p>
    <w:p>
      <w:pPr>
        <w:spacing w:line="360" w:lineRule="auto"/>
        <w:rPr>
          <w:rFonts w:cs="仿宋_GB2312" w:asciiTheme="majorEastAsia" w:hAnsiTheme="majorEastAsia" w:eastAsiaTheme="majorEastAsia"/>
          <w:b/>
          <w:bCs/>
          <w:sz w:val="28"/>
          <w:szCs w:val="28"/>
        </w:rPr>
      </w:pPr>
      <w:bookmarkStart w:id="4" w:name="bookmark5"/>
      <w:r>
        <w:rPr>
          <w:rFonts w:hint="eastAsia" w:cs="仿宋_GB2312" w:asciiTheme="majorEastAsia" w:hAnsiTheme="majorEastAsia" w:eastAsiaTheme="majorEastAsia"/>
          <w:b/>
          <w:bCs/>
          <w:sz w:val="28"/>
          <w:szCs w:val="28"/>
        </w:rPr>
        <w:t>六、与国内外同类标准相比较</w:t>
      </w:r>
      <w:bookmarkEnd w:id="4"/>
      <w:bookmarkStart w:id="6" w:name="_GoBack"/>
      <w:bookmarkEnd w:id="6"/>
    </w:p>
    <w:p>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目前国内未查到国家标准，也未见有同类的国外标准。</w:t>
      </w:r>
    </w:p>
    <w:p>
      <w:pPr>
        <w:spacing w:line="360" w:lineRule="auto"/>
        <w:rPr>
          <w:rFonts w:cs="仿宋_GB2312" w:asciiTheme="majorEastAsia" w:hAnsiTheme="majorEastAsia" w:eastAsiaTheme="majorEastAsia"/>
          <w:b/>
          <w:bCs/>
          <w:sz w:val="28"/>
          <w:szCs w:val="28"/>
        </w:rPr>
      </w:pPr>
      <w:bookmarkStart w:id="5" w:name="bookmark6"/>
      <w:r>
        <w:rPr>
          <w:rFonts w:hint="eastAsia" w:cs="仿宋_GB2312" w:asciiTheme="majorEastAsia" w:hAnsiTheme="majorEastAsia" w:eastAsiaTheme="majorEastAsia"/>
          <w:b/>
          <w:bCs/>
          <w:sz w:val="28"/>
          <w:szCs w:val="28"/>
        </w:rPr>
        <w:t>七、标准的评价</w:t>
      </w:r>
      <w:bookmarkEnd w:id="5"/>
    </w:p>
    <w:p>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标准的制定是综合生产厂家所执行的企业标准及征求客户厂家的意见基础上，结合市场需要提出本标准的技术内容。所设项目及指标，是结合实际生产工艺并考虑后续加工所需条件而确定。检验方法是采用我国通用试验方法。</w:t>
      </w:r>
    </w:p>
    <w:p>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本标准技术指标先进，达到当前国际先进水平，对国内各生产企业进一步提高产品质量起到了促进作用。</w:t>
      </w:r>
    </w:p>
    <w:p>
      <w:pPr>
        <w:spacing w:line="360" w:lineRule="auto"/>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八、贯彻企标的要求建议</w:t>
      </w:r>
    </w:p>
    <w:p>
      <w:pPr>
        <w:spacing w:line="360" w:lineRule="auto"/>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lang w:val="en-US"/>
        </w:rPr>
        <w:t xml:space="preserve">   希望生产该产品的企业按照本标准组织生产。</w:t>
      </w:r>
    </w:p>
    <w:p>
      <w:pPr>
        <w:spacing w:line="360" w:lineRule="auto"/>
        <w:rPr>
          <w:rFonts w:cs="仿宋_GB2312" w:asciiTheme="majorEastAsia" w:hAnsiTheme="majorEastAsia" w:eastAsiaTheme="majorEastAsia"/>
          <w:sz w:val="28"/>
          <w:szCs w:val="28"/>
        </w:rPr>
      </w:pPr>
    </w:p>
    <w:sectPr>
      <w:footerReference r:id="rId3" w:type="default"/>
      <w:type w:val="continuous"/>
      <w:pgSz w:w="11909" w:h="16834"/>
      <w:pgMar w:top="1807" w:right="1304" w:bottom="1627" w:left="1319"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08183"/>
    </w:sdtPr>
    <w:sdtContent>
      <w:p>
        <w:pPr>
          <w:pStyle w:val="5"/>
          <w:jc w:val="center"/>
        </w:pPr>
        <w:r>
          <w:fldChar w:fldCharType="begin"/>
        </w:r>
        <w:r>
          <w:instrText xml:space="preserve"> PAGE   \* MERGEFORMAT </w:instrText>
        </w:r>
        <w:r>
          <w:fldChar w:fldCharType="separate"/>
        </w:r>
        <w: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pStyle w:val="3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720"/>
  <w:drawingGridHorizontalSpacing w:val="181"/>
  <w:drawingGridVerticalSpacing w:val="181"/>
  <w:doNotShadeFormData w:val="1"/>
  <w:characterSpacingControl w:val="compressPunctuation"/>
  <w:doNotValidateAgainstSchema/>
  <w:doNotDemarcateInvalidXml/>
  <w:compat>
    <w:doNotExpandShiftReturn/>
    <w:useFELayout/>
    <w:compatSetting w:name="compatibilityMode" w:uri="http://schemas.microsoft.com/office/word" w:val="12"/>
  </w:compat>
  <w:rsids>
    <w:rsidRoot w:val="00555A66"/>
    <w:rsid w:val="00032C1E"/>
    <w:rsid w:val="00084829"/>
    <w:rsid w:val="00087D05"/>
    <w:rsid w:val="000A270D"/>
    <w:rsid w:val="000F0D03"/>
    <w:rsid w:val="000F549E"/>
    <w:rsid w:val="001552C6"/>
    <w:rsid w:val="001911C3"/>
    <w:rsid w:val="001B39F7"/>
    <w:rsid w:val="00227CBC"/>
    <w:rsid w:val="00234074"/>
    <w:rsid w:val="00245F5C"/>
    <w:rsid w:val="00246AEA"/>
    <w:rsid w:val="00274A48"/>
    <w:rsid w:val="002D3C75"/>
    <w:rsid w:val="002F7E90"/>
    <w:rsid w:val="00372D49"/>
    <w:rsid w:val="003B245B"/>
    <w:rsid w:val="003C63C5"/>
    <w:rsid w:val="00407B47"/>
    <w:rsid w:val="00412E76"/>
    <w:rsid w:val="00430D5B"/>
    <w:rsid w:val="0046775E"/>
    <w:rsid w:val="004D6E48"/>
    <w:rsid w:val="00516EB9"/>
    <w:rsid w:val="00555A66"/>
    <w:rsid w:val="005D5771"/>
    <w:rsid w:val="005E0472"/>
    <w:rsid w:val="006350A6"/>
    <w:rsid w:val="00673AA0"/>
    <w:rsid w:val="006C1835"/>
    <w:rsid w:val="00701665"/>
    <w:rsid w:val="00763942"/>
    <w:rsid w:val="007A69F2"/>
    <w:rsid w:val="007A769E"/>
    <w:rsid w:val="007C42F7"/>
    <w:rsid w:val="007D010D"/>
    <w:rsid w:val="008314AE"/>
    <w:rsid w:val="00856DEB"/>
    <w:rsid w:val="008D610F"/>
    <w:rsid w:val="008E00E3"/>
    <w:rsid w:val="009650F7"/>
    <w:rsid w:val="009821B7"/>
    <w:rsid w:val="0099236D"/>
    <w:rsid w:val="009C0302"/>
    <w:rsid w:val="009E602D"/>
    <w:rsid w:val="009F4EAC"/>
    <w:rsid w:val="00A044A6"/>
    <w:rsid w:val="00A215DF"/>
    <w:rsid w:val="00A23CB0"/>
    <w:rsid w:val="00AC359F"/>
    <w:rsid w:val="00AF38AA"/>
    <w:rsid w:val="00B0192C"/>
    <w:rsid w:val="00B07296"/>
    <w:rsid w:val="00B160F4"/>
    <w:rsid w:val="00B1629D"/>
    <w:rsid w:val="00B27A2E"/>
    <w:rsid w:val="00B31B3D"/>
    <w:rsid w:val="00B4196C"/>
    <w:rsid w:val="00B41AC5"/>
    <w:rsid w:val="00B5577B"/>
    <w:rsid w:val="00BF6139"/>
    <w:rsid w:val="00C05F68"/>
    <w:rsid w:val="00C352A1"/>
    <w:rsid w:val="00C4026E"/>
    <w:rsid w:val="00C438C2"/>
    <w:rsid w:val="00C43D19"/>
    <w:rsid w:val="00C76FAC"/>
    <w:rsid w:val="00C93660"/>
    <w:rsid w:val="00CB01AC"/>
    <w:rsid w:val="00CB0896"/>
    <w:rsid w:val="00CB24BB"/>
    <w:rsid w:val="00CB415C"/>
    <w:rsid w:val="00D25455"/>
    <w:rsid w:val="00D50158"/>
    <w:rsid w:val="00D915E5"/>
    <w:rsid w:val="00DA7EE0"/>
    <w:rsid w:val="00DC4F85"/>
    <w:rsid w:val="00DE1992"/>
    <w:rsid w:val="00E07F40"/>
    <w:rsid w:val="00E4253C"/>
    <w:rsid w:val="00EF4AFF"/>
    <w:rsid w:val="00EF7987"/>
    <w:rsid w:val="00F45C02"/>
    <w:rsid w:val="00F46B4C"/>
    <w:rsid w:val="00F50293"/>
    <w:rsid w:val="00FE6DF2"/>
    <w:rsid w:val="00FF0B72"/>
    <w:rsid w:val="0E8079E5"/>
    <w:rsid w:val="2A172D9D"/>
    <w:rsid w:val="37910FBB"/>
    <w:rsid w:val="37BD5302"/>
    <w:rsid w:val="3A6E6BA0"/>
    <w:rsid w:val="42B25D72"/>
    <w:rsid w:val="44787B8F"/>
    <w:rsid w:val="5CB5062A"/>
    <w:rsid w:val="705D51E2"/>
    <w:rsid w:val="7BD6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zh-CN" w:eastAsia="zh-CN" w:bidi="ar-SA"/>
    </w:rPr>
  </w:style>
  <w:style w:type="paragraph" w:styleId="2">
    <w:name w:val="heading 1"/>
    <w:basedOn w:val="1"/>
    <w:next w:val="1"/>
    <w:qFormat/>
    <w:uiPriority w:val="0"/>
    <w:pPr>
      <w:widowControl/>
      <w:spacing w:before="100" w:beforeAutospacing="1" w:after="100" w:afterAutospacing="1"/>
      <w:outlineLvl w:val="0"/>
    </w:pPr>
    <w:rPr>
      <w:rFonts w:ascii="宋体" w:hAnsi="宋体" w:cs="宋体"/>
      <w:b/>
      <w:bCs/>
      <w:color w:val="auto"/>
      <w:kern w:val="36"/>
      <w:sz w:val="48"/>
      <w:szCs w:val="48"/>
      <w:lang w:val="en-US"/>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7"/>
    <w:qFormat/>
    <w:uiPriority w:val="0"/>
    <w:pPr>
      <w:shd w:val="clear" w:color="auto" w:fill="FFFFFF"/>
      <w:spacing w:line="503" w:lineRule="exact"/>
      <w:jc w:val="distribute"/>
    </w:pPr>
    <w:rPr>
      <w:rFonts w:ascii="黑体" w:eastAsia="黑体" w:cs="黑体"/>
      <w:color w:val="auto"/>
      <w:spacing w:val="20"/>
      <w:sz w:val="22"/>
      <w:szCs w:val="22"/>
      <w:lang w:val="en-US"/>
    </w:rPr>
  </w:style>
  <w:style w:type="paragraph" w:styleId="4">
    <w:name w:val="Balloon Text"/>
    <w:basedOn w:val="1"/>
    <w:link w:val="38"/>
    <w:uiPriority w:val="0"/>
    <w:rPr>
      <w:sz w:val="18"/>
      <w:szCs w:val="18"/>
    </w:rPr>
  </w:style>
  <w:style w:type="paragraph" w:styleId="5">
    <w:name w:val="footer"/>
    <w:basedOn w:val="1"/>
    <w:link w:val="29"/>
    <w:qFormat/>
    <w:uiPriority w:val="99"/>
    <w:pPr>
      <w:tabs>
        <w:tab w:val="center" w:pos="4153"/>
        <w:tab w:val="right" w:pos="8306"/>
      </w:tabs>
      <w:snapToGrid w:val="0"/>
    </w:pPr>
    <w:rPr>
      <w:sz w:val="18"/>
      <w:szCs w:val="18"/>
    </w:rPr>
  </w:style>
  <w:style w:type="paragraph" w:styleId="6">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pPr>
    <w:rPr>
      <w:rFonts w:ascii="宋体" w:hAnsi="宋体" w:cs="宋体"/>
      <w:color w:val="auto"/>
      <w:lang w:val="en-US"/>
    </w:rPr>
  </w:style>
  <w:style w:type="character" w:styleId="10">
    <w:name w:val="Hyperlink"/>
    <w:basedOn w:val="9"/>
    <w:qFormat/>
    <w:uiPriority w:val="0"/>
    <w:rPr>
      <w:color w:val="000080"/>
      <w:u w:val="single"/>
    </w:rPr>
  </w:style>
  <w:style w:type="character" w:customStyle="1" w:styleId="11">
    <w:name w:val="标题 #2 + 9.5 pt"/>
    <w:basedOn w:val="12"/>
    <w:qFormat/>
    <w:uiPriority w:val="0"/>
    <w:rPr>
      <w:spacing w:val="30"/>
      <w:w w:val="60"/>
      <w:sz w:val="19"/>
      <w:szCs w:val="19"/>
    </w:rPr>
  </w:style>
  <w:style w:type="character" w:customStyle="1" w:styleId="12">
    <w:name w:val="标题 #2_"/>
    <w:basedOn w:val="9"/>
    <w:link w:val="13"/>
    <w:qFormat/>
    <w:uiPriority w:val="0"/>
    <w:rPr>
      <w:rFonts w:ascii="黑体" w:eastAsia="黑体" w:cs="黑体"/>
      <w:b/>
      <w:bCs/>
      <w:sz w:val="25"/>
      <w:szCs w:val="25"/>
      <w:u w:val="none"/>
    </w:rPr>
  </w:style>
  <w:style w:type="paragraph" w:customStyle="1" w:styleId="13">
    <w:name w:val="标题 #2"/>
    <w:basedOn w:val="1"/>
    <w:link w:val="12"/>
    <w:qFormat/>
    <w:uiPriority w:val="0"/>
    <w:pPr>
      <w:shd w:val="clear" w:color="auto" w:fill="FFFFFF"/>
      <w:spacing w:before="300" w:line="503" w:lineRule="exact"/>
      <w:outlineLvl w:val="1"/>
    </w:pPr>
    <w:rPr>
      <w:rFonts w:ascii="黑体" w:eastAsia="黑体" w:cs="黑体"/>
      <w:b/>
      <w:bCs/>
      <w:color w:val="auto"/>
      <w:sz w:val="25"/>
      <w:szCs w:val="25"/>
      <w:lang w:val="en-US"/>
    </w:rPr>
  </w:style>
  <w:style w:type="character" w:customStyle="1" w:styleId="14">
    <w:name w:val="标题 #1_"/>
    <w:basedOn w:val="9"/>
    <w:link w:val="15"/>
    <w:qFormat/>
    <w:uiPriority w:val="0"/>
    <w:rPr>
      <w:rFonts w:ascii="黑体" w:eastAsia="黑体" w:cs="黑体"/>
      <w:sz w:val="39"/>
      <w:szCs w:val="39"/>
      <w:u w:val="none"/>
    </w:rPr>
  </w:style>
  <w:style w:type="paragraph" w:customStyle="1" w:styleId="15">
    <w:name w:val="标题 #1"/>
    <w:basedOn w:val="1"/>
    <w:link w:val="14"/>
    <w:qFormat/>
    <w:uiPriority w:val="0"/>
    <w:pPr>
      <w:shd w:val="clear" w:color="auto" w:fill="FFFFFF"/>
      <w:spacing w:after="300" w:line="240" w:lineRule="atLeast"/>
      <w:outlineLvl w:val="0"/>
    </w:pPr>
    <w:rPr>
      <w:rFonts w:ascii="黑体" w:eastAsia="黑体" w:cs="黑体"/>
      <w:color w:val="auto"/>
      <w:sz w:val="39"/>
      <w:szCs w:val="39"/>
      <w:lang w:val="en-US"/>
    </w:rPr>
  </w:style>
  <w:style w:type="character" w:customStyle="1" w:styleId="16">
    <w:name w:val="标题 #1 + Times New Roman"/>
    <w:basedOn w:val="14"/>
    <w:qFormat/>
    <w:uiPriority w:val="0"/>
    <w:rPr>
      <w:rFonts w:ascii="Times New Roman" w:hAnsi="Times New Roman" w:cs="Times New Roman"/>
      <w:sz w:val="40"/>
      <w:szCs w:val="40"/>
      <w:lang w:val="en-US" w:eastAsia="zh-CN"/>
    </w:rPr>
  </w:style>
  <w:style w:type="character" w:customStyle="1" w:styleId="17">
    <w:name w:val="正文文本 Char"/>
    <w:basedOn w:val="9"/>
    <w:link w:val="3"/>
    <w:qFormat/>
    <w:uiPriority w:val="0"/>
    <w:rPr>
      <w:rFonts w:ascii="黑体" w:eastAsia="黑体" w:cs="黑体"/>
      <w:spacing w:val="20"/>
      <w:sz w:val="22"/>
      <w:szCs w:val="22"/>
      <w:u w:val="none"/>
    </w:rPr>
  </w:style>
  <w:style w:type="character" w:customStyle="1" w:styleId="18">
    <w:name w:val="正文文本 + Times New Roman"/>
    <w:basedOn w:val="17"/>
    <w:qFormat/>
    <w:uiPriority w:val="0"/>
    <w:rPr>
      <w:rFonts w:ascii="Times New Roman" w:hAnsi="Times New Roman" w:cs="Times New Roman"/>
      <w:sz w:val="21"/>
      <w:szCs w:val="21"/>
    </w:rPr>
  </w:style>
  <w:style w:type="character" w:customStyle="1" w:styleId="19">
    <w:name w:val="正文文本 + 间距 0 pt"/>
    <w:basedOn w:val="17"/>
    <w:qFormat/>
    <w:uiPriority w:val="0"/>
    <w:rPr>
      <w:spacing w:val="-10"/>
    </w:rPr>
  </w:style>
  <w:style w:type="character" w:customStyle="1" w:styleId="20">
    <w:name w:val="标题 #2 (2)_"/>
    <w:basedOn w:val="9"/>
    <w:link w:val="21"/>
    <w:qFormat/>
    <w:uiPriority w:val="0"/>
    <w:rPr>
      <w:rFonts w:ascii="黑体" w:eastAsia="黑体" w:cs="黑体"/>
      <w:sz w:val="25"/>
      <w:szCs w:val="25"/>
      <w:u w:val="none"/>
    </w:rPr>
  </w:style>
  <w:style w:type="paragraph" w:customStyle="1" w:styleId="21">
    <w:name w:val="标题 #2 (2)1"/>
    <w:basedOn w:val="1"/>
    <w:link w:val="20"/>
    <w:qFormat/>
    <w:uiPriority w:val="0"/>
    <w:pPr>
      <w:shd w:val="clear" w:color="auto" w:fill="FFFFFF"/>
      <w:spacing w:line="503" w:lineRule="exact"/>
      <w:outlineLvl w:val="1"/>
    </w:pPr>
    <w:rPr>
      <w:rFonts w:ascii="黑体" w:eastAsia="黑体" w:cs="黑体"/>
      <w:color w:val="auto"/>
      <w:sz w:val="25"/>
      <w:szCs w:val="25"/>
      <w:lang w:val="en-US"/>
    </w:rPr>
  </w:style>
  <w:style w:type="character" w:customStyle="1" w:styleId="22">
    <w:name w:val="标题 #2 (2)"/>
    <w:basedOn w:val="20"/>
    <w:qFormat/>
    <w:uiPriority w:val="0"/>
  </w:style>
  <w:style w:type="character" w:customStyle="1" w:styleId="23">
    <w:name w:val="正文文本 + 间距 2 pt"/>
    <w:basedOn w:val="17"/>
    <w:qFormat/>
    <w:uiPriority w:val="0"/>
    <w:rPr>
      <w:spacing w:val="50"/>
    </w:rPr>
  </w:style>
  <w:style w:type="character" w:customStyle="1" w:styleId="24">
    <w:name w:val="正文文本 + Times New Roman1"/>
    <w:basedOn w:val="17"/>
    <w:qFormat/>
    <w:uiPriority w:val="0"/>
    <w:rPr>
      <w:rFonts w:ascii="Times New Roman" w:hAnsi="Times New Roman" w:cs="Times New Roman"/>
      <w:spacing w:val="50"/>
      <w:sz w:val="21"/>
      <w:szCs w:val="21"/>
    </w:rPr>
  </w:style>
  <w:style w:type="character" w:customStyle="1" w:styleId="25">
    <w:name w:val="正文文本 (2)_"/>
    <w:basedOn w:val="9"/>
    <w:link w:val="26"/>
    <w:qFormat/>
    <w:uiPriority w:val="0"/>
    <w:rPr>
      <w:rFonts w:ascii="黑体" w:eastAsia="黑体" w:cs="黑体"/>
      <w:b/>
      <w:bCs/>
      <w:sz w:val="25"/>
      <w:szCs w:val="25"/>
      <w:u w:val="none"/>
    </w:rPr>
  </w:style>
  <w:style w:type="paragraph" w:customStyle="1" w:styleId="26">
    <w:name w:val="正文文本 (2)"/>
    <w:basedOn w:val="1"/>
    <w:link w:val="25"/>
    <w:qFormat/>
    <w:uiPriority w:val="0"/>
    <w:pPr>
      <w:shd w:val="clear" w:color="auto" w:fill="FFFFFF"/>
      <w:spacing w:line="510" w:lineRule="exact"/>
      <w:jc w:val="distribute"/>
    </w:pPr>
    <w:rPr>
      <w:rFonts w:ascii="黑体" w:eastAsia="黑体" w:cs="黑体"/>
      <w:b/>
      <w:bCs/>
      <w:color w:val="auto"/>
      <w:sz w:val="25"/>
      <w:szCs w:val="25"/>
      <w:lang w:val="en-US"/>
    </w:rPr>
  </w:style>
  <w:style w:type="character" w:customStyle="1" w:styleId="27">
    <w:name w:val="正文文本 + 15.5 pt"/>
    <w:basedOn w:val="17"/>
    <w:qFormat/>
    <w:uiPriority w:val="0"/>
    <w:rPr>
      <w:spacing w:val="0"/>
      <w:w w:val="66"/>
      <w:sz w:val="31"/>
      <w:szCs w:val="31"/>
    </w:rPr>
  </w:style>
  <w:style w:type="character" w:customStyle="1" w:styleId="28">
    <w:name w:val="页眉 Char"/>
    <w:basedOn w:val="9"/>
    <w:link w:val="6"/>
    <w:qFormat/>
    <w:uiPriority w:val="0"/>
    <w:rPr>
      <w:color w:val="000000"/>
      <w:sz w:val="18"/>
      <w:szCs w:val="18"/>
      <w:lang w:val="zh-CN"/>
    </w:rPr>
  </w:style>
  <w:style w:type="character" w:customStyle="1" w:styleId="29">
    <w:name w:val="页脚 Char"/>
    <w:basedOn w:val="9"/>
    <w:link w:val="5"/>
    <w:qFormat/>
    <w:uiPriority w:val="99"/>
    <w:rPr>
      <w:color w:val="000000"/>
      <w:sz w:val="18"/>
      <w:szCs w:val="18"/>
      <w:lang w:val="zh-CN"/>
    </w:rPr>
  </w:style>
  <w:style w:type="paragraph" w:customStyle="1" w:styleId="30">
    <w:name w:val="段"/>
    <w:link w:val="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段 Char"/>
    <w:basedOn w:val="9"/>
    <w:link w:val="30"/>
    <w:qFormat/>
    <w:uiPriority w:val="0"/>
    <w:rPr>
      <w:rFonts w:ascii="宋体" w:hAnsi="Times New Roman" w:cs="Times New Roman"/>
      <w:sz w:val="21"/>
    </w:rPr>
  </w:style>
  <w:style w:type="character" w:customStyle="1" w:styleId="32">
    <w:name w:val="apple-converted-space"/>
    <w:basedOn w:val="9"/>
    <w:qFormat/>
    <w:uiPriority w:val="0"/>
  </w:style>
  <w:style w:type="paragraph" w:customStyle="1" w:styleId="33">
    <w:name w:val="一级条标题"/>
    <w:next w:val="30"/>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4">
    <w:name w:val="章标题"/>
    <w:next w:val="3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5">
    <w:name w:val="二级条标题"/>
    <w:basedOn w:val="33"/>
    <w:next w:val="30"/>
    <w:qFormat/>
    <w:uiPriority w:val="0"/>
    <w:pPr>
      <w:numPr>
        <w:ilvl w:val="2"/>
      </w:numPr>
      <w:spacing w:before="50" w:after="50"/>
      <w:outlineLvl w:val="3"/>
    </w:pPr>
  </w:style>
  <w:style w:type="paragraph" w:customStyle="1" w:styleId="36">
    <w:name w:val="四级条标题"/>
    <w:basedOn w:val="1"/>
    <w:next w:val="30"/>
    <w:qFormat/>
    <w:uiPriority w:val="0"/>
    <w:pPr>
      <w:widowControl/>
      <w:numPr>
        <w:ilvl w:val="4"/>
        <w:numId w:val="1"/>
      </w:numPr>
      <w:spacing w:beforeLines="50" w:afterLines="50"/>
      <w:outlineLvl w:val="5"/>
    </w:pPr>
    <w:rPr>
      <w:rFonts w:ascii="黑体" w:hAnsi="Times New Roman" w:eastAsia="黑体" w:cs="Times New Roman"/>
      <w:color w:val="auto"/>
      <w:sz w:val="21"/>
      <w:szCs w:val="21"/>
      <w:lang w:val="en-US"/>
    </w:rPr>
  </w:style>
  <w:style w:type="paragraph" w:customStyle="1" w:styleId="37">
    <w:name w:val="五级条标题"/>
    <w:basedOn w:val="36"/>
    <w:next w:val="30"/>
    <w:qFormat/>
    <w:uiPriority w:val="0"/>
    <w:pPr>
      <w:numPr>
        <w:ilvl w:val="5"/>
      </w:numPr>
      <w:outlineLvl w:val="6"/>
    </w:pPr>
  </w:style>
  <w:style w:type="character" w:customStyle="1" w:styleId="38">
    <w:name w:val="批注框文本 Char"/>
    <w:basedOn w:val="9"/>
    <w:link w:val="4"/>
    <w:uiPriority w:val="0"/>
    <w:rPr>
      <w:rFonts w:ascii="Courier New" w:hAnsi="Courier New" w:cs="Courier New"/>
      <w:color w:val="000000"/>
      <w:sz w:val="18"/>
      <w:szCs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465</Words>
  <Characters>2652</Characters>
  <Lines>22</Lines>
  <Paragraphs>6</Paragraphs>
  <TotalTime>20</TotalTime>
  <ScaleCrop>false</ScaleCrop>
  <LinksUpToDate>false</LinksUpToDate>
  <CharactersWithSpaces>3111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2017-10-11T08:29:00Z</dcterms:created>
  <dc:creator>微软用户</dc:creator>
  <cp:lastModifiedBy>lgl</cp:lastModifiedBy>
  <dcterms:modified xsi:type="dcterms:W3CDTF">2021-07-06T02:43:57Z</dcterms:modified>
  <dc:title>《镍氢电池负极材料用化3型贮氢合金粉》编制说明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