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F08F" w14:textId="123193CB" w:rsidR="005A6F0A" w:rsidRPr="0061121B" w:rsidRDefault="005A6F0A" w:rsidP="0061121B">
      <w:pPr>
        <w:adjustRightInd w:val="0"/>
        <w:snapToGrid w:val="0"/>
        <w:spacing w:line="500" w:lineRule="exact"/>
        <w:jc w:val="center"/>
        <w:rPr>
          <w:rFonts w:ascii="Times New Roman" w:eastAsia="仿宋_GB2312" w:hAnsi="Times New Roman" w:cs="仿宋_GB2312"/>
          <w:b/>
          <w:bCs/>
          <w:kern w:val="0"/>
          <w:sz w:val="32"/>
          <w:szCs w:val="32"/>
        </w:rPr>
      </w:pPr>
      <w:bookmarkStart w:id="0" w:name="_Toc481651147"/>
      <w:r w:rsidRPr="0061121B">
        <w:rPr>
          <w:rFonts w:ascii="Times New Roman" w:eastAsia="仿宋_GB2312" w:hAnsi="Times New Roman" w:cs="仿宋_GB2312"/>
          <w:b/>
          <w:bCs/>
          <w:kern w:val="0"/>
          <w:sz w:val="32"/>
          <w:szCs w:val="32"/>
        </w:rPr>
        <w:t>《</w:t>
      </w:r>
      <w:r w:rsidR="006B7301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“</w:t>
      </w:r>
      <w:r w:rsidR="0061121B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领跑者”标准</w:t>
      </w:r>
      <w:r w:rsidR="006C7864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评价要求</w:t>
      </w:r>
      <w:r w:rsidR="006C7864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 xml:space="preserve"> </w:t>
      </w:r>
      <w:r w:rsidR="00D53F1E"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弹簧扁钢</w:t>
      </w:r>
      <w:r w:rsidRPr="0061121B">
        <w:rPr>
          <w:rFonts w:ascii="Times New Roman" w:eastAsia="仿宋_GB2312" w:hAnsi="Times New Roman" w:cs="仿宋_GB2312"/>
          <w:b/>
          <w:bCs/>
          <w:kern w:val="0"/>
          <w:sz w:val="32"/>
          <w:szCs w:val="32"/>
        </w:rPr>
        <w:t>》团体标准编制说明</w:t>
      </w:r>
    </w:p>
    <w:p w14:paraId="5289704B" w14:textId="77777777" w:rsidR="00061866" w:rsidRPr="00061866" w:rsidRDefault="00061866" w:rsidP="00027A9C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bookmarkEnd w:id="0"/>
    <w:p w14:paraId="7DA5DEFC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一、任务来源</w:t>
      </w:r>
    </w:p>
    <w:p w14:paraId="5F685F68" w14:textId="719951E2" w:rsidR="005A6F0A" w:rsidRPr="005A6F0A" w:rsidRDefault="0061121B" w:rsidP="005A6F0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94208">
        <w:rPr>
          <w:rFonts w:ascii="Times New Roman" w:eastAsia="仿宋_GB2312" w:hAnsi="Times New Roman" w:cs="仿宋_GB2312" w:hint="eastAsia"/>
          <w:sz w:val="28"/>
          <w:szCs w:val="28"/>
        </w:rPr>
        <w:t>本标准由</w:t>
      </w:r>
      <w:r w:rsidRPr="00694208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中国特钢企业协会</w:t>
      </w:r>
      <w:r w:rsidRPr="00694208">
        <w:rPr>
          <w:rFonts w:ascii="Times New Roman" w:eastAsia="仿宋_GB2312" w:hAnsi="Times New Roman" w:cs="仿宋_GB2312" w:hint="eastAsia"/>
          <w:sz w:val="28"/>
          <w:szCs w:val="28"/>
        </w:rPr>
        <w:t>提出并归口，冶金工业规划研究院作为标准组织协调单位。</w:t>
      </w:r>
      <w:r w:rsidRPr="00694208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根据中国特钢企业协会团体标准化工作委员会</w:t>
      </w:r>
      <w:r w:rsidRPr="00694208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694208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年第</w:t>
      </w:r>
      <w:r w:rsidR="00312EDE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二</w:t>
      </w:r>
      <w:r w:rsidRPr="00694208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批团体标准制修订计划，由冶金工业规划研究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院</w:t>
      </w:r>
      <w:r w:rsidRPr="00694208">
        <w:rPr>
          <w:rFonts w:ascii="Times New Roman" w:eastAsia="仿宋_GB2312" w:hAnsi="Times New Roman" w:cs="仿宋_GB2312" w:hint="eastAsia"/>
          <w:kern w:val="0"/>
          <w:sz w:val="28"/>
          <w:szCs w:val="28"/>
        </w:rPr>
        <w:t>起草</w:t>
      </w:r>
      <w:r w:rsidRPr="00694208">
        <w:rPr>
          <w:rFonts w:ascii="Times New Roman" w:eastAsia="仿宋_GB2312" w:hAnsi="Times New Roman" w:cs="仿宋_GB2312" w:hint="eastAsia"/>
          <w:sz w:val="28"/>
          <w:szCs w:val="28"/>
        </w:rPr>
        <w:t>，计划于</w:t>
      </w:r>
      <w:r w:rsidRPr="00694208">
        <w:rPr>
          <w:rFonts w:ascii="Times New Roman" w:eastAsia="仿宋_GB2312" w:hAnsi="Times New Roman" w:cs="Times New Roman"/>
          <w:sz w:val="28"/>
          <w:szCs w:val="28"/>
        </w:rPr>
        <w:t>20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694208">
        <w:rPr>
          <w:rFonts w:ascii="Times New Roman" w:eastAsia="仿宋_GB2312" w:hAnsi="Times New Roman" w:cs="仿宋_GB2312" w:hint="eastAsia"/>
          <w:sz w:val="28"/>
          <w:szCs w:val="28"/>
        </w:rPr>
        <w:t>年完成《</w:t>
      </w:r>
      <w:r w:rsidR="008458F0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“</w:t>
      </w:r>
      <w:r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领跑者”标准</w:t>
      </w:r>
      <w:r w:rsidR="006C7864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评价要求</w:t>
      </w:r>
      <w:r w:rsidR="006C7864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 xml:space="preserve"> </w:t>
      </w:r>
      <w:r w:rsidR="00D53F1E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弹簧扁钢</w:t>
      </w:r>
      <w:r w:rsidRPr="00694208">
        <w:rPr>
          <w:rFonts w:ascii="Times New Roman" w:eastAsia="仿宋_GB2312" w:hAnsi="Times New Roman" w:cs="仿宋_GB2312" w:hint="eastAsia"/>
          <w:sz w:val="28"/>
          <w:szCs w:val="28"/>
        </w:rPr>
        <w:t>》标准的制定工作。</w:t>
      </w:r>
    </w:p>
    <w:p w14:paraId="42210E58" w14:textId="77777777" w:rsidR="005A6F0A" w:rsidRPr="00553213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53213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二、制定本标准的目的和意义</w:t>
      </w:r>
    </w:p>
    <w:p w14:paraId="40E1C516" w14:textId="77777777" w:rsidR="00D53F1E" w:rsidRPr="00D53F1E" w:rsidRDefault="00D53F1E" w:rsidP="00D53F1E">
      <w:pPr>
        <w:spacing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D53F1E">
        <w:rPr>
          <w:rFonts w:ascii="Times New Roman" w:eastAsia="仿宋" w:hAnsi="Times New Roman" w:cs="Times New Roman" w:hint="eastAsia"/>
          <w:sz w:val="28"/>
          <w:szCs w:val="28"/>
        </w:rPr>
        <w:t>钢板弹簧是汽车悬架中应用最广泛的一种弹性元件，用于承受车轮对车架的载荷冲击，其质量的好坏直接决定了汽车是否能安全、平稳的运行，因此钢板弹簧对其原料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热轧弹簧扁钢的质量提出了较高要求。目前国内生产弹簧扁钢的企业较多，根据不同车辆用途、不同汽车及零部件生产企业要求、钢铁生产企业技术特点，弹簧扁钢的化学成分要求、尺寸外形精度、力学性能、淬透性、低倍组织、非金属夹杂物、脱碳层、晶粒度、表面质量等要求不尽相同，市场对现有企业标准水平进行评价的需求十分迫切。</w:t>
      </w:r>
    </w:p>
    <w:p w14:paraId="3052B64F" w14:textId="77777777" w:rsidR="00D53F1E" w:rsidRPr="00D53F1E" w:rsidRDefault="00D53F1E" w:rsidP="00D53F1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53F1E">
        <w:rPr>
          <w:rFonts w:ascii="Times New Roman" w:eastAsia="仿宋" w:hAnsi="Times New Roman" w:cs="Times New Roman" w:hint="eastAsia"/>
          <w:sz w:val="28"/>
          <w:szCs w:val="28"/>
        </w:rPr>
        <w:t>放开搞活企业标准是标准化改革的重大举措。《标准化法》要求企业标准不得低于强制性标准，鼓励企业制定高于推荐性标准的企业标准，并提出支持利用自主创新技术制定企业标准。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2018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年，市场监管总局等八部委发布《关于实施企业标准“领跑者”制度的意见》（国市监标准〔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2018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〕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84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t>号）提出以企业标准自我声明公开为基</w:t>
      </w:r>
      <w:r w:rsidRPr="00D53F1E">
        <w:rPr>
          <w:rFonts w:ascii="Times New Roman" w:eastAsia="仿宋" w:hAnsi="Times New Roman" w:cs="Times New Roman" w:hint="eastAsia"/>
          <w:sz w:val="28"/>
          <w:szCs w:val="28"/>
        </w:rPr>
        <w:lastRenderedPageBreak/>
        <w:t>础，建立实施企业标准“领跑者”制度。该制度通过调动第三方评估机构，针对消费品、装备制造和服务三个领域中的不同产品和服务类别，开展企业标准水平评估以及产品或服务质量评价，发布企业标准排行榜，确定企业标准“领跑者”。</w:t>
      </w:r>
    </w:p>
    <w:p w14:paraId="32E80997" w14:textId="7028BBF4" w:rsidR="005A6F0A" w:rsidRPr="004276C7" w:rsidRDefault="00D53F1E" w:rsidP="00D53F1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53F1E">
        <w:rPr>
          <w:rFonts w:ascii="Times New Roman" w:eastAsia="仿宋" w:hAnsi="Times New Roman" w:cs="Times New Roman" w:hint="eastAsia"/>
          <w:sz w:val="28"/>
          <w:szCs w:val="28"/>
        </w:rPr>
        <w:t>为切实发挥企业标准对质量提升的引领作用，本项目制定弹簧扁钢产品领跑者标准评价技术要求，用以指导相关机构制定企业标准“领跑者”评估方案和相关生产企业制定企业标准</w:t>
      </w:r>
      <w:r w:rsidR="005A6F0A" w:rsidRPr="004276C7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AC4A2ED" w14:textId="77777777" w:rsidR="005A6F0A" w:rsidRPr="004276C7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276C7">
        <w:rPr>
          <w:rFonts w:ascii="Times New Roman" w:eastAsia="仿宋_GB2312" w:hAnsi="Times New Roman" w:cs="Times New Roman"/>
          <w:sz w:val="28"/>
          <w:szCs w:val="28"/>
        </w:rPr>
        <w:t>主要编制过程如下：</w:t>
      </w:r>
    </w:p>
    <w:p w14:paraId="34AB1300" w14:textId="4F5A540F" w:rsidR="000F4EDD" w:rsidRPr="004276C7" w:rsidRDefault="000F4EDD" w:rsidP="000F4ED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2D6E47"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月，中国特钢企业协会团体标准化工作委员会（以下简称团标委）秘书处给各位委员发出团体标准立项函审单。到立项函审截止日期，没有委员提出不同意见。</w:t>
      </w:r>
    </w:p>
    <w:p w14:paraId="2204A39F" w14:textId="366B68F9" w:rsidR="000F4EDD" w:rsidRPr="004276C7" w:rsidRDefault="000F4EDD" w:rsidP="000F4ED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2D6E47"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月，团标委正式下达《</w:t>
      </w:r>
      <w:r w:rsidR="006B7301">
        <w:rPr>
          <w:rFonts w:ascii="Times New Roman" w:eastAsia="仿宋_GB2312" w:hAnsi="Times New Roman" w:cs="Times New Roman" w:hint="eastAsia"/>
          <w:sz w:val="28"/>
          <w:szCs w:val="28"/>
        </w:rPr>
        <w:t>“领跑者”</w:t>
      </w:r>
      <w:r w:rsidR="0061121B">
        <w:rPr>
          <w:rFonts w:ascii="Times New Roman" w:eastAsia="仿宋_GB2312" w:hAnsi="Times New Roman" w:cs="Times New Roman" w:hint="eastAsia"/>
          <w:sz w:val="28"/>
          <w:szCs w:val="28"/>
        </w:rPr>
        <w:t>标准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弹簧扁钢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》团体标准立项计划</w:t>
      </w:r>
      <w:r w:rsidR="00320B80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320B80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="00320B80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320B80">
        <w:rPr>
          <w:rFonts w:ascii="Times New Roman" w:eastAsia="仿宋_GB2312" w:hAnsi="Times New Roman" w:cs="Times New Roman"/>
          <w:sz w:val="28"/>
          <w:szCs w:val="28"/>
        </w:rPr>
        <w:t>第</w:t>
      </w:r>
      <w:r w:rsidR="00312EDE">
        <w:rPr>
          <w:rFonts w:ascii="Times New Roman" w:eastAsia="仿宋_GB2312" w:hAnsi="Times New Roman" w:cs="Times New Roman" w:hint="eastAsia"/>
          <w:sz w:val="28"/>
          <w:szCs w:val="28"/>
        </w:rPr>
        <w:t>二</w:t>
      </w:r>
      <w:r w:rsidR="00320B80">
        <w:rPr>
          <w:rFonts w:ascii="Times New Roman" w:eastAsia="仿宋_GB2312" w:hAnsi="Times New Roman" w:cs="Times New Roman"/>
          <w:sz w:val="28"/>
          <w:szCs w:val="28"/>
        </w:rPr>
        <w:t>批</w:t>
      </w:r>
      <w:r w:rsidR="00320B80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。团体标准立项后，</w:t>
      </w:r>
      <w:r w:rsidR="00B1546B" w:rsidRPr="00D31E2E">
        <w:rPr>
          <w:rFonts w:ascii="Times New Roman" w:eastAsia="仿宋" w:hAnsi="Times New Roman" w:cs="Times New Roman" w:hint="eastAsia"/>
          <w:sz w:val="28"/>
          <w:szCs w:val="28"/>
        </w:rPr>
        <w:t>冶金工业规划研究院</w:t>
      </w:r>
      <w:r w:rsidRPr="004276C7">
        <w:rPr>
          <w:rFonts w:ascii="Times New Roman" w:eastAsia="仿宋_GB2312" w:hAnsi="Times New Roman" w:cs="Times New Roman" w:hint="eastAsia"/>
          <w:sz w:val="28"/>
          <w:szCs w:val="28"/>
        </w:rPr>
        <w:t>相关人员组成标准起草组，提出了标准编制计划和任务分工，并开始标准编制工作。</w:t>
      </w:r>
    </w:p>
    <w:p w14:paraId="2705BC37" w14:textId="0C80C591" w:rsidR="00EE64D6" w:rsidRDefault="002D6E47" w:rsidP="0010482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="00EE64D6" w:rsidRPr="004276C7">
        <w:rPr>
          <w:rFonts w:ascii="Times New Roman" w:eastAsia="仿宋_GB2312" w:hAnsi="Times New Roman" w:cs="Times New Roman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6</w:t>
      </w:r>
      <w:r w:rsidR="00EE64D6" w:rsidRPr="004276C7">
        <w:rPr>
          <w:rFonts w:ascii="Times New Roman" w:eastAsia="仿宋_GB2312" w:hAnsi="Times New Roman" w:cs="Times New Roman"/>
          <w:sz w:val="28"/>
          <w:szCs w:val="28"/>
        </w:rPr>
        <w:t>月：形成征求意见稿并发出征求意见。</w:t>
      </w:r>
    </w:p>
    <w:p w14:paraId="22125F53" w14:textId="09FBA0E6" w:rsidR="007117FA" w:rsidRPr="007B7A9A" w:rsidRDefault="007117FA" w:rsidP="007117FA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7B7A9A">
        <w:rPr>
          <w:rFonts w:ascii="Times New Roman" w:eastAsia="仿宋_GB2312" w:hAnsi="Times New Roman" w:cs="Times New Roman"/>
          <w:sz w:val="28"/>
          <w:szCs w:val="28"/>
        </w:rPr>
        <w:t>20</w:t>
      </w:r>
      <w:r w:rsidR="00B1546B"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月：完成征求意见处理、形成标准送审稿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5DFC8B9" w14:textId="23553622" w:rsidR="007117FA" w:rsidRPr="007B7A9A" w:rsidRDefault="007117FA" w:rsidP="007117FA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7B7A9A">
        <w:rPr>
          <w:rFonts w:ascii="Times New Roman" w:eastAsia="仿宋_GB2312" w:hAnsi="Times New Roman" w:cs="Times New Roman"/>
          <w:sz w:val="28"/>
          <w:szCs w:val="28"/>
        </w:rPr>
        <w:t>20</w:t>
      </w:r>
      <w:r w:rsidR="00B1546B"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月：完成该标准审定会和标准报批稿，上报</w:t>
      </w:r>
      <w:r w:rsidRPr="007B7A9A">
        <w:rPr>
          <w:rFonts w:ascii="Times New Roman" w:eastAsia="仿宋_GB2312" w:hAnsi="Times New Roman" w:cs="Times New Roman" w:hint="eastAsia"/>
          <w:sz w:val="28"/>
          <w:szCs w:val="28"/>
        </w:rPr>
        <w:t>中国特钢企业协会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审批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5242551" w14:textId="160E32B4" w:rsidR="007117FA" w:rsidRPr="007117FA" w:rsidRDefault="007117FA" w:rsidP="007117FA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7B7A9A">
        <w:rPr>
          <w:rFonts w:ascii="Times New Roman" w:eastAsia="仿宋_GB2312" w:hAnsi="Times New Roman" w:cs="Times New Roman"/>
          <w:sz w:val="28"/>
          <w:szCs w:val="28"/>
        </w:rPr>
        <w:t>20</w:t>
      </w:r>
      <w:r w:rsidR="006C2C1A">
        <w:rPr>
          <w:rFonts w:ascii="Times New Roman" w:eastAsia="仿宋_GB2312" w:hAnsi="Times New Roman" w:cs="Times New Roman"/>
          <w:sz w:val="28"/>
          <w:szCs w:val="28"/>
        </w:rPr>
        <w:t>2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1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年</w:t>
      </w:r>
      <w:r w:rsidR="00312EDE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7B7A9A">
        <w:rPr>
          <w:rFonts w:ascii="Times New Roman" w:eastAsia="仿宋_GB2312" w:hAnsi="Times New Roman" w:cs="Times New Roman"/>
          <w:sz w:val="28"/>
          <w:szCs w:val="28"/>
        </w:rPr>
        <w:t>月：完成该标准发布、实施。</w:t>
      </w:r>
    </w:p>
    <w:p w14:paraId="36B87289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四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、标准编制原则</w:t>
      </w:r>
    </w:p>
    <w:p w14:paraId="5D0ED100" w14:textId="77777777" w:rsidR="00543C4F" w:rsidRPr="00543C4F" w:rsidRDefault="00543C4F" w:rsidP="00543C4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543C4F">
        <w:rPr>
          <w:rFonts w:ascii="Times New Roman" w:eastAsia="仿宋_GB2312" w:hAnsi="Times New Roman" w:cs="Times New Roman" w:hint="eastAsia"/>
          <w:sz w:val="28"/>
          <w:szCs w:val="28"/>
        </w:rPr>
        <w:t>本标准根据</w:t>
      </w:r>
      <w:r w:rsidR="00A6585D" w:rsidRPr="00A6585D">
        <w:rPr>
          <w:rFonts w:ascii="Times New Roman" w:eastAsia="仿宋_GB2312" w:hAnsi="Times New Roman" w:cs="Times New Roman"/>
          <w:sz w:val="28"/>
          <w:szCs w:val="28"/>
        </w:rPr>
        <w:t>T/CAQP 015 T/ESF 0001</w:t>
      </w:r>
      <w:r w:rsidR="00A6585D">
        <w:rPr>
          <w:rFonts w:ascii="Times New Roman" w:eastAsia="仿宋_GB2312" w:hAnsi="Times New Roman" w:cs="Times New Roman" w:hint="eastAsia"/>
          <w:sz w:val="28"/>
          <w:szCs w:val="28"/>
        </w:rPr>
        <w:t>《</w:t>
      </w:r>
      <w:r w:rsidR="00A6585D" w:rsidRPr="00543C4F">
        <w:rPr>
          <w:rFonts w:ascii="Times New Roman" w:eastAsia="仿宋_GB2312" w:hAnsi="Times New Roman" w:cs="Times New Roman" w:hint="eastAsia"/>
          <w:sz w:val="28"/>
          <w:szCs w:val="28"/>
        </w:rPr>
        <w:t>“领跑者”标准编制通则</w:t>
      </w:r>
      <w:r w:rsidR="00A6585D">
        <w:rPr>
          <w:rFonts w:ascii="Times New Roman" w:eastAsia="仿宋_GB2312" w:hAnsi="Times New Roman" w:cs="Times New Roman" w:hint="eastAsia"/>
          <w:sz w:val="28"/>
          <w:szCs w:val="28"/>
        </w:rPr>
        <w:t>》</w:t>
      </w:r>
      <w:r w:rsidRPr="00543C4F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进行编制。</w:t>
      </w:r>
    </w:p>
    <w:p w14:paraId="1C74E809" w14:textId="0AD5945D" w:rsidR="00543C4F" w:rsidRDefault="00543C4F" w:rsidP="00543C4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543C4F">
        <w:rPr>
          <w:rFonts w:ascii="Times New Roman" w:eastAsia="仿宋_GB2312" w:hAnsi="Times New Roman" w:cs="Times New Roman" w:hint="eastAsia"/>
          <w:sz w:val="28"/>
          <w:szCs w:val="28"/>
        </w:rPr>
        <w:t>《“领跑者”标准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弹簧扁钢</w:t>
      </w:r>
      <w:r w:rsidRPr="00543C4F">
        <w:rPr>
          <w:rFonts w:ascii="Times New Roman" w:eastAsia="仿宋_GB2312" w:hAnsi="Times New Roman" w:cs="Times New Roman" w:hint="eastAsia"/>
          <w:sz w:val="28"/>
          <w:szCs w:val="28"/>
        </w:rPr>
        <w:t>》标准编制所参考的依据为国家有关法律法规以及强制性标准要求、国家及行业产品或服务标准、国内或国际先进产品标准等。</w:t>
      </w:r>
    </w:p>
    <w:p w14:paraId="4BF65E7C" w14:textId="77777777" w:rsidR="005A6F0A" w:rsidRPr="005A6F0A" w:rsidRDefault="005A6F0A" w:rsidP="00543C4F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五、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主要技术内容</w:t>
      </w:r>
    </w:p>
    <w:p w14:paraId="4593A43F" w14:textId="77777777" w:rsidR="005A6F0A" w:rsidRPr="005A6F0A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（一）</w:t>
      </w:r>
      <w:r w:rsidRPr="005A6F0A">
        <w:rPr>
          <w:rFonts w:ascii="Times New Roman" w:eastAsia="仿宋_GB2312" w:hAnsi="Times New Roman" w:cs="Times New Roman"/>
          <w:sz w:val="28"/>
          <w:szCs w:val="28"/>
        </w:rPr>
        <w:t>标准编写格式</w:t>
      </w:r>
    </w:p>
    <w:p w14:paraId="4C10DFA0" w14:textId="7131E5F0" w:rsidR="00230D0B" w:rsidRDefault="00230D0B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30D0B">
        <w:rPr>
          <w:rFonts w:ascii="Times New Roman" w:eastAsia="仿宋_GB2312" w:hAnsi="Times New Roman" w:cs="Times New Roman" w:hint="eastAsia"/>
          <w:sz w:val="28"/>
          <w:szCs w:val="28"/>
        </w:rPr>
        <w:t>标准内容符合</w:t>
      </w:r>
      <w:r w:rsidRPr="00230D0B">
        <w:rPr>
          <w:rFonts w:ascii="Times New Roman" w:eastAsia="仿宋_GB2312" w:hAnsi="Times New Roman" w:cs="Times New Roman" w:hint="eastAsia"/>
          <w:sz w:val="28"/>
          <w:szCs w:val="28"/>
        </w:rPr>
        <w:t>GB/T 1.1</w:t>
      </w:r>
      <w:r w:rsidR="00011BB4">
        <w:rPr>
          <w:rFonts w:ascii="Times New Roman" w:eastAsia="仿宋_GB2312" w:hAnsi="Times New Roman" w:cs="Times New Roman"/>
          <w:sz w:val="28"/>
          <w:szCs w:val="28"/>
        </w:rPr>
        <w:t>-2</w:t>
      </w:r>
      <w:r w:rsidR="00B1689B">
        <w:rPr>
          <w:rFonts w:ascii="Times New Roman" w:eastAsia="仿宋_GB2312" w:hAnsi="Times New Roman" w:cs="Times New Roman"/>
          <w:sz w:val="28"/>
          <w:szCs w:val="28"/>
        </w:rPr>
        <w:t>0</w:t>
      </w:r>
      <w:r w:rsidR="00312EDE">
        <w:rPr>
          <w:rFonts w:ascii="Times New Roman" w:eastAsia="仿宋_GB2312" w:hAnsi="Times New Roman" w:cs="Times New Roman"/>
          <w:sz w:val="28"/>
          <w:szCs w:val="28"/>
        </w:rPr>
        <w:t>20</w:t>
      </w:r>
      <w:r w:rsidR="00011BB4">
        <w:rPr>
          <w:rFonts w:ascii="Times New Roman" w:eastAsia="仿宋_GB2312" w:hAnsi="Times New Roman" w:cs="Times New Roman" w:hint="eastAsia"/>
          <w:sz w:val="28"/>
          <w:szCs w:val="28"/>
        </w:rPr>
        <w:t>《</w:t>
      </w:r>
      <w:r w:rsidR="00011BB4" w:rsidRPr="00011BB4">
        <w:rPr>
          <w:rFonts w:ascii="Times New Roman" w:eastAsia="仿宋_GB2312" w:hAnsi="Times New Roman" w:cs="Times New Roman" w:hint="eastAsia"/>
          <w:sz w:val="28"/>
          <w:szCs w:val="28"/>
        </w:rPr>
        <w:t>标准化工作导则第</w:t>
      </w:r>
      <w:r w:rsidR="00011BB4" w:rsidRPr="00011BB4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011BB4" w:rsidRPr="00011BB4">
        <w:rPr>
          <w:rFonts w:ascii="Times New Roman" w:eastAsia="仿宋_GB2312" w:hAnsi="Times New Roman" w:cs="Times New Roman" w:hint="eastAsia"/>
          <w:sz w:val="28"/>
          <w:szCs w:val="28"/>
        </w:rPr>
        <w:t>部分：标准化文件的结构和起草规则</w:t>
      </w:r>
      <w:r w:rsidR="00011BB4">
        <w:rPr>
          <w:rFonts w:ascii="Times New Roman" w:eastAsia="仿宋_GB2312" w:hAnsi="Times New Roman" w:cs="Times New Roman" w:hint="eastAsia"/>
          <w:sz w:val="28"/>
          <w:szCs w:val="28"/>
        </w:rPr>
        <w:t>》</w:t>
      </w:r>
      <w:r w:rsidRPr="00230D0B">
        <w:rPr>
          <w:rFonts w:ascii="Times New Roman" w:eastAsia="仿宋_GB2312" w:hAnsi="Times New Roman" w:cs="Times New Roman" w:hint="eastAsia"/>
          <w:sz w:val="28"/>
          <w:szCs w:val="28"/>
        </w:rPr>
        <w:t>的规定。</w:t>
      </w:r>
    </w:p>
    <w:p w14:paraId="3E5FD5B1" w14:textId="13BAA3C9" w:rsidR="005A6F0A" w:rsidRPr="005A6F0A" w:rsidRDefault="00312EDE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12EDE">
        <w:rPr>
          <w:rFonts w:ascii="Times New Roman" w:eastAsia="仿宋_GB2312" w:hAnsi="Times New Roman" w:cs="Times New Roman" w:hint="eastAsia"/>
          <w:sz w:val="28"/>
          <w:szCs w:val="28"/>
        </w:rPr>
        <w:t>本文件规定了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弹簧扁钢</w:t>
      </w:r>
      <w:r w:rsidRPr="00312EDE">
        <w:rPr>
          <w:rFonts w:ascii="Times New Roman" w:eastAsia="仿宋_GB2312" w:hAnsi="Times New Roman" w:cs="Times New Roman" w:hint="eastAsia"/>
          <w:sz w:val="28"/>
          <w:szCs w:val="28"/>
        </w:rPr>
        <w:t>（以下简称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扁钢</w:t>
      </w:r>
      <w:r w:rsidRPr="00312EDE">
        <w:rPr>
          <w:rFonts w:ascii="Times New Roman" w:eastAsia="仿宋_GB2312" w:hAnsi="Times New Roman" w:cs="Times New Roman" w:hint="eastAsia"/>
          <w:sz w:val="28"/>
          <w:szCs w:val="28"/>
        </w:rPr>
        <w:t>）“领跑者”标准的评价指标体系、评价方法</w:t>
      </w:r>
      <w:r w:rsidR="00643006" w:rsidRPr="0064300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D95B599" w14:textId="77777777" w:rsidR="005A6F0A" w:rsidRPr="005A6F0A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（二）</w:t>
      </w:r>
      <w:r w:rsidRPr="005A6F0A">
        <w:rPr>
          <w:rFonts w:ascii="Times New Roman" w:eastAsia="仿宋_GB2312" w:hAnsi="Times New Roman" w:cs="Times New Roman"/>
          <w:sz w:val="28"/>
          <w:szCs w:val="28"/>
        </w:rPr>
        <w:t>关于适用范围</w:t>
      </w:r>
    </w:p>
    <w:p w14:paraId="7364A7AA" w14:textId="71657B9D" w:rsidR="00D261BE" w:rsidRDefault="007327B4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7327B4">
        <w:rPr>
          <w:rFonts w:ascii="Times New Roman" w:eastAsia="仿宋_GB2312" w:hAnsi="Times New Roman" w:cs="Times New Roman" w:hint="eastAsia"/>
          <w:sz w:val="28"/>
          <w:szCs w:val="28"/>
        </w:rPr>
        <w:t>本文件适用于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弹簧扁钢</w:t>
      </w:r>
      <w:r w:rsidRPr="007327B4">
        <w:rPr>
          <w:rFonts w:ascii="Times New Roman" w:eastAsia="仿宋_GB2312" w:hAnsi="Times New Roman" w:cs="Times New Roman" w:hint="eastAsia"/>
          <w:sz w:val="28"/>
          <w:szCs w:val="28"/>
        </w:rPr>
        <w:t>企业标准水平评价。相关机构在制定企业标准“领跑者”评估方案时可参照使用，企业在制定企业标准时也可参照使用</w:t>
      </w:r>
      <w:r w:rsidR="00BA0A80" w:rsidRPr="00BA0A80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20DCA36" w14:textId="73142EEC" w:rsidR="00620B9B" w:rsidRDefault="003E5EB2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三</w:t>
      </w: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620B9B">
        <w:rPr>
          <w:rFonts w:ascii="Times New Roman" w:eastAsia="仿宋_GB2312" w:hAnsi="Times New Roman" w:cs="Times New Roman" w:hint="eastAsia"/>
          <w:sz w:val="28"/>
          <w:szCs w:val="28"/>
        </w:rPr>
        <w:t>关于</w:t>
      </w:r>
      <w:r w:rsidR="007327B4">
        <w:rPr>
          <w:rFonts w:ascii="Times New Roman" w:eastAsia="仿宋_GB2312" w:hAnsi="Times New Roman" w:cs="Times New Roman" w:hint="eastAsia"/>
          <w:sz w:val="28"/>
          <w:szCs w:val="28"/>
        </w:rPr>
        <w:t>评价指标体系</w:t>
      </w:r>
    </w:p>
    <w:p w14:paraId="6B4B6265" w14:textId="77777777" w:rsidR="007327B4" w:rsidRDefault="007327B4" w:rsidP="00A7742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基本要求</w:t>
      </w:r>
    </w:p>
    <w:p w14:paraId="66133D80" w14:textId="1F35BAC9" w:rsidR="00A77429" w:rsidRDefault="00A77429" w:rsidP="00A7742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A77429">
        <w:rPr>
          <w:rFonts w:ascii="Times New Roman" w:eastAsia="仿宋_GB2312" w:hAnsi="Times New Roman" w:cs="Times New Roman" w:hint="eastAsia"/>
          <w:sz w:val="28"/>
          <w:szCs w:val="28"/>
        </w:rPr>
        <w:t>近三年，企业无较大环境、安全、质量事故。企业无不良信用记录。企业应建立并运行符合产品和服务的管理体系。产品应为量产产品。</w:t>
      </w:r>
    </w:p>
    <w:p w14:paraId="0B2B4713" w14:textId="77777777" w:rsidR="00A77429" w:rsidRDefault="00A77429" w:rsidP="00A7742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基本要求为对参与“领跑者”评价的企业及其产品规模化生产方面的要求，避免仅就标准评标准，</w:t>
      </w:r>
      <w:r w:rsidR="005E60A6">
        <w:rPr>
          <w:rFonts w:ascii="Times New Roman" w:eastAsia="仿宋_GB2312" w:hAnsi="Times New Roman" w:cs="Times New Roman" w:hint="eastAsia"/>
          <w:sz w:val="28"/>
          <w:szCs w:val="28"/>
        </w:rPr>
        <w:t>增强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对企业实际生产和质量提升的</w:t>
      </w:r>
      <w:r w:rsidR="005E60A6">
        <w:rPr>
          <w:rFonts w:ascii="Times New Roman" w:eastAsia="仿宋_GB2312" w:hAnsi="Times New Roman" w:cs="Times New Roman" w:hint="eastAsia"/>
          <w:sz w:val="28"/>
          <w:szCs w:val="28"/>
        </w:rPr>
        <w:t>有效</w:t>
      </w:r>
      <w:r w:rsidR="00796549">
        <w:rPr>
          <w:rFonts w:ascii="Times New Roman" w:eastAsia="仿宋_GB2312" w:hAnsi="Times New Roman" w:cs="Times New Roman" w:hint="eastAsia"/>
          <w:sz w:val="28"/>
          <w:szCs w:val="28"/>
        </w:rPr>
        <w:t>引导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04AF1C5" w14:textId="7D578AD8" w:rsidR="00F53827" w:rsidRDefault="007327B4" w:rsidP="008E634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2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评价指标分类</w:t>
      </w:r>
    </w:p>
    <w:p w14:paraId="227687CB" w14:textId="4DA15028" w:rsidR="007327B4" w:rsidRPr="007327B4" w:rsidRDefault="003A5361" w:rsidP="003A536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A5361">
        <w:rPr>
          <w:rFonts w:ascii="Times New Roman" w:eastAsia="仿宋_GB2312" w:hAnsi="Times New Roman" w:cs="Times New Roman" w:hint="eastAsia"/>
          <w:sz w:val="28"/>
          <w:szCs w:val="28"/>
        </w:rPr>
        <w:t>弹簧扁钢“领跑者”标准的评价指标分为：基础指标、核心指标。基础指标为化学成分、晶粒度。核心指标包括尺寸外形及允许偏差、表面质量、残余元素、气体含量、低倍组织、脱碳层、非金属夹杂物。</w:t>
      </w:r>
    </w:p>
    <w:p w14:paraId="2A599B47" w14:textId="127DA7F0" w:rsidR="007327B4" w:rsidRDefault="007327B4" w:rsidP="008E634D">
      <w:pPr>
        <w:spacing w:line="36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评价指标体系框架</w:t>
      </w:r>
    </w:p>
    <w:p w14:paraId="1489BF10" w14:textId="425D6613" w:rsidR="008E634D" w:rsidRDefault="00E90EB8" w:rsidP="008E634D">
      <w:pPr>
        <w:spacing w:line="36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（1）</w:t>
      </w:r>
      <w:r w:rsidR="00D53F1E">
        <w:rPr>
          <w:rFonts w:ascii="仿宋_GB2312" w:eastAsia="仿宋_GB2312" w:hAnsi="仿宋" w:cs="Times New Roman" w:hint="eastAsia"/>
          <w:sz w:val="28"/>
          <w:szCs w:val="28"/>
        </w:rPr>
        <w:t>弹簧扁钢</w:t>
      </w:r>
      <w:r w:rsidR="00892CEF" w:rsidRPr="00892CEF">
        <w:rPr>
          <w:rFonts w:ascii="仿宋_GB2312" w:eastAsia="仿宋_GB2312" w:hAnsi="仿宋" w:cs="Times New Roman" w:hint="eastAsia"/>
          <w:sz w:val="28"/>
          <w:szCs w:val="28"/>
        </w:rPr>
        <w:t>“领跑者”标准的评价指标体系框架见表1。</w:t>
      </w:r>
    </w:p>
    <w:p w14:paraId="03737792" w14:textId="77777777" w:rsidR="00892CEF" w:rsidRPr="00DD263E" w:rsidRDefault="00BD6E98" w:rsidP="000973CE">
      <w:pPr>
        <w:pStyle w:val="a"/>
        <w:spacing w:before="156" w:after="156" w:line="360" w:lineRule="auto"/>
        <w:ind w:firstLineChars="200" w:firstLine="420"/>
        <w:rPr>
          <w:rFonts w:ascii="仿宋_GB2312" w:eastAsia="仿宋_GB2312" w:hAnsi="仿宋"/>
          <w:sz w:val="28"/>
          <w:szCs w:val="28"/>
        </w:rPr>
      </w:pPr>
      <w:r w:rsidRPr="00DD263E">
        <w:rPr>
          <w:rFonts w:ascii="Times New Roman" w:hint="eastAsia"/>
        </w:rPr>
        <w:t>评价指标体系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702"/>
        <w:gridCol w:w="1191"/>
        <w:gridCol w:w="1790"/>
        <w:gridCol w:w="1972"/>
        <w:gridCol w:w="1889"/>
        <w:gridCol w:w="1348"/>
      </w:tblGrid>
      <w:tr w:rsidR="003A5361" w:rsidRPr="008E1E15" w14:paraId="63F1B9B0" w14:textId="77777777" w:rsidTr="00895B87">
        <w:trPr>
          <w:trHeight w:val="340"/>
          <w:jc w:val="center"/>
        </w:trPr>
        <w:tc>
          <w:tcPr>
            <w:tcW w:w="679" w:type="dxa"/>
            <w:vMerge w:val="restart"/>
            <w:vAlign w:val="center"/>
          </w:tcPr>
          <w:p w14:paraId="315EEA5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指标类型</w:t>
            </w:r>
          </w:p>
        </w:tc>
        <w:tc>
          <w:tcPr>
            <w:tcW w:w="1893" w:type="dxa"/>
            <w:gridSpan w:val="2"/>
            <w:vMerge w:val="restart"/>
            <w:vAlign w:val="center"/>
          </w:tcPr>
          <w:p w14:paraId="2151AF8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评价指标</w:t>
            </w:r>
          </w:p>
        </w:tc>
        <w:tc>
          <w:tcPr>
            <w:tcW w:w="5651" w:type="dxa"/>
            <w:gridSpan w:val="3"/>
            <w:vAlign w:val="center"/>
          </w:tcPr>
          <w:p w14:paraId="55C79B4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指标水平分级</w:t>
            </w:r>
          </w:p>
        </w:tc>
        <w:tc>
          <w:tcPr>
            <w:tcW w:w="1348" w:type="dxa"/>
            <w:vMerge w:val="restart"/>
            <w:vAlign w:val="center"/>
          </w:tcPr>
          <w:p w14:paraId="659D708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判断依据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/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方法</w:t>
            </w:r>
          </w:p>
        </w:tc>
      </w:tr>
      <w:tr w:rsidR="003A5361" w:rsidRPr="008E1E15" w14:paraId="06414E2A" w14:textId="77777777" w:rsidTr="00895B87">
        <w:trPr>
          <w:trHeight w:val="340"/>
          <w:jc w:val="center"/>
        </w:trPr>
        <w:tc>
          <w:tcPr>
            <w:tcW w:w="679" w:type="dxa"/>
            <w:vMerge/>
            <w:vAlign w:val="center"/>
          </w:tcPr>
          <w:p w14:paraId="4B6D70F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14:paraId="4092F63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60FC70F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先进水平</w:t>
            </w:r>
          </w:p>
        </w:tc>
        <w:tc>
          <w:tcPr>
            <w:tcW w:w="1972" w:type="dxa"/>
            <w:vAlign w:val="center"/>
          </w:tcPr>
          <w:p w14:paraId="4F85F35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平均水平</w:t>
            </w:r>
          </w:p>
        </w:tc>
        <w:tc>
          <w:tcPr>
            <w:tcW w:w="1889" w:type="dxa"/>
            <w:vAlign w:val="center"/>
          </w:tcPr>
          <w:p w14:paraId="60D635D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基准水平</w:t>
            </w:r>
          </w:p>
        </w:tc>
        <w:tc>
          <w:tcPr>
            <w:tcW w:w="1348" w:type="dxa"/>
            <w:vMerge/>
            <w:vAlign w:val="center"/>
          </w:tcPr>
          <w:p w14:paraId="14DD3B8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040FA151" w14:textId="77777777" w:rsidTr="00895B87">
        <w:trPr>
          <w:trHeight w:val="340"/>
          <w:jc w:val="center"/>
        </w:trPr>
        <w:tc>
          <w:tcPr>
            <w:tcW w:w="679" w:type="dxa"/>
            <w:vMerge w:val="restart"/>
            <w:vAlign w:val="center"/>
          </w:tcPr>
          <w:p w14:paraId="1260438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基础指标</w:t>
            </w:r>
          </w:p>
        </w:tc>
        <w:tc>
          <w:tcPr>
            <w:tcW w:w="1893" w:type="dxa"/>
            <w:gridSpan w:val="2"/>
            <w:vAlign w:val="center"/>
          </w:tcPr>
          <w:p w14:paraId="120A5FB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化学成分</w:t>
            </w:r>
          </w:p>
        </w:tc>
        <w:tc>
          <w:tcPr>
            <w:tcW w:w="5651" w:type="dxa"/>
            <w:gridSpan w:val="3"/>
            <w:vAlign w:val="center"/>
          </w:tcPr>
          <w:p w14:paraId="3306BDA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应符合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GB/T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 xml:space="preserve"> 33164.1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的规定</w:t>
            </w:r>
          </w:p>
        </w:tc>
        <w:tc>
          <w:tcPr>
            <w:tcW w:w="1348" w:type="dxa"/>
            <w:vAlign w:val="center"/>
          </w:tcPr>
          <w:p w14:paraId="24A5B4A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2F175EDF" w14:textId="77777777" w:rsidTr="00895B87">
        <w:trPr>
          <w:trHeight w:val="340"/>
          <w:jc w:val="center"/>
        </w:trPr>
        <w:tc>
          <w:tcPr>
            <w:tcW w:w="679" w:type="dxa"/>
            <w:vMerge/>
            <w:vAlign w:val="center"/>
          </w:tcPr>
          <w:p w14:paraId="66AC5A9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7D1B6B1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晶粒度</w:t>
            </w:r>
          </w:p>
        </w:tc>
        <w:tc>
          <w:tcPr>
            <w:tcW w:w="5651" w:type="dxa"/>
            <w:gridSpan w:val="3"/>
            <w:vAlign w:val="center"/>
          </w:tcPr>
          <w:p w14:paraId="1FE7C88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应符合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GB/T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 xml:space="preserve"> 33164.1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的规定</w:t>
            </w:r>
          </w:p>
        </w:tc>
        <w:tc>
          <w:tcPr>
            <w:tcW w:w="1348" w:type="dxa"/>
            <w:vAlign w:val="center"/>
          </w:tcPr>
          <w:p w14:paraId="1A04395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361744FA" w14:textId="77777777" w:rsidTr="00895B87">
        <w:trPr>
          <w:trHeight w:val="340"/>
          <w:jc w:val="center"/>
        </w:trPr>
        <w:tc>
          <w:tcPr>
            <w:tcW w:w="679" w:type="dxa"/>
            <w:vMerge w:val="restart"/>
            <w:vAlign w:val="center"/>
          </w:tcPr>
          <w:p w14:paraId="2E9F5C5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核心指标</w:t>
            </w:r>
          </w:p>
        </w:tc>
        <w:tc>
          <w:tcPr>
            <w:tcW w:w="1893" w:type="dxa"/>
            <w:gridSpan w:val="2"/>
            <w:vAlign w:val="center"/>
          </w:tcPr>
          <w:p w14:paraId="32A557F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72308794"/>
            <w:r w:rsidRPr="008E1E15">
              <w:rPr>
                <w:rFonts w:ascii="Times New Roman" w:hAnsi="Times New Roman"/>
                <w:sz w:val="18"/>
                <w:szCs w:val="18"/>
              </w:rPr>
              <w:t>尺寸、外形及允许偏差</w:t>
            </w:r>
            <w:bookmarkEnd w:id="1"/>
          </w:p>
        </w:tc>
        <w:tc>
          <w:tcPr>
            <w:tcW w:w="3762" w:type="dxa"/>
            <w:gridSpan w:val="2"/>
            <w:vAlign w:val="center"/>
          </w:tcPr>
          <w:p w14:paraId="0C2C254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应符合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GB/T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 xml:space="preserve"> 33164.1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2016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中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组规定</w:t>
            </w:r>
          </w:p>
        </w:tc>
        <w:tc>
          <w:tcPr>
            <w:tcW w:w="1889" w:type="dxa"/>
            <w:vAlign w:val="center"/>
          </w:tcPr>
          <w:p w14:paraId="149DDA8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应符合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GB/T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 xml:space="preserve"> 33164.1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2016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中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II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组规定</w:t>
            </w:r>
          </w:p>
        </w:tc>
        <w:tc>
          <w:tcPr>
            <w:tcW w:w="1348" w:type="dxa"/>
            <w:vAlign w:val="center"/>
          </w:tcPr>
          <w:p w14:paraId="06D50B1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3EF8B5E4" w14:textId="77777777" w:rsidTr="00895B87">
        <w:trPr>
          <w:trHeight w:val="340"/>
          <w:jc w:val="center"/>
        </w:trPr>
        <w:tc>
          <w:tcPr>
            <w:tcW w:w="679" w:type="dxa"/>
            <w:vMerge/>
            <w:vAlign w:val="center"/>
          </w:tcPr>
          <w:p w14:paraId="35BDF99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41C2C3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表面质量</w:t>
            </w:r>
          </w:p>
        </w:tc>
        <w:tc>
          <w:tcPr>
            <w:tcW w:w="1790" w:type="dxa"/>
            <w:vAlign w:val="center"/>
          </w:tcPr>
          <w:p w14:paraId="57D8C2B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扁钢表面不应有裂纹、折叠、结疤、夹杂、分层及压入的氧化铁皮。扁钢的局部缺陷应清除，清除时不应对扁钢的使用造成有害影响，清除后不应使扁钢小于允许的最小尺寸，清除的宽度不小于清除深度的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倍。不允许有划痕、压痕存在。</w:t>
            </w:r>
          </w:p>
        </w:tc>
        <w:tc>
          <w:tcPr>
            <w:tcW w:w="1972" w:type="dxa"/>
            <w:vAlign w:val="center"/>
          </w:tcPr>
          <w:p w14:paraId="31B3FCE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eastAsia="宋体" w:hAnsi="Times New Roman" w:hint="eastAsia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扁钢表面不应有裂纹、折叠、结疤、夹杂、分层及压入的氧化铁皮。扁钢的局部缺陷应清除，清除时不应对扁钢的使用造成有害影响，清除后不应使扁钢小于允许的最小尺寸，清除的宽度不小于清除深度的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倍，允许有从实际尺寸算起不超过公称尺寸公差之半的个别细小划痕、压痕存在</w:t>
            </w:r>
          </w:p>
        </w:tc>
        <w:tc>
          <w:tcPr>
            <w:tcW w:w="1889" w:type="dxa"/>
            <w:vAlign w:val="center"/>
          </w:tcPr>
          <w:p w14:paraId="60F9990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扁钢表面不应有裂纹、折叠、结疤、夹杂、分层及压入的氧化铁皮。扁钢的局部缺陷应清除，清除时不应对扁钢的使用造成有害影响，清除后不应使扁钢小于允许的最小尺寸，清除的宽度不小于清除深度的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倍，允许有从实际尺寸算起不超过公称尺寸公差之半的个别细小划痕、压痕存在</w:t>
            </w:r>
          </w:p>
        </w:tc>
        <w:tc>
          <w:tcPr>
            <w:tcW w:w="1348" w:type="dxa"/>
            <w:vAlign w:val="center"/>
          </w:tcPr>
          <w:p w14:paraId="6271B34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5050E2A9" w14:textId="77777777" w:rsidTr="00895B87">
        <w:trPr>
          <w:trHeight w:val="271"/>
          <w:jc w:val="center"/>
        </w:trPr>
        <w:tc>
          <w:tcPr>
            <w:tcW w:w="679" w:type="dxa"/>
            <w:vMerge/>
            <w:vAlign w:val="center"/>
          </w:tcPr>
          <w:p w14:paraId="6666BDA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0E8670A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残余元素</w:t>
            </w:r>
          </w:p>
        </w:tc>
        <w:tc>
          <w:tcPr>
            <w:tcW w:w="1191" w:type="dxa"/>
            <w:vAlign w:val="center"/>
          </w:tcPr>
          <w:p w14:paraId="569BBCD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Ni</w:t>
            </w:r>
          </w:p>
        </w:tc>
        <w:tc>
          <w:tcPr>
            <w:tcW w:w="1790" w:type="dxa"/>
            <w:vAlign w:val="center"/>
          </w:tcPr>
          <w:p w14:paraId="2FA82A3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0.10%</w:t>
            </w:r>
          </w:p>
        </w:tc>
        <w:tc>
          <w:tcPr>
            <w:tcW w:w="1972" w:type="dxa"/>
            <w:vAlign w:val="center"/>
          </w:tcPr>
          <w:p w14:paraId="616977D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20%</w:t>
            </w:r>
          </w:p>
        </w:tc>
        <w:tc>
          <w:tcPr>
            <w:tcW w:w="1889" w:type="dxa"/>
            <w:vAlign w:val="center"/>
          </w:tcPr>
          <w:p w14:paraId="2626915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 w:val="restart"/>
            <w:vAlign w:val="center"/>
          </w:tcPr>
          <w:p w14:paraId="30A1F56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103CF8B8" w14:textId="77777777" w:rsidTr="00895B87">
        <w:trPr>
          <w:trHeight w:val="250"/>
          <w:jc w:val="center"/>
        </w:trPr>
        <w:tc>
          <w:tcPr>
            <w:tcW w:w="679" w:type="dxa"/>
            <w:vMerge/>
            <w:vAlign w:val="center"/>
          </w:tcPr>
          <w:p w14:paraId="4A14509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0864EA4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27D7B5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Cu</w:t>
            </w:r>
          </w:p>
        </w:tc>
        <w:tc>
          <w:tcPr>
            <w:tcW w:w="1790" w:type="dxa"/>
            <w:vAlign w:val="center"/>
          </w:tcPr>
          <w:p w14:paraId="42F0A91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0.10%</w:t>
            </w:r>
          </w:p>
        </w:tc>
        <w:tc>
          <w:tcPr>
            <w:tcW w:w="1972" w:type="dxa"/>
            <w:vAlign w:val="center"/>
          </w:tcPr>
          <w:p w14:paraId="2594C3C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15%</w:t>
            </w:r>
          </w:p>
        </w:tc>
        <w:tc>
          <w:tcPr>
            <w:tcW w:w="1889" w:type="dxa"/>
            <w:vAlign w:val="center"/>
          </w:tcPr>
          <w:p w14:paraId="5728A2D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0.20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/>
            <w:vAlign w:val="center"/>
          </w:tcPr>
          <w:p w14:paraId="4CFC906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49B8715E" w14:textId="77777777" w:rsidTr="00895B87">
        <w:trPr>
          <w:trHeight w:val="320"/>
          <w:jc w:val="center"/>
        </w:trPr>
        <w:tc>
          <w:tcPr>
            <w:tcW w:w="679" w:type="dxa"/>
            <w:vMerge/>
            <w:vAlign w:val="center"/>
          </w:tcPr>
          <w:p w14:paraId="0E1E65E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3F37946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44EC3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P</w:t>
            </w:r>
          </w:p>
        </w:tc>
        <w:tc>
          <w:tcPr>
            <w:tcW w:w="1790" w:type="dxa"/>
            <w:vAlign w:val="center"/>
          </w:tcPr>
          <w:p w14:paraId="3926C7A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0.012%</w:t>
            </w:r>
          </w:p>
        </w:tc>
        <w:tc>
          <w:tcPr>
            <w:tcW w:w="1972" w:type="dxa"/>
            <w:vAlign w:val="center"/>
          </w:tcPr>
          <w:p w14:paraId="1FC745E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15%</w:t>
            </w:r>
          </w:p>
        </w:tc>
        <w:tc>
          <w:tcPr>
            <w:tcW w:w="1889" w:type="dxa"/>
            <w:vAlign w:val="center"/>
          </w:tcPr>
          <w:p w14:paraId="3AD1E47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0.020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/>
            <w:vAlign w:val="center"/>
          </w:tcPr>
          <w:p w14:paraId="2136ADD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301617ED" w14:textId="77777777" w:rsidTr="00895B87">
        <w:trPr>
          <w:trHeight w:val="270"/>
          <w:jc w:val="center"/>
        </w:trPr>
        <w:tc>
          <w:tcPr>
            <w:tcW w:w="679" w:type="dxa"/>
            <w:vMerge/>
            <w:vAlign w:val="center"/>
          </w:tcPr>
          <w:p w14:paraId="43E1EF9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4DB0BEB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091EE1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</w:tc>
        <w:tc>
          <w:tcPr>
            <w:tcW w:w="1790" w:type="dxa"/>
            <w:vAlign w:val="center"/>
          </w:tcPr>
          <w:p w14:paraId="4967C03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0.005%</w:t>
            </w:r>
          </w:p>
        </w:tc>
        <w:tc>
          <w:tcPr>
            <w:tcW w:w="1972" w:type="dxa"/>
            <w:vAlign w:val="center"/>
          </w:tcPr>
          <w:p w14:paraId="2C470D3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0.01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1889" w:type="dxa"/>
            <w:vAlign w:val="center"/>
          </w:tcPr>
          <w:p w14:paraId="3CD22EF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0.015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/>
            <w:vAlign w:val="center"/>
          </w:tcPr>
          <w:p w14:paraId="6660F14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44C349B4" w14:textId="77777777" w:rsidTr="00895B87">
        <w:trPr>
          <w:trHeight w:val="330"/>
          <w:jc w:val="center"/>
        </w:trPr>
        <w:tc>
          <w:tcPr>
            <w:tcW w:w="679" w:type="dxa"/>
            <w:vMerge/>
            <w:vAlign w:val="center"/>
          </w:tcPr>
          <w:p w14:paraId="5AA0A9B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09C1B1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气体含量</w:t>
            </w:r>
          </w:p>
        </w:tc>
        <w:tc>
          <w:tcPr>
            <w:tcW w:w="1191" w:type="dxa"/>
            <w:vAlign w:val="center"/>
          </w:tcPr>
          <w:p w14:paraId="5FC8F98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H</w:t>
            </w:r>
          </w:p>
        </w:tc>
        <w:tc>
          <w:tcPr>
            <w:tcW w:w="1790" w:type="dxa"/>
            <w:vAlign w:val="center"/>
          </w:tcPr>
          <w:p w14:paraId="3C18BF2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0.00015%</w:t>
            </w:r>
          </w:p>
        </w:tc>
        <w:tc>
          <w:tcPr>
            <w:tcW w:w="1972" w:type="dxa"/>
            <w:vAlign w:val="center"/>
          </w:tcPr>
          <w:p w14:paraId="1C6912B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.00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02%</w:t>
            </w:r>
          </w:p>
        </w:tc>
        <w:tc>
          <w:tcPr>
            <w:tcW w:w="1889" w:type="dxa"/>
            <w:vAlign w:val="center"/>
          </w:tcPr>
          <w:p w14:paraId="06005D3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348" w:type="dxa"/>
            <w:vAlign w:val="center"/>
          </w:tcPr>
          <w:p w14:paraId="5703B85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55133604" w14:textId="77777777" w:rsidTr="00895B87">
        <w:trPr>
          <w:trHeight w:val="399"/>
          <w:jc w:val="center"/>
        </w:trPr>
        <w:tc>
          <w:tcPr>
            <w:tcW w:w="679" w:type="dxa"/>
            <w:vMerge/>
            <w:vAlign w:val="center"/>
          </w:tcPr>
          <w:p w14:paraId="12EF5A6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036BFD5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60E3610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O</w:t>
            </w:r>
          </w:p>
        </w:tc>
        <w:tc>
          <w:tcPr>
            <w:tcW w:w="1790" w:type="dxa"/>
            <w:vAlign w:val="center"/>
          </w:tcPr>
          <w:p w14:paraId="0E0E22A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0.0015%</w:t>
            </w:r>
          </w:p>
        </w:tc>
        <w:tc>
          <w:tcPr>
            <w:tcW w:w="1972" w:type="dxa"/>
            <w:vAlign w:val="center"/>
          </w:tcPr>
          <w:p w14:paraId="4F53799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.0020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889" w:type="dxa"/>
            <w:vAlign w:val="center"/>
          </w:tcPr>
          <w:p w14:paraId="506B8BE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.0020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Align w:val="center"/>
          </w:tcPr>
          <w:p w14:paraId="48E35A7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GB/T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 xml:space="preserve"> 11261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规定的方法</w:t>
            </w:r>
          </w:p>
        </w:tc>
      </w:tr>
      <w:tr w:rsidR="003A5361" w:rsidRPr="008E1E15" w14:paraId="55121E2C" w14:textId="77777777" w:rsidTr="00895B87">
        <w:trPr>
          <w:trHeight w:val="362"/>
          <w:jc w:val="center"/>
        </w:trPr>
        <w:tc>
          <w:tcPr>
            <w:tcW w:w="679" w:type="dxa"/>
            <w:vMerge/>
            <w:vAlign w:val="center"/>
          </w:tcPr>
          <w:p w14:paraId="5D0C11A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330E9B4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267913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N</w:t>
            </w:r>
          </w:p>
        </w:tc>
        <w:tc>
          <w:tcPr>
            <w:tcW w:w="1790" w:type="dxa"/>
            <w:vAlign w:val="center"/>
          </w:tcPr>
          <w:p w14:paraId="6A3ABB1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0.0080%</w:t>
            </w:r>
          </w:p>
        </w:tc>
        <w:tc>
          <w:tcPr>
            <w:tcW w:w="1972" w:type="dxa"/>
            <w:vAlign w:val="center"/>
          </w:tcPr>
          <w:p w14:paraId="6A27CEC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889" w:type="dxa"/>
            <w:vAlign w:val="center"/>
          </w:tcPr>
          <w:p w14:paraId="143459F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348" w:type="dxa"/>
            <w:vAlign w:val="center"/>
          </w:tcPr>
          <w:p w14:paraId="376C695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7C60957D" w14:textId="77777777" w:rsidTr="00895B87">
        <w:trPr>
          <w:trHeight w:val="165"/>
          <w:jc w:val="center"/>
        </w:trPr>
        <w:tc>
          <w:tcPr>
            <w:tcW w:w="679" w:type="dxa"/>
            <w:vMerge/>
            <w:vAlign w:val="center"/>
          </w:tcPr>
          <w:p w14:paraId="331C699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40B4CA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低倍组织</w:t>
            </w:r>
          </w:p>
        </w:tc>
        <w:tc>
          <w:tcPr>
            <w:tcW w:w="1191" w:type="dxa"/>
            <w:vAlign w:val="center"/>
          </w:tcPr>
          <w:p w14:paraId="208950A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中心疏松</w:t>
            </w:r>
          </w:p>
        </w:tc>
        <w:tc>
          <w:tcPr>
            <w:tcW w:w="1790" w:type="dxa"/>
            <w:vAlign w:val="center"/>
          </w:tcPr>
          <w:p w14:paraId="4EE70AC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</w:tc>
        <w:tc>
          <w:tcPr>
            <w:tcW w:w="1972" w:type="dxa"/>
            <w:vAlign w:val="center"/>
          </w:tcPr>
          <w:p w14:paraId="1095496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</w:tc>
        <w:tc>
          <w:tcPr>
            <w:tcW w:w="1889" w:type="dxa"/>
            <w:vAlign w:val="center"/>
          </w:tcPr>
          <w:p w14:paraId="4A2E282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</w:p>
        </w:tc>
        <w:tc>
          <w:tcPr>
            <w:tcW w:w="1348" w:type="dxa"/>
            <w:vMerge w:val="restart"/>
            <w:vAlign w:val="center"/>
          </w:tcPr>
          <w:p w14:paraId="67C7F07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2D63117B" w14:textId="77777777" w:rsidTr="00895B87">
        <w:trPr>
          <w:trHeight w:val="105"/>
          <w:jc w:val="center"/>
        </w:trPr>
        <w:tc>
          <w:tcPr>
            <w:tcW w:w="679" w:type="dxa"/>
            <w:vMerge/>
            <w:vAlign w:val="center"/>
          </w:tcPr>
          <w:p w14:paraId="2053C63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48E7CB6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F71FFD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一般疏松</w:t>
            </w:r>
          </w:p>
        </w:tc>
        <w:tc>
          <w:tcPr>
            <w:tcW w:w="1790" w:type="dxa"/>
            <w:vAlign w:val="center"/>
          </w:tcPr>
          <w:p w14:paraId="5370860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</w:tc>
        <w:tc>
          <w:tcPr>
            <w:tcW w:w="1972" w:type="dxa"/>
            <w:vAlign w:val="center"/>
          </w:tcPr>
          <w:p w14:paraId="1ED30A9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</w:tc>
        <w:tc>
          <w:tcPr>
            <w:tcW w:w="1889" w:type="dxa"/>
            <w:vAlign w:val="center"/>
          </w:tcPr>
          <w:p w14:paraId="214B393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</w:p>
        </w:tc>
        <w:tc>
          <w:tcPr>
            <w:tcW w:w="1348" w:type="dxa"/>
            <w:vMerge/>
            <w:vAlign w:val="center"/>
          </w:tcPr>
          <w:p w14:paraId="5DDE1F4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7FD3940D" w14:textId="77777777" w:rsidTr="00895B87">
        <w:trPr>
          <w:trHeight w:val="100"/>
          <w:jc w:val="center"/>
        </w:trPr>
        <w:tc>
          <w:tcPr>
            <w:tcW w:w="679" w:type="dxa"/>
            <w:vMerge/>
            <w:vAlign w:val="center"/>
          </w:tcPr>
          <w:p w14:paraId="4CA26CF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0E3BB61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3C5998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锭型偏析</w:t>
            </w:r>
          </w:p>
        </w:tc>
        <w:tc>
          <w:tcPr>
            <w:tcW w:w="1790" w:type="dxa"/>
            <w:vAlign w:val="center"/>
          </w:tcPr>
          <w:p w14:paraId="6EA0801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</w:tc>
        <w:tc>
          <w:tcPr>
            <w:tcW w:w="1972" w:type="dxa"/>
            <w:vAlign w:val="center"/>
          </w:tcPr>
          <w:p w14:paraId="1E5F430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</w:tc>
        <w:tc>
          <w:tcPr>
            <w:tcW w:w="1889" w:type="dxa"/>
            <w:vAlign w:val="center"/>
          </w:tcPr>
          <w:p w14:paraId="479B5EC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</w:p>
        </w:tc>
        <w:tc>
          <w:tcPr>
            <w:tcW w:w="1348" w:type="dxa"/>
            <w:vMerge/>
            <w:vAlign w:val="center"/>
          </w:tcPr>
          <w:p w14:paraId="2E90B09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761EC024" w14:textId="77777777" w:rsidTr="00895B87">
        <w:trPr>
          <w:trHeight w:val="1222"/>
          <w:jc w:val="center"/>
        </w:trPr>
        <w:tc>
          <w:tcPr>
            <w:tcW w:w="679" w:type="dxa"/>
            <w:vMerge/>
            <w:vAlign w:val="center"/>
          </w:tcPr>
          <w:p w14:paraId="72E3B8F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253B106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脱碳层</w:t>
            </w:r>
          </w:p>
        </w:tc>
        <w:tc>
          <w:tcPr>
            <w:tcW w:w="1191" w:type="dxa"/>
            <w:vAlign w:val="center"/>
          </w:tcPr>
          <w:p w14:paraId="65F210D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硅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弹簧钢</w:t>
            </w:r>
          </w:p>
        </w:tc>
        <w:tc>
          <w:tcPr>
            <w:tcW w:w="1790" w:type="dxa"/>
            <w:vAlign w:val="center"/>
          </w:tcPr>
          <w:p w14:paraId="127C1F5C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1.8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3ECBC27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4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29EF67D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，且不大于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0.5mm</w:t>
            </w:r>
          </w:p>
        </w:tc>
        <w:tc>
          <w:tcPr>
            <w:tcW w:w="1972" w:type="dxa"/>
            <w:vAlign w:val="center"/>
          </w:tcPr>
          <w:p w14:paraId="606F16B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2.0%</w:t>
            </w:r>
          </w:p>
          <w:p w14:paraId="20C851F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1.6%</w:t>
            </w:r>
          </w:p>
          <w:p w14:paraId="3FFE1E0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1.2%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，且不大于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0.5mm</w:t>
            </w:r>
          </w:p>
        </w:tc>
        <w:tc>
          <w:tcPr>
            <w:tcW w:w="1889" w:type="dxa"/>
            <w:vAlign w:val="center"/>
          </w:tcPr>
          <w:p w14:paraId="12D267C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2.5%</w:t>
            </w:r>
          </w:p>
          <w:p w14:paraId="2CE32AF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2.0%</w:t>
            </w:r>
          </w:p>
          <w:p w14:paraId="21F3DCA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6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 w:val="restart"/>
            <w:vAlign w:val="center"/>
          </w:tcPr>
          <w:p w14:paraId="23650933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33164.1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  <w:tr w:rsidR="003A5361" w:rsidRPr="008E1E15" w14:paraId="44484667" w14:textId="77777777" w:rsidTr="00895B87">
        <w:trPr>
          <w:trHeight w:val="111"/>
          <w:jc w:val="center"/>
        </w:trPr>
        <w:tc>
          <w:tcPr>
            <w:tcW w:w="679" w:type="dxa"/>
            <w:vMerge/>
            <w:vAlign w:val="center"/>
          </w:tcPr>
          <w:p w14:paraId="14BE246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14:paraId="5D868E7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E13E39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其他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弹簧钢</w:t>
            </w:r>
          </w:p>
        </w:tc>
        <w:tc>
          <w:tcPr>
            <w:tcW w:w="1790" w:type="dxa"/>
            <w:vAlign w:val="center"/>
          </w:tcPr>
          <w:p w14:paraId="2C0EDD77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1.4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5152EE4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758B0D2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0.8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，且不大于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0.5mm</w:t>
            </w:r>
          </w:p>
        </w:tc>
        <w:tc>
          <w:tcPr>
            <w:tcW w:w="1972" w:type="dxa"/>
            <w:vAlign w:val="center"/>
          </w:tcPr>
          <w:p w14:paraId="72846D5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1.6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5D63198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2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3DD79DDF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，且不大于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0.5mm</w:t>
            </w:r>
          </w:p>
        </w:tc>
        <w:tc>
          <w:tcPr>
            <w:tcW w:w="1889" w:type="dxa"/>
            <w:vAlign w:val="center"/>
          </w:tcPr>
          <w:p w14:paraId="13D04C9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不大于厚度的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3916981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8~30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6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  <w:p w14:paraId="32D496E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厚度＞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mm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，不大于厚度的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2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1348" w:type="dxa"/>
            <w:vMerge/>
            <w:vAlign w:val="center"/>
          </w:tcPr>
          <w:p w14:paraId="20ADBD6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361" w:rsidRPr="008E1E15" w14:paraId="639AB37F" w14:textId="77777777" w:rsidTr="00895B87">
        <w:trPr>
          <w:trHeight w:val="1032"/>
          <w:jc w:val="center"/>
        </w:trPr>
        <w:tc>
          <w:tcPr>
            <w:tcW w:w="679" w:type="dxa"/>
            <w:vMerge/>
            <w:vAlign w:val="center"/>
          </w:tcPr>
          <w:p w14:paraId="23C1AE6B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84CFFE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非金属夹杂物</w:t>
            </w:r>
          </w:p>
        </w:tc>
        <w:tc>
          <w:tcPr>
            <w:tcW w:w="1790" w:type="dxa"/>
            <w:vAlign w:val="center"/>
          </w:tcPr>
          <w:p w14:paraId="1D025A9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7E5A67F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6D53340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2C003E39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205FDB6A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DS≤2.0</w:t>
            </w:r>
          </w:p>
        </w:tc>
        <w:tc>
          <w:tcPr>
            <w:tcW w:w="1972" w:type="dxa"/>
            <w:vAlign w:val="center"/>
          </w:tcPr>
          <w:p w14:paraId="187128A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483182E2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2E76E761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22972E76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≤1.0</w:t>
            </w:r>
          </w:p>
          <w:p w14:paraId="1CDE1D84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DS≤2.0</w:t>
            </w:r>
          </w:p>
        </w:tc>
        <w:tc>
          <w:tcPr>
            <w:tcW w:w="1889" w:type="dxa"/>
            <w:vAlign w:val="center"/>
          </w:tcPr>
          <w:p w14:paraId="101F10B8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A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  <w:p w14:paraId="12D12C6D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  <w:p w14:paraId="7DA2134E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  <w:p w14:paraId="4DCBA300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细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≤2.0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8E1E15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粗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≤1.5</w:t>
            </w:r>
          </w:p>
        </w:tc>
        <w:tc>
          <w:tcPr>
            <w:tcW w:w="1348" w:type="dxa"/>
            <w:vAlign w:val="center"/>
          </w:tcPr>
          <w:p w14:paraId="18392705" w14:textId="77777777" w:rsidR="003A5361" w:rsidRPr="008E1E15" w:rsidRDefault="003A5361" w:rsidP="00895B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1E15">
              <w:rPr>
                <w:rFonts w:ascii="Times New Roman" w:hAnsi="Times New Roman"/>
                <w:sz w:val="18"/>
                <w:szCs w:val="18"/>
              </w:rPr>
              <w:t>GB/T 10561</w:t>
            </w:r>
            <w:r w:rsidRPr="008E1E15">
              <w:rPr>
                <w:rFonts w:ascii="Times New Roman" w:hAnsi="Times New Roman"/>
                <w:sz w:val="18"/>
                <w:szCs w:val="18"/>
              </w:rPr>
              <w:t>规定的方法</w:t>
            </w:r>
          </w:p>
        </w:tc>
      </w:tr>
    </w:tbl>
    <w:p w14:paraId="1C437731" w14:textId="22D0AB88" w:rsidR="001C7ACB" w:rsidRDefault="00E90EB8" w:rsidP="005A6F0A">
      <w:pPr>
        <w:spacing w:line="36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（2）</w:t>
      </w:r>
      <w:r w:rsidR="001C7ACB">
        <w:rPr>
          <w:rFonts w:ascii="仿宋_GB2312" w:eastAsia="仿宋_GB2312" w:hAnsi="仿宋" w:cs="Times New Roman" w:hint="eastAsia"/>
          <w:sz w:val="28"/>
          <w:szCs w:val="28"/>
        </w:rPr>
        <w:t>指标选取原则</w:t>
      </w:r>
    </w:p>
    <w:p w14:paraId="3419E05D" w14:textId="01E30C46" w:rsidR="00DD081F" w:rsidRDefault="006C0276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基础指标的选取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D53F1E">
        <w:rPr>
          <w:rFonts w:ascii="Times New Roman" w:eastAsia="仿宋_GB2312" w:hAnsi="Times New Roman" w:cs="Times New Roman" w:hint="eastAsia"/>
          <w:sz w:val="28"/>
          <w:szCs w:val="28"/>
        </w:rPr>
        <w:t>弹簧扁钢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对</w:t>
      </w:r>
      <w:r w:rsidR="003A5361">
        <w:rPr>
          <w:rFonts w:ascii="Times New Roman" w:eastAsia="仿宋_GB2312" w:hAnsi="Times New Roman" w:cs="Times New Roman" w:hint="eastAsia"/>
          <w:sz w:val="28"/>
          <w:szCs w:val="28"/>
        </w:rPr>
        <w:t>化学成分、晶粒度</w:t>
      </w:r>
      <w:r w:rsidR="00DD081F">
        <w:rPr>
          <w:rFonts w:ascii="Times New Roman" w:eastAsia="仿宋_GB2312" w:hAnsi="Times New Roman" w:cs="Times New Roman" w:hint="eastAsia"/>
          <w:sz w:val="28"/>
          <w:szCs w:val="28"/>
        </w:rPr>
        <w:t>有一定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DD081F">
        <w:rPr>
          <w:rFonts w:ascii="Times New Roman" w:eastAsia="仿宋_GB2312" w:hAnsi="Times New Roman" w:cs="Times New Roman" w:hint="eastAsia"/>
          <w:sz w:val="28"/>
          <w:szCs w:val="28"/>
        </w:rPr>
        <w:t>要求，但也不过分追求更高要求，因此将此设为基础指标。</w:t>
      </w:r>
    </w:p>
    <w:p w14:paraId="0D0297DB" w14:textId="78F7F345" w:rsidR="007411F8" w:rsidRDefault="006C0276" w:rsidP="007411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核心指标的选取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3A5361">
        <w:rPr>
          <w:rFonts w:ascii="Times New Roman" w:eastAsia="仿宋_GB2312" w:hAnsi="Times New Roman" w:cs="Times New Roman" w:hint="eastAsia"/>
          <w:sz w:val="28"/>
          <w:szCs w:val="28"/>
        </w:rPr>
        <w:t>弹簧扁钢形状较为特殊，国家标准中对尺寸外形进行了分级，表面质量与使用寿命也有密切联系，因此该两项列入核心指标</w:t>
      </w:r>
      <w:r w:rsidR="007411F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3A5361">
        <w:rPr>
          <w:rFonts w:ascii="Times New Roman" w:eastAsia="仿宋_GB2312" w:hAnsi="Times New Roman" w:cs="Times New Roman" w:hint="eastAsia"/>
          <w:sz w:val="28"/>
          <w:szCs w:val="28"/>
        </w:rPr>
        <w:t>残余元素、气体含量是化学成分控制的关键，低倍组织和非金属夹杂物内部质量的关键，脱碳层与弹簧扁钢制成成品后的功能密切相关，因此均列入核心指标。</w:t>
      </w:r>
    </w:p>
    <w:p w14:paraId="370898E3" w14:textId="2606C157" w:rsidR="005A6F0A" w:rsidRPr="005A6F0A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四</w:t>
      </w: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C71381">
        <w:rPr>
          <w:rFonts w:ascii="Times New Roman" w:eastAsia="仿宋_GB2312" w:hAnsi="Times New Roman" w:cs="Times New Roman" w:hint="eastAsia"/>
          <w:sz w:val="28"/>
          <w:szCs w:val="28"/>
        </w:rPr>
        <w:t>关于</w:t>
      </w:r>
      <w:r w:rsidR="00BD6E98">
        <w:rPr>
          <w:rFonts w:ascii="Times New Roman" w:eastAsia="仿宋_GB2312" w:hAnsi="Times New Roman" w:cs="Times New Roman" w:hint="eastAsia"/>
          <w:sz w:val="28"/>
          <w:szCs w:val="28"/>
        </w:rPr>
        <w:t>评价</w:t>
      </w:r>
      <w:r w:rsidR="00775056">
        <w:rPr>
          <w:rFonts w:ascii="Times New Roman" w:eastAsia="仿宋_GB2312" w:hAnsi="Times New Roman" w:cs="Times New Roman" w:hint="eastAsia"/>
          <w:sz w:val="28"/>
          <w:szCs w:val="28"/>
        </w:rPr>
        <w:t>方法</w:t>
      </w:r>
    </w:p>
    <w:p w14:paraId="5FDE1062" w14:textId="7FFE3ABD" w:rsidR="00BD6E98" w:rsidRPr="00BD6E98" w:rsidRDefault="00D53F1E" w:rsidP="00BD6E98">
      <w:pPr>
        <w:spacing w:line="36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弹簧扁钢</w:t>
      </w:r>
      <w:r w:rsidR="00E90EB8" w:rsidRPr="00E90EB8">
        <w:rPr>
          <w:rFonts w:ascii="仿宋_GB2312" w:eastAsia="仿宋_GB2312" w:hAnsi="仿宋" w:cs="Times New Roman" w:hint="eastAsia"/>
          <w:sz w:val="28"/>
          <w:szCs w:val="28"/>
        </w:rPr>
        <w:t>“领跑者”标准应将评价结果划分为一级、二级和三级，各等级所对应的划分依据见表2。达到三级要求及以上的企业标准，按照有关要求进行自我声明公开后均可进入所对应的</w:t>
      </w:r>
      <w:r>
        <w:rPr>
          <w:rFonts w:ascii="仿宋_GB2312" w:eastAsia="仿宋_GB2312" w:hAnsi="仿宋" w:cs="Times New Roman" w:hint="eastAsia"/>
          <w:sz w:val="28"/>
          <w:szCs w:val="28"/>
        </w:rPr>
        <w:t>弹簧扁钢</w:t>
      </w:r>
      <w:r w:rsidR="00E90EB8" w:rsidRPr="00E90EB8">
        <w:rPr>
          <w:rFonts w:ascii="仿宋_GB2312" w:eastAsia="仿宋_GB2312" w:hAnsi="仿宋" w:cs="Times New Roman" w:hint="eastAsia"/>
          <w:sz w:val="28"/>
          <w:szCs w:val="28"/>
        </w:rPr>
        <w:t>企业标准排行榜。达到一级要求的企业标准，按照有关要求进行自我声明公开后，其标准和符合标准的产品可以直接进入</w:t>
      </w:r>
      <w:r>
        <w:rPr>
          <w:rFonts w:ascii="仿宋_GB2312" w:eastAsia="仿宋_GB2312" w:hAnsi="仿宋" w:cs="Times New Roman" w:hint="eastAsia"/>
          <w:sz w:val="28"/>
          <w:szCs w:val="28"/>
        </w:rPr>
        <w:t>弹簧扁钢</w:t>
      </w:r>
      <w:r w:rsidR="00E90EB8" w:rsidRPr="00E90EB8">
        <w:rPr>
          <w:rFonts w:ascii="仿宋_GB2312" w:eastAsia="仿宋_GB2312" w:hAnsi="仿宋" w:cs="Times New Roman" w:hint="eastAsia"/>
          <w:sz w:val="28"/>
          <w:szCs w:val="28"/>
        </w:rPr>
        <w:t>企业标准“领跑者”候选名单</w:t>
      </w:r>
      <w:r w:rsidR="00BD6E98" w:rsidRPr="00BD6E98">
        <w:rPr>
          <w:rFonts w:ascii="仿宋_GB2312" w:eastAsia="仿宋_GB2312" w:hAnsi="仿宋" w:cs="Times New Roman"/>
          <w:sz w:val="28"/>
          <w:szCs w:val="28"/>
        </w:rPr>
        <w:t>。</w:t>
      </w:r>
    </w:p>
    <w:p w14:paraId="65276A39" w14:textId="77777777" w:rsidR="00BD6E98" w:rsidRPr="00D51A48" w:rsidRDefault="00BD6E98" w:rsidP="006C7864">
      <w:pPr>
        <w:pStyle w:val="a"/>
        <w:spacing w:before="156" w:after="156"/>
        <w:rPr>
          <w:rFonts w:ascii="Times New Roman"/>
        </w:rPr>
      </w:pPr>
      <w:r w:rsidRPr="00791493">
        <w:rPr>
          <w:rFonts w:ascii="Times New Roman" w:hint="eastAsia"/>
        </w:rPr>
        <w:lastRenderedPageBreak/>
        <w:t>指标评价要求及等级划分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970"/>
        <w:gridCol w:w="1378"/>
        <w:gridCol w:w="2197"/>
        <w:gridCol w:w="2204"/>
      </w:tblGrid>
      <w:tr w:rsidR="00BD6E98" w14:paraId="74BB7039" w14:textId="77777777" w:rsidTr="000859A5">
        <w:trPr>
          <w:jc w:val="center"/>
        </w:trPr>
        <w:tc>
          <w:tcPr>
            <w:tcW w:w="1835" w:type="dxa"/>
          </w:tcPr>
          <w:p w14:paraId="3422F8C1" w14:textId="77777777" w:rsidR="00BD6E98" w:rsidRPr="00683EC6" w:rsidRDefault="00BD6E98" w:rsidP="000859A5">
            <w:pPr>
              <w:pStyle w:val="ac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cs="等线 Light" w:hint="eastAsia"/>
                <w:color w:val="000000"/>
                <w:sz w:val="18"/>
                <w:szCs w:val="18"/>
              </w:rPr>
              <w:t>评价等级</w:t>
            </w:r>
          </w:p>
        </w:tc>
        <w:tc>
          <w:tcPr>
            <w:tcW w:w="6946" w:type="dxa"/>
            <w:gridSpan w:val="4"/>
          </w:tcPr>
          <w:p w14:paraId="3CADDB1B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cs="等线 Light" w:hint="eastAsia"/>
                <w:color w:val="000000"/>
                <w:sz w:val="18"/>
                <w:szCs w:val="18"/>
              </w:rPr>
              <w:t>满足条件</w:t>
            </w:r>
          </w:p>
        </w:tc>
      </w:tr>
      <w:tr w:rsidR="00BD6E98" w14:paraId="2B196178" w14:textId="77777777" w:rsidTr="000859A5">
        <w:trPr>
          <w:trHeight w:val="478"/>
          <w:jc w:val="center"/>
        </w:trPr>
        <w:tc>
          <w:tcPr>
            <w:tcW w:w="1835" w:type="dxa"/>
            <w:vAlign w:val="center"/>
          </w:tcPr>
          <w:p w14:paraId="55CD3D9B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一级应同时满足</w:t>
            </w:r>
          </w:p>
        </w:tc>
        <w:tc>
          <w:tcPr>
            <w:tcW w:w="993" w:type="dxa"/>
            <w:vMerge w:val="restart"/>
            <w:vAlign w:val="center"/>
          </w:tcPr>
          <w:p w14:paraId="3DC149BC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基本要求</w:t>
            </w:r>
          </w:p>
        </w:tc>
        <w:tc>
          <w:tcPr>
            <w:tcW w:w="1417" w:type="dxa"/>
            <w:vMerge w:val="restart"/>
            <w:vAlign w:val="center"/>
          </w:tcPr>
          <w:p w14:paraId="3B3696C0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基础指标要求</w:t>
            </w:r>
          </w:p>
        </w:tc>
        <w:tc>
          <w:tcPr>
            <w:tcW w:w="2268" w:type="dxa"/>
            <w:vAlign w:val="center"/>
          </w:tcPr>
          <w:p w14:paraId="38421B58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核心指标先进水平要求</w:t>
            </w:r>
          </w:p>
        </w:tc>
        <w:tc>
          <w:tcPr>
            <w:tcW w:w="2268" w:type="dxa"/>
            <w:vAlign w:val="center"/>
          </w:tcPr>
          <w:p w14:paraId="5B1FBF68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/>
                <w:bCs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创新性指标要求</w:t>
            </w:r>
          </w:p>
          <w:p w14:paraId="6BFEDAB6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（先进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水平</w:t>
            </w: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要求）</w:t>
            </w:r>
          </w:p>
        </w:tc>
      </w:tr>
      <w:tr w:rsidR="00BD6E98" w14:paraId="15F1251A" w14:textId="77777777" w:rsidTr="000859A5">
        <w:trPr>
          <w:trHeight w:val="70"/>
          <w:jc w:val="center"/>
        </w:trPr>
        <w:tc>
          <w:tcPr>
            <w:tcW w:w="1835" w:type="dxa"/>
            <w:vAlign w:val="center"/>
          </w:tcPr>
          <w:p w14:paraId="07BCFB0F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二级应同时满足</w:t>
            </w:r>
          </w:p>
        </w:tc>
        <w:tc>
          <w:tcPr>
            <w:tcW w:w="993" w:type="dxa"/>
            <w:vMerge/>
            <w:vAlign w:val="center"/>
          </w:tcPr>
          <w:p w14:paraId="77F82658" w14:textId="77777777" w:rsidR="00BD6E98" w:rsidRPr="00683EC6" w:rsidRDefault="00BD6E98" w:rsidP="000859A5">
            <w:pPr>
              <w:pStyle w:val="ac"/>
              <w:widowControl w:val="0"/>
              <w:ind w:firstLine="36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5E3EB25" w14:textId="77777777" w:rsidR="00BD6E98" w:rsidRPr="00683EC6" w:rsidRDefault="00BD6E98" w:rsidP="000859A5">
            <w:pPr>
              <w:pStyle w:val="ac"/>
              <w:widowControl w:val="0"/>
              <w:ind w:firstLine="36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C09095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核心指标平均水平要求</w:t>
            </w:r>
          </w:p>
        </w:tc>
        <w:tc>
          <w:tcPr>
            <w:tcW w:w="2268" w:type="dxa"/>
            <w:vAlign w:val="center"/>
          </w:tcPr>
          <w:p w14:paraId="5D776910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/>
                <w:bCs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创新性指标要求</w:t>
            </w:r>
          </w:p>
          <w:p w14:paraId="490668D9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/>
                <w:bCs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（平均</w:t>
            </w:r>
            <w:r>
              <w:rPr>
                <w:rFonts w:hAnsi="宋体" w:hint="eastAsia"/>
                <w:bCs/>
                <w:color w:val="000000"/>
                <w:sz w:val="18"/>
                <w:szCs w:val="18"/>
              </w:rPr>
              <w:t>水平</w:t>
            </w: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要求）</w:t>
            </w:r>
          </w:p>
        </w:tc>
      </w:tr>
      <w:tr w:rsidR="00BD6E98" w14:paraId="4E73CBCC" w14:textId="77777777" w:rsidTr="000859A5">
        <w:trPr>
          <w:trHeight w:val="494"/>
          <w:jc w:val="center"/>
        </w:trPr>
        <w:tc>
          <w:tcPr>
            <w:tcW w:w="1835" w:type="dxa"/>
            <w:vAlign w:val="center"/>
          </w:tcPr>
          <w:p w14:paraId="5F2908DF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三级应同时满足</w:t>
            </w:r>
          </w:p>
        </w:tc>
        <w:tc>
          <w:tcPr>
            <w:tcW w:w="993" w:type="dxa"/>
            <w:vMerge/>
            <w:vAlign w:val="center"/>
          </w:tcPr>
          <w:p w14:paraId="44463638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49AC8B3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126A5F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 w:hint="eastAsia"/>
                <w:bCs/>
                <w:color w:val="000000"/>
                <w:sz w:val="18"/>
                <w:szCs w:val="18"/>
              </w:rPr>
              <w:t>核心指标基准水平要求</w:t>
            </w:r>
          </w:p>
        </w:tc>
        <w:tc>
          <w:tcPr>
            <w:tcW w:w="2268" w:type="dxa"/>
            <w:vAlign w:val="center"/>
          </w:tcPr>
          <w:p w14:paraId="4A879534" w14:textId="77777777" w:rsidR="00BD6E98" w:rsidRPr="00683EC6" w:rsidRDefault="00BD6E98" w:rsidP="000859A5">
            <w:pPr>
              <w:pStyle w:val="ac"/>
              <w:widowControl w:val="0"/>
              <w:ind w:firstLineChars="0" w:firstLine="0"/>
              <w:jc w:val="center"/>
              <w:rPr>
                <w:rFonts w:hAnsi="宋体" w:cs="等线 Light"/>
                <w:color w:val="000000"/>
                <w:sz w:val="18"/>
                <w:szCs w:val="18"/>
              </w:rPr>
            </w:pPr>
            <w:r w:rsidRPr="00683EC6">
              <w:rPr>
                <w:rFonts w:hAnsi="宋体"/>
                <w:bCs/>
                <w:color w:val="000000"/>
                <w:sz w:val="18"/>
                <w:szCs w:val="18"/>
              </w:rPr>
              <w:t>—</w:t>
            </w:r>
          </w:p>
        </w:tc>
      </w:tr>
    </w:tbl>
    <w:p w14:paraId="4B5E3E21" w14:textId="15B0FCCF" w:rsidR="00370DDE" w:rsidRPr="00156FFD" w:rsidRDefault="00156FFD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指标评价要求及等级划分符合</w:t>
      </w:r>
      <w:r w:rsidRPr="00156FFD">
        <w:rPr>
          <w:rFonts w:ascii="Times New Roman" w:eastAsia="仿宋_GB2312" w:hAnsi="Times New Roman" w:cs="Times New Roman" w:hint="eastAsia"/>
          <w:sz w:val="28"/>
          <w:szCs w:val="28"/>
        </w:rPr>
        <w:t>T/CAQP 015 T/ESF 0001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《</w:t>
      </w:r>
      <w:r w:rsidRPr="00156FFD">
        <w:rPr>
          <w:rFonts w:ascii="Times New Roman" w:eastAsia="仿宋_GB2312" w:hAnsi="Times New Roman" w:cs="Times New Roman" w:hint="eastAsia"/>
          <w:sz w:val="28"/>
          <w:szCs w:val="28"/>
        </w:rPr>
        <w:t>“领跑者”标准编制通则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》要求，与</w:t>
      </w:r>
      <w:r w:rsidR="00E90EB8">
        <w:rPr>
          <w:rFonts w:ascii="Times New Roman" w:eastAsia="仿宋_GB2312" w:hAnsi="Times New Roman" w:cs="Times New Roman" w:hint="eastAsia"/>
          <w:sz w:val="28"/>
          <w:szCs w:val="28"/>
        </w:rPr>
        <w:t>相关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“领跑者”标准的评价方法保持一致。</w:t>
      </w:r>
    </w:p>
    <w:p w14:paraId="79825CD7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六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、与国内其它法律、法规的关系</w:t>
      </w:r>
    </w:p>
    <w:p w14:paraId="193090AE" w14:textId="77777777" w:rsidR="005A6F0A" w:rsidRPr="005A6F0A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A6F0A">
        <w:rPr>
          <w:rFonts w:ascii="Times New Roman" w:eastAsia="仿宋_GB2312" w:hAnsi="Times New Roman" w:cs="Times New Roman"/>
          <w:sz w:val="28"/>
          <w:szCs w:val="28"/>
        </w:rPr>
        <w:t>制定本标准时依据并引用了国内有关现行有效的标准，也不违背国内其它行业标准、法律、法规及强制性标准的有关规定。</w:t>
      </w:r>
    </w:p>
    <w:p w14:paraId="772B1E54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七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、标准属性</w:t>
      </w:r>
    </w:p>
    <w:p w14:paraId="4C37626B" w14:textId="77777777" w:rsidR="005A6F0A" w:rsidRPr="005A6F0A" w:rsidRDefault="005A6F0A" w:rsidP="005A6F0A">
      <w:pPr>
        <w:spacing w:line="360" w:lineRule="auto"/>
        <w:ind w:firstLine="480"/>
        <w:rPr>
          <w:rFonts w:ascii="Times New Roman" w:eastAsia="仿宋" w:hAnsi="Times New Roman" w:cs="Times New Roman"/>
          <w:sz w:val="28"/>
          <w:szCs w:val="28"/>
        </w:rPr>
      </w:pPr>
      <w:r w:rsidRPr="005A6F0A">
        <w:rPr>
          <w:rFonts w:ascii="Times New Roman" w:eastAsia="仿宋" w:hAnsi="Times New Roman" w:cs="Times New Roman"/>
          <w:sz w:val="28"/>
          <w:szCs w:val="28"/>
        </w:rPr>
        <w:t>本标准属于</w:t>
      </w:r>
      <w:r w:rsidRPr="005A6F0A">
        <w:rPr>
          <w:rFonts w:ascii="Times New Roman" w:eastAsia="仿宋" w:hAnsi="Times New Roman" w:cs="Times New Roman" w:hint="eastAsia"/>
          <w:sz w:val="28"/>
          <w:szCs w:val="28"/>
        </w:rPr>
        <w:t>中国</w:t>
      </w:r>
      <w:r w:rsidR="001351BC">
        <w:rPr>
          <w:rFonts w:ascii="Times New Roman" w:eastAsia="仿宋" w:hAnsi="Times New Roman" w:cs="Times New Roman" w:hint="eastAsia"/>
          <w:sz w:val="28"/>
          <w:szCs w:val="28"/>
        </w:rPr>
        <w:t>特钢企业</w:t>
      </w:r>
      <w:r w:rsidRPr="005A6F0A">
        <w:rPr>
          <w:rFonts w:ascii="Times New Roman" w:eastAsia="仿宋" w:hAnsi="Times New Roman" w:cs="Times New Roman" w:hint="eastAsia"/>
          <w:sz w:val="28"/>
          <w:szCs w:val="28"/>
        </w:rPr>
        <w:t>协会</w:t>
      </w:r>
      <w:r w:rsidRPr="005A6F0A">
        <w:rPr>
          <w:rFonts w:ascii="Times New Roman" w:eastAsia="仿宋" w:hAnsi="Times New Roman" w:cs="Times New Roman"/>
          <w:sz w:val="28"/>
          <w:szCs w:val="28"/>
        </w:rPr>
        <w:t>团体标准。</w:t>
      </w:r>
    </w:p>
    <w:p w14:paraId="03C77DEA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八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、标准水平及预期效果</w:t>
      </w:r>
    </w:p>
    <w:p w14:paraId="173621B9" w14:textId="77777777" w:rsidR="005A6F0A" w:rsidRPr="005A6F0A" w:rsidRDefault="00370DDE" w:rsidP="005A6F0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70DDE">
        <w:rPr>
          <w:rFonts w:ascii="Times New Roman" w:eastAsia="仿宋" w:hAnsi="Times New Roman" w:cs="Times New Roman" w:hint="eastAsia"/>
          <w:sz w:val="28"/>
          <w:szCs w:val="28"/>
        </w:rPr>
        <w:t>在新型标准化体系中，企业标准定位为先进引领性的标准。但是企业的标准化工作缺乏参考与指导，因此很多企业标准存在编制格式不规范、指标未覆盖国家和行业标准相关要求、指标选取缺乏科学依据、指标水平不够先进等问题。该标准的制定一方面有利于指导企业编写企业标准，并可用于对企业标准的水平进行评价，另一方面可以指导第三方评估机构编制“排行榜”和</w:t>
      </w:r>
      <w:r w:rsidR="006B7301">
        <w:rPr>
          <w:rFonts w:ascii="Times New Roman" w:eastAsia="仿宋_GB2312" w:hAnsi="Times New Roman" w:cs="Times New Roman" w:hint="eastAsia"/>
          <w:sz w:val="28"/>
          <w:szCs w:val="28"/>
        </w:rPr>
        <w:t>“领跑者”</w:t>
      </w:r>
      <w:r w:rsidRPr="00370DDE">
        <w:rPr>
          <w:rFonts w:ascii="Times New Roman" w:eastAsia="仿宋" w:hAnsi="Times New Roman" w:cs="Times New Roman" w:hint="eastAsia"/>
          <w:sz w:val="28"/>
          <w:szCs w:val="28"/>
        </w:rPr>
        <w:t>评估方案并开展有关评估工作。</w:t>
      </w:r>
    </w:p>
    <w:p w14:paraId="12B87407" w14:textId="77777777" w:rsidR="005A6F0A" w:rsidRPr="005A6F0A" w:rsidRDefault="005A6F0A" w:rsidP="005A6F0A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5A6F0A">
        <w:rPr>
          <w:rFonts w:ascii="Times New Roman" w:eastAsia="仿宋_GB2312" w:hAnsi="Times New Roman" w:cs="Times New Roman" w:hint="eastAsia"/>
          <w:b/>
          <w:kern w:val="44"/>
          <w:sz w:val="28"/>
          <w:szCs w:val="28"/>
        </w:rPr>
        <w:t>九</w:t>
      </w:r>
      <w:r w:rsidRPr="005A6F0A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、贯彻要求及建议</w:t>
      </w:r>
    </w:p>
    <w:p w14:paraId="4947DE66" w14:textId="77777777" w:rsidR="005A6F0A" w:rsidRPr="005A6F0A" w:rsidRDefault="005A6F0A" w:rsidP="005A6F0A">
      <w:pPr>
        <w:spacing w:line="360" w:lineRule="auto"/>
        <w:ind w:firstLineChars="175" w:firstLine="49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A6F0A">
        <w:rPr>
          <w:rFonts w:ascii="Times New Roman" w:eastAsia="仿宋" w:hAnsi="Times New Roman" w:cs="Times New Roman"/>
          <w:sz w:val="28"/>
          <w:szCs w:val="28"/>
        </w:rPr>
        <w:t>本标准归口单位为中国</w:t>
      </w:r>
      <w:r w:rsidR="001351BC">
        <w:rPr>
          <w:rFonts w:ascii="Times New Roman" w:eastAsia="仿宋" w:hAnsi="Times New Roman" w:cs="Times New Roman" w:hint="eastAsia"/>
          <w:sz w:val="28"/>
          <w:szCs w:val="28"/>
        </w:rPr>
        <w:t>特钢企业</w:t>
      </w:r>
      <w:r w:rsidRPr="005A6F0A">
        <w:rPr>
          <w:rFonts w:ascii="Times New Roman" w:eastAsia="仿宋" w:hAnsi="Times New Roman" w:cs="Times New Roman" w:hint="eastAsia"/>
          <w:sz w:val="28"/>
          <w:szCs w:val="28"/>
        </w:rPr>
        <w:t>协会</w:t>
      </w:r>
      <w:r w:rsidRPr="005A6F0A">
        <w:rPr>
          <w:rFonts w:ascii="Times New Roman" w:eastAsia="仿宋" w:hAnsi="Times New Roman" w:cs="Times New Roman"/>
          <w:sz w:val="28"/>
          <w:szCs w:val="28"/>
        </w:rPr>
        <w:t>，经过审定报批后，</w:t>
      </w: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由</w:t>
      </w:r>
      <w:r w:rsidR="001351BC" w:rsidRPr="001351BC">
        <w:rPr>
          <w:rFonts w:ascii="Times New Roman" w:eastAsia="仿宋_GB2312" w:hAnsi="Times New Roman" w:cs="Times New Roman" w:hint="eastAsia"/>
          <w:sz w:val="28"/>
          <w:szCs w:val="28"/>
        </w:rPr>
        <w:t>中国</w:t>
      </w:r>
      <w:r w:rsidR="001351BC" w:rsidRPr="001351BC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特钢企业协会</w:t>
      </w:r>
      <w:r w:rsidRPr="005A6F0A">
        <w:rPr>
          <w:rFonts w:ascii="Times New Roman" w:eastAsia="仿宋_GB2312" w:hAnsi="Times New Roman" w:cs="Times New Roman" w:hint="eastAsia"/>
          <w:sz w:val="28"/>
          <w:szCs w:val="28"/>
        </w:rPr>
        <w:t>发布</w:t>
      </w:r>
      <w:r w:rsidRPr="005A6F0A">
        <w:rPr>
          <w:rFonts w:ascii="Times New Roman" w:eastAsia="仿宋" w:hAnsi="Times New Roman" w:cs="Times New Roman"/>
          <w:sz w:val="28"/>
          <w:szCs w:val="28"/>
        </w:rPr>
        <w:t>。建议在</w:t>
      </w:r>
      <w:r w:rsidR="00370DDE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61121B">
        <w:rPr>
          <w:rFonts w:ascii="Times New Roman" w:eastAsia="仿宋" w:hAnsi="Times New Roman" w:cs="Times New Roman" w:hint="eastAsia"/>
          <w:sz w:val="28"/>
          <w:szCs w:val="28"/>
        </w:rPr>
        <w:t>领跑者”标准</w:t>
      </w:r>
      <w:r w:rsidR="00370DDE">
        <w:rPr>
          <w:rFonts w:ascii="Times New Roman" w:eastAsia="仿宋" w:hAnsi="Times New Roman" w:cs="Times New Roman" w:hint="eastAsia"/>
          <w:sz w:val="28"/>
          <w:szCs w:val="28"/>
        </w:rPr>
        <w:t>评价机构</w:t>
      </w:r>
      <w:r w:rsidR="003645CC">
        <w:rPr>
          <w:rFonts w:ascii="Times New Roman" w:eastAsia="仿宋" w:hAnsi="Times New Roman" w:cs="Times New Roman" w:hint="eastAsia"/>
          <w:sz w:val="28"/>
          <w:szCs w:val="28"/>
        </w:rPr>
        <w:t>、相关生产企业</w:t>
      </w:r>
      <w:r w:rsidRPr="005A6F0A">
        <w:rPr>
          <w:rFonts w:ascii="Times New Roman" w:eastAsia="仿宋" w:hAnsi="Times New Roman" w:cs="Times New Roman"/>
          <w:sz w:val="28"/>
          <w:szCs w:val="28"/>
        </w:rPr>
        <w:t>宣贯执行</w:t>
      </w:r>
      <w:r w:rsidR="00370DDE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652BCF30" w14:textId="77777777" w:rsidR="00783E38" w:rsidRPr="005A6F0A" w:rsidRDefault="00783E38"/>
    <w:sectPr w:rsidR="00783E38" w:rsidRPr="005A6F0A" w:rsidSect="00C60ED6">
      <w:footerReference w:type="even" r:id="rId8"/>
      <w:footerReference w:type="default" r:id="rId9"/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113A" w14:textId="77777777" w:rsidR="00CD445D" w:rsidRDefault="00CD445D" w:rsidP="005A6F0A">
      <w:r>
        <w:separator/>
      </w:r>
    </w:p>
  </w:endnote>
  <w:endnote w:type="continuationSeparator" w:id="0">
    <w:p w14:paraId="58717A9F" w14:textId="77777777" w:rsidR="00CD445D" w:rsidRDefault="00CD445D" w:rsidP="005A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53CC" w14:textId="77777777" w:rsidR="00715E2C" w:rsidRDefault="00840F1A">
    <w:pPr>
      <w:pStyle w:val="a6"/>
      <w:jc w:val="center"/>
    </w:pPr>
    <w:r>
      <w:fldChar w:fldCharType="begin"/>
    </w:r>
    <w:r w:rsidR="00715E2C">
      <w:instrText>PAGE   \* MERGEFORMAT</w:instrText>
    </w:r>
    <w:r>
      <w:fldChar w:fldCharType="separate"/>
    </w:r>
    <w:r w:rsidR="00715E2C" w:rsidRPr="00310A8E">
      <w:rPr>
        <w:noProof/>
        <w:lang w:val="zh-CN"/>
      </w:rPr>
      <w:t>6</w:t>
    </w:r>
    <w:r>
      <w:fldChar w:fldCharType="end"/>
    </w:r>
  </w:p>
  <w:p w14:paraId="0B818730" w14:textId="77777777" w:rsidR="00715E2C" w:rsidRDefault="00715E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63D5" w14:textId="77777777" w:rsidR="00715E2C" w:rsidRDefault="00840F1A" w:rsidP="00C60ED6">
    <w:pPr>
      <w:pStyle w:val="a6"/>
      <w:jc w:val="center"/>
    </w:pPr>
    <w:r>
      <w:fldChar w:fldCharType="begin"/>
    </w:r>
    <w:r w:rsidR="00715E2C">
      <w:instrText>PAGE   \* MERGEFORMAT</w:instrText>
    </w:r>
    <w:r>
      <w:fldChar w:fldCharType="separate"/>
    </w:r>
    <w:r w:rsidR="004966BA" w:rsidRPr="004966BA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4000" w14:textId="77777777" w:rsidR="00CD445D" w:rsidRDefault="00CD445D" w:rsidP="005A6F0A">
      <w:r>
        <w:separator/>
      </w:r>
    </w:p>
  </w:footnote>
  <w:footnote w:type="continuationSeparator" w:id="0">
    <w:p w14:paraId="6AC4611A" w14:textId="77777777" w:rsidR="00CD445D" w:rsidRDefault="00CD445D" w:rsidP="005A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260FA"/>
    <w:multiLevelType w:val="multilevel"/>
    <w:tmpl w:val="4F2011E8"/>
    <w:lvl w:ilvl="0">
      <w:start w:val="1"/>
      <w:numFmt w:val="decimal"/>
      <w:pStyle w:val="a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69"/>
    <w:rsid w:val="00011BB4"/>
    <w:rsid w:val="00015BDD"/>
    <w:rsid w:val="00027A9C"/>
    <w:rsid w:val="00027AD3"/>
    <w:rsid w:val="00037379"/>
    <w:rsid w:val="00037AD9"/>
    <w:rsid w:val="000541E0"/>
    <w:rsid w:val="00061866"/>
    <w:rsid w:val="00063603"/>
    <w:rsid w:val="000847CA"/>
    <w:rsid w:val="00093A71"/>
    <w:rsid w:val="000A239E"/>
    <w:rsid w:val="000B3CC5"/>
    <w:rsid w:val="000C2E6C"/>
    <w:rsid w:val="000D0A5B"/>
    <w:rsid w:val="000E4DB8"/>
    <w:rsid w:val="000F0D86"/>
    <w:rsid w:val="000F3A7F"/>
    <w:rsid w:val="000F4EDD"/>
    <w:rsid w:val="0010039C"/>
    <w:rsid w:val="00104825"/>
    <w:rsid w:val="0011017E"/>
    <w:rsid w:val="00113B29"/>
    <w:rsid w:val="00117113"/>
    <w:rsid w:val="001267A4"/>
    <w:rsid w:val="0013393F"/>
    <w:rsid w:val="001350E9"/>
    <w:rsid w:val="001351BC"/>
    <w:rsid w:val="001414E1"/>
    <w:rsid w:val="001512FC"/>
    <w:rsid w:val="00156FFD"/>
    <w:rsid w:val="00157247"/>
    <w:rsid w:val="0016019F"/>
    <w:rsid w:val="00163E34"/>
    <w:rsid w:val="00167428"/>
    <w:rsid w:val="00176600"/>
    <w:rsid w:val="001A30AD"/>
    <w:rsid w:val="001A5B6F"/>
    <w:rsid w:val="001C0C28"/>
    <w:rsid w:val="001C3C21"/>
    <w:rsid w:val="001C74DE"/>
    <w:rsid w:val="001C7ACB"/>
    <w:rsid w:val="001D02F9"/>
    <w:rsid w:val="001D1C23"/>
    <w:rsid w:val="001D27B7"/>
    <w:rsid w:val="001E77D9"/>
    <w:rsid w:val="001F7509"/>
    <w:rsid w:val="00200450"/>
    <w:rsid w:val="00204AEE"/>
    <w:rsid w:val="00206D72"/>
    <w:rsid w:val="00207A30"/>
    <w:rsid w:val="002102F0"/>
    <w:rsid w:val="00217630"/>
    <w:rsid w:val="00217F97"/>
    <w:rsid w:val="00230D0B"/>
    <w:rsid w:val="00230D70"/>
    <w:rsid w:val="002359F9"/>
    <w:rsid w:val="00264EC4"/>
    <w:rsid w:val="00272E87"/>
    <w:rsid w:val="002764BC"/>
    <w:rsid w:val="00286581"/>
    <w:rsid w:val="002871AE"/>
    <w:rsid w:val="0029654A"/>
    <w:rsid w:val="00297AF2"/>
    <w:rsid w:val="002A4627"/>
    <w:rsid w:val="002B256C"/>
    <w:rsid w:val="002B5927"/>
    <w:rsid w:val="002C565F"/>
    <w:rsid w:val="002D04C9"/>
    <w:rsid w:val="002D147D"/>
    <w:rsid w:val="002D6E47"/>
    <w:rsid w:val="002D7653"/>
    <w:rsid w:val="002D7B20"/>
    <w:rsid w:val="002E0001"/>
    <w:rsid w:val="002E2F94"/>
    <w:rsid w:val="00312EDE"/>
    <w:rsid w:val="00320B80"/>
    <w:rsid w:val="00332A10"/>
    <w:rsid w:val="00341005"/>
    <w:rsid w:val="00343C70"/>
    <w:rsid w:val="00354D21"/>
    <w:rsid w:val="00362AEA"/>
    <w:rsid w:val="003645CC"/>
    <w:rsid w:val="00370591"/>
    <w:rsid w:val="00370DDE"/>
    <w:rsid w:val="00374538"/>
    <w:rsid w:val="00381178"/>
    <w:rsid w:val="0038138A"/>
    <w:rsid w:val="00381AC6"/>
    <w:rsid w:val="003831CF"/>
    <w:rsid w:val="003962B8"/>
    <w:rsid w:val="003A5361"/>
    <w:rsid w:val="003B0C4D"/>
    <w:rsid w:val="003E3B6A"/>
    <w:rsid w:val="003E5EB2"/>
    <w:rsid w:val="003E6D0E"/>
    <w:rsid w:val="003E78E6"/>
    <w:rsid w:val="004221BC"/>
    <w:rsid w:val="0042287E"/>
    <w:rsid w:val="004276C7"/>
    <w:rsid w:val="004341FE"/>
    <w:rsid w:val="0044506E"/>
    <w:rsid w:val="004469DF"/>
    <w:rsid w:val="004529F8"/>
    <w:rsid w:val="004966BA"/>
    <w:rsid w:val="00497F32"/>
    <w:rsid w:val="004A069D"/>
    <w:rsid w:val="004A1539"/>
    <w:rsid w:val="004A2E49"/>
    <w:rsid w:val="004A4388"/>
    <w:rsid w:val="004C34B4"/>
    <w:rsid w:val="004C38D8"/>
    <w:rsid w:val="004C4969"/>
    <w:rsid w:val="004D06CE"/>
    <w:rsid w:val="004D44F2"/>
    <w:rsid w:val="004E3EE1"/>
    <w:rsid w:val="004F0CD3"/>
    <w:rsid w:val="004F75C1"/>
    <w:rsid w:val="00504213"/>
    <w:rsid w:val="00504A8F"/>
    <w:rsid w:val="0050569C"/>
    <w:rsid w:val="00510D8D"/>
    <w:rsid w:val="00523DF2"/>
    <w:rsid w:val="00524246"/>
    <w:rsid w:val="00531783"/>
    <w:rsid w:val="00540783"/>
    <w:rsid w:val="00543C4F"/>
    <w:rsid w:val="00553213"/>
    <w:rsid w:val="00560781"/>
    <w:rsid w:val="005616F1"/>
    <w:rsid w:val="00566B35"/>
    <w:rsid w:val="0059186B"/>
    <w:rsid w:val="00592096"/>
    <w:rsid w:val="005924C1"/>
    <w:rsid w:val="005932D2"/>
    <w:rsid w:val="0059671A"/>
    <w:rsid w:val="005A0566"/>
    <w:rsid w:val="005A1A10"/>
    <w:rsid w:val="005A6F0A"/>
    <w:rsid w:val="005C3EF8"/>
    <w:rsid w:val="005D3296"/>
    <w:rsid w:val="005D6C11"/>
    <w:rsid w:val="005E60A6"/>
    <w:rsid w:val="005F13EC"/>
    <w:rsid w:val="005F5102"/>
    <w:rsid w:val="0061121B"/>
    <w:rsid w:val="006173C4"/>
    <w:rsid w:val="00617908"/>
    <w:rsid w:val="00620B9B"/>
    <w:rsid w:val="00624FCE"/>
    <w:rsid w:val="00643006"/>
    <w:rsid w:val="0064582B"/>
    <w:rsid w:val="00662968"/>
    <w:rsid w:val="0066361E"/>
    <w:rsid w:val="0066540B"/>
    <w:rsid w:val="00666CED"/>
    <w:rsid w:val="006730B5"/>
    <w:rsid w:val="00673FFD"/>
    <w:rsid w:val="00685CCF"/>
    <w:rsid w:val="006B7301"/>
    <w:rsid w:val="006B7A2D"/>
    <w:rsid w:val="006C0100"/>
    <w:rsid w:val="006C0276"/>
    <w:rsid w:val="006C2C1A"/>
    <w:rsid w:val="006C3E62"/>
    <w:rsid w:val="006C69EF"/>
    <w:rsid w:val="006C7864"/>
    <w:rsid w:val="006D4DD3"/>
    <w:rsid w:val="006E2C58"/>
    <w:rsid w:val="00703493"/>
    <w:rsid w:val="0070513F"/>
    <w:rsid w:val="007052B3"/>
    <w:rsid w:val="007117FA"/>
    <w:rsid w:val="0071432D"/>
    <w:rsid w:val="007153E8"/>
    <w:rsid w:val="00715E2C"/>
    <w:rsid w:val="00716B03"/>
    <w:rsid w:val="0072201A"/>
    <w:rsid w:val="007327B4"/>
    <w:rsid w:val="00733FB2"/>
    <w:rsid w:val="0073464D"/>
    <w:rsid w:val="00740D1B"/>
    <w:rsid w:val="007411F8"/>
    <w:rsid w:val="007566CD"/>
    <w:rsid w:val="0076167B"/>
    <w:rsid w:val="00766C0E"/>
    <w:rsid w:val="00770CE4"/>
    <w:rsid w:val="00775056"/>
    <w:rsid w:val="00775A47"/>
    <w:rsid w:val="00783E38"/>
    <w:rsid w:val="00785AEC"/>
    <w:rsid w:val="00796549"/>
    <w:rsid w:val="007A1C24"/>
    <w:rsid w:val="007B2F39"/>
    <w:rsid w:val="007B377E"/>
    <w:rsid w:val="007B56D5"/>
    <w:rsid w:val="007E35B3"/>
    <w:rsid w:val="007F7ADD"/>
    <w:rsid w:val="00802637"/>
    <w:rsid w:val="00810015"/>
    <w:rsid w:val="00816E04"/>
    <w:rsid w:val="008309FE"/>
    <w:rsid w:val="008355DF"/>
    <w:rsid w:val="00840DDC"/>
    <w:rsid w:val="00840F1A"/>
    <w:rsid w:val="008446C6"/>
    <w:rsid w:val="00844B6B"/>
    <w:rsid w:val="008458F0"/>
    <w:rsid w:val="00851310"/>
    <w:rsid w:val="00853EB2"/>
    <w:rsid w:val="00854074"/>
    <w:rsid w:val="00863427"/>
    <w:rsid w:val="0087775E"/>
    <w:rsid w:val="00883663"/>
    <w:rsid w:val="00892CEF"/>
    <w:rsid w:val="00892D4F"/>
    <w:rsid w:val="008B5D9D"/>
    <w:rsid w:val="008B6643"/>
    <w:rsid w:val="008C3087"/>
    <w:rsid w:val="008C3578"/>
    <w:rsid w:val="008D4B9D"/>
    <w:rsid w:val="008E323F"/>
    <w:rsid w:val="008E566C"/>
    <w:rsid w:val="008E634D"/>
    <w:rsid w:val="00913D39"/>
    <w:rsid w:val="009158CB"/>
    <w:rsid w:val="00916418"/>
    <w:rsid w:val="0091769D"/>
    <w:rsid w:val="0092577F"/>
    <w:rsid w:val="00926006"/>
    <w:rsid w:val="009278B1"/>
    <w:rsid w:val="00934DD2"/>
    <w:rsid w:val="00940E50"/>
    <w:rsid w:val="009453A1"/>
    <w:rsid w:val="0094698D"/>
    <w:rsid w:val="009474B1"/>
    <w:rsid w:val="00964F99"/>
    <w:rsid w:val="009677C3"/>
    <w:rsid w:val="009912DE"/>
    <w:rsid w:val="00991D36"/>
    <w:rsid w:val="009A16CE"/>
    <w:rsid w:val="009A60E4"/>
    <w:rsid w:val="009A6CFB"/>
    <w:rsid w:val="009B1E3A"/>
    <w:rsid w:val="009B31CB"/>
    <w:rsid w:val="009B7D4F"/>
    <w:rsid w:val="009C0B83"/>
    <w:rsid w:val="009C356E"/>
    <w:rsid w:val="009F1BB0"/>
    <w:rsid w:val="009F53C0"/>
    <w:rsid w:val="00A02C9D"/>
    <w:rsid w:val="00A140CB"/>
    <w:rsid w:val="00A220CE"/>
    <w:rsid w:val="00A4214F"/>
    <w:rsid w:val="00A43D13"/>
    <w:rsid w:val="00A45A94"/>
    <w:rsid w:val="00A54778"/>
    <w:rsid w:val="00A6585D"/>
    <w:rsid w:val="00A77429"/>
    <w:rsid w:val="00A81A96"/>
    <w:rsid w:val="00A83D18"/>
    <w:rsid w:val="00A939F5"/>
    <w:rsid w:val="00AA603E"/>
    <w:rsid w:val="00AC2F36"/>
    <w:rsid w:val="00AC535E"/>
    <w:rsid w:val="00AC674C"/>
    <w:rsid w:val="00AC6A32"/>
    <w:rsid w:val="00AD5381"/>
    <w:rsid w:val="00AE3BEE"/>
    <w:rsid w:val="00AE730C"/>
    <w:rsid w:val="00AF361A"/>
    <w:rsid w:val="00B00731"/>
    <w:rsid w:val="00B05C26"/>
    <w:rsid w:val="00B12577"/>
    <w:rsid w:val="00B13967"/>
    <w:rsid w:val="00B1546B"/>
    <w:rsid w:val="00B1689B"/>
    <w:rsid w:val="00B17F43"/>
    <w:rsid w:val="00B24AE1"/>
    <w:rsid w:val="00B27A3B"/>
    <w:rsid w:val="00B32BC4"/>
    <w:rsid w:val="00B41D7F"/>
    <w:rsid w:val="00B4577E"/>
    <w:rsid w:val="00B55E6F"/>
    <w:rsid w:val="00B63A2B"/>
    <w:rsid w:val="00B70E46"/>
    <w:rsid w:val="00B80073"/>
    <w:rsid w:val="00B9762F"/>
    <w:rsid w:val="00BA0A80"/>
    <w:rsid w:val="00BB4D4F"/>
    <w:rsid w:val="00BC20E2"/>
    <w:rsid w:val="00BC665E"/>
    <w:rsid w:val="00BC6980"/>
    <w:rsid w:val="00BC7C74"/>
    <w:rsid w:val="00BD36E8"/>
    <w:rsid w:val="00BD5812"/>
    <w:rsid w:val="00BD6E98"/>
    <w:rsid w:val="00BF0FBD"/>
    <w:rsid w:val="00BF4624"/>
    <w:rsid w:val="00BF6EB4"/>
    <w:rsid w:val="00C20241"/>
    <w:rsid w:val="00C23A0D"/>
    <w:rsid w:val="00C242FF"/>
    <w:rsid w:val="00C47479"/>
    <w:rsid w:val="00C60ED6"/>
    <w:rsid w:val="00C61F01"/>
    <w:rsid w:val="00C67CCB"/>
    <w:rsid w:val="00C71381"/>
    <w:rsid w:val="00C773F5"/>
    <w:rsid w:val="00C77D8B"/>
    <w:rsid w:val="00C85D4F"/>
    <w:rsid w:val="00C906A3"/>
    <w:rsid w:val="00CB17B1"/>
    <w:rsid w:val="00CB793F"/>
    <w:rsid w:val="00CD01B7"/>
    <w:rsid w:val="00CD0987"/>
    <w:rsid w:val="00CD445D"/>
    <w:rsid w:val="00CE0042"/>
    <w:rsid w:val="00CE4AFE"/>
    <w:rsid w:val="00D004DE"/>
    <w:rsid w:val="00D07D75"/>
    <w:rsid w:val="00D16E4F"/>
    <w:rsid w:val="00D261BE"/>
    <w:rsid w:val="00D31E2E"/>
    <w:rsid w:val="00D3454F"/>
    <w:rsid w:val="00D35BD8"/>
    <w:rsid w:val="00D42AE3"/>
    <w:rsid w:val="00D43D6E"/>
    <w:rsid w:val="00D44BBC"/>
    <w:rsid w:val="00D47E5C"/>
    <w:rsid w:val="00D5312D"/>
    <w:rsid w:val="00D53F1E"/>
    <w:rsid w:val="00D614AB"/>
    <w:rsid w:val="00D61CB4"/>
    <w:rsid w:val="00D65E94"/>
    <w:rsid w:val="00D6724F"/>
    <w:rsid w:val="00D72EBE"/>
    <w:rsid w:val="00D8029F"/>
    <w:rsid w:val="00D83446"/>
    <w:rsid w:val="00D85DFE"/>
    <w:rsid w:val="00DA02B8"/>
    <w:rsid w:val="00DA1A9B"/>
    <w:rsid w:val="00DA440F"/>
    <w:rsid w:val="00DB4495"/>
    <w:rsid w:val="00DB4E09"/>
    <w:rsid w:val="00DB5C37"/>
    <w:rsid w:val="00DC5FC2"/>
    <w:rsid w:val="00DC638D"/>
    <w:rsid w:val="00DD081F"/>
    <w:rsid w:val="00DD263E"/>
    <w:rsid w:val="00DE3871"/>
    <w:rsid w:val="00DF433D"/>
    <w:rsid w:val="00E020DA"/>
    <w:rsid w:val="00E03783"/>
    <w:rsid w:val="00E12DF0"/>
    <w:rsid w:val="00E202AF"/>
    <w:rsid w:val="00E510BE"/>
    <w:rsid w:val="00E539AD"/>
    <w:rsid w:val="00E5496F"/>
    <w:rsid w:val="00E560E4"/>
    <w:rsid w:val="00E71BC2"/>
    <w:rsid w:val="00E82A08"/>
    <w:rsid w:val="00E90EB8"/>
    <w:rsid w:val="00EA0015"/>
    <w:rsid w:val="00EA061C"/>
    <w:rsid w:val="00EA69E4"/>
    <w:rsid w:val="00EB2A2C"/>
    <w:rsid w:val="00EC28C5"/>
    <w:rsid w:val="00EC6840"/>
    <w:rsid w:val="00EC746F"/>
    <w:rsid w:val="00ED3972"/>
    <w:rsid w:val="00ED3DDD"/>
    <w:rsid w:val="00ED6661"/>
    <w:rsid w:val="00EE0705"/>
    <w:rsid w:val="00EE64D6"/>
    <w:rsid w:val="00EE661C"/>
    <w:rsid w:val="00F00ED0"/>
    <w:rsid w:val="00F0504B"/>
    <w:rsid w:val="00F21BEE"/>
    <w:rsid w:val="00F4171F"/>
    <w:rsid w:val="00F46795"/>
    <w:rsid w:val="00F53827"/>
    <w:rsid w:val="00F629D2"/>
    <w:rsid w:val="00F64A58"/>
    <w:rsid w:val="00F720F5"/>
    <w:rsid w:val="00F73E3F"/>
    <w:rsid w:val="00FA2863"/>
    <w:rsid w:val="00FA38DD"/>
    <w:rsid w:val="00FB00AD"/>
    <w:rsid w:val="00FB0ADF"/>
    <w:rsid w:val="00FB602E"/>
    <w:rsid w:val="00FB758B"/>
    <w:rsid w:val="00FC2AAE"/>
    <w:rsid w:val="00FC4879"/>
    <w:rsid w:val="00FD140A"/>
    <w:rsid w:val="00FE04C8"/>
    <w:rsid w:val="00FE0A22"/>
    <w:rsid w:val="00FE0FBF"/>
    <w:rsid w:val="00FE1412"/>
    <w:rsid w:val="00FE1547"/>
    <w:rsid w:val="00FE6CB7"/>
    <w:rsid w:val="00FF072A"/>
    <w:rsid w:val="00FF3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D5F629"/>
  <w15:docId w15:val="{4AFA6632-B70D-4B4B-B556-99400A5A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654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A6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A6F0A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5A6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A6F0A"/>
    <w:rPr>
      <w:sz w:val="18"/>
      <w:szCs w:val="18"/>
    </w:rPr>
  </w:style>
  <w:style w:type="table" w:customStyle="1" w:styleId="1">
    <w:name w:val="网格型1"/>
    <w:basedOn w:val="a2"/>
    <w:next w:val="a8"/>
    <w:uiPriority w:val="59"/>
    <w:qFormat/>
    <w:rsid w:val="00B00731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qFormat/>
    <w:rsid w:val="00B0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2"/>
    <w:next w:val="a8"/>
    <w:uiPriority w:val="59"/>
    <w:qFormat/>
    <w:locked/>
    <w:rsid w:val="00B00731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2"/>
    <w:next w:val="a8"/>
    <w:uiPriority w:val="59"/>
    <w:qFormat/>
    <w:rsid w:val="00840DDC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F21BEE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F21BEE"/>
    <w:rPr>
      <w:sz w:val="18"/>
      <w:szCs w:val="18"/>
    </w:rPr>
  </w:style>
  <w:style w:type="paragraph" w:styleId="ab">
    <w:name w:val="List Paragraph"/>
    <w:basedOn w:val="a0"/>
    <w:uiPriority w:val="34"/>
    <w:qFormat/>
    <w:rsid w:val="00EA061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">
    <w:name w:val="正文表标题"/>
    <w:next w:val="a0"/>
    <w:qFormat/>
    <w:rsid w:val="00D65E94"/>
    <w:pPr>
      <w:numPr>
        <w:numId w:val="1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20">
    <w:name w:val="封面标准号2"/>
    <w:uiPriority w:val="99"/>
    <w:qFormat/>
    <w:rsid w:val="00C71381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c">
    <w:name w:val="段"/>
    <w:link w:val="Char"/>
    <w:qFormat/>
    <w:rsid w:val="0017660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kern w:val="0"/>
      <w:szCs w:val="21"/>
    </w:rPr>
  </w:style>
  <w:style w:type="character" w:customStyle="1" w:styleId="Char">
    <w:name w:val="段 Char"/>
    <w:basedOn w:val="a1"/>
    <w:link w:val="ac"/>
    <w:qFormat/>
    <w:locked/>
    <w:rsid w:val="00176600"/>
    <w:rPr>
      <w:rFonts w:ascii="宋体" w:eastAsia="宋体" w:hAnsi="Times New Roman" w:cs="宋体"/>
      <w:kern w:val="0"/>
      <w:szCs w:val="21"/>
    </w:rPr>
  </w:style>
  <w:style w:type="table" w:customStyle="1" w:styleId="4">
    <w:name w:val="网格型4"/>
    <w:basedOn w:val="a2"/>
    <w:next w:val="a8"/>
    <w:qFormat/>
    <w:rsid w:val="007153E8"/>
    <w:rPr>
      <w:rFonts w:ascii="宋体" w:eastAsia="宋体" w:hAnsi="Times New Roman" w:cs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网格型5"/>
    <w:basedOn w:val="a2"/>
    <w:next w:val="a8"/>
    <w:qFormat/>
    <w:rsid w:val="009F1BB0"/>
    <w:rPr>
      <w:rFonts w:ascii="宋体" w:eastAsia="宋体" w:hAnsi="Times New Roman" w:cs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网格型6"/>
    <w:basedOn w:val="a2"/>
    <w:next w:val="a8"/>
    <w:qFormat/>
    <w:rsid w:val="00916418"/>
    <w:rPr>
      <w:rFonts w:ascii="宋体" w:eastAsia="宋体" w:hAnsi="Times New Roman" w:cs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A7EF-F484-42ED-871D-5B530149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wangzequn</dc:creator>
  <cp:keywords/>
  <dc:description/>
  <cp:lastModifiedBy>泽群 王</cp:lastModifiedBy>
  <cp:revision>204</cp:revision>
  <dcterms:created xsi:type="dcterms:W3CDTF">2019-06-21T07:44:00Z</dcterms:created>
  <dcterms:modified xsi:type="dcterms:W3CDTF">2021-06-02T23:41:00Z</dcterms:modified>
</cp:coreProperties>
</file>