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124" w:hangingChars="400"/>
        <w:textAlignment w:val="auto"/>
        <w:rPr>
          <w:rFonts w:hint="eastAsia" w:ascii="Candara" w:hAnsi="Candara" w:eastAsia="仿宋"/>
          <w:b/>
          <w:bCs/>
          <w:sz w:val="28"/>
          <w:szCs w:val="28"/>
          <w:lang w:eastAsia="zh-CN"/>
        </w:rPr>
      </w:pPr>
      <w:r>
        <w:rPr>
          <w:rFonts w:hint="eastAsia" w:ascii="Candara" w:hAnsi="Candara" w:eastAsia="仿宋"/>
          <w:b/>
          <w:bCs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firstLine="1771" w:firstLineChars="600"/>
        <w:jc w:val="center"/>
        <w:textAlignment w:val="auto"/>
        <w:rPr>
          <w:rFonts w:hint="eastAsia" w:ascii="仿宋" w:hAnsi="仿宋" w:eastAsia="仿宋" w:cs="仿宋"/>
          <w:b/>
          <w:bCs/>
          <w:w w:val="98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w w:val="98"/>
          <w:sz w:val="30"/>
          <w:szCs w:val="30"/>
        </w:rPr>
        <w:t>《“领跑者”标准评价要求  220kV～500kV超高压交联电缆》</w:t>
      </w:r>
      <w:r>
        <w:rPr>
          <w:rFonts w:hint="eastAsia" w:ascii="仿宋" w:hAnsi="仿宋" w:eastAsia="仿宋" w:cs="仿宋"/>
          <w:b/>
          <w:bCs/>
          <w:w w:val="98"/>
          <w:sz w:val="30"/>
          <w:szCs w:val="30"/>
          <w:lang w:val="en-US" w:eastAsia="zh-CN"/>
        </w:rPr>
        <w:t>等十三</w:t>
      </w:r>
      <w:r>
        <w:rPr>
          <w:rFonts w:hint="eastAsia" w:ascii="仿宋" w:hAnsi="仿宋" w:eastAsia="仿宋" w:cs="仿宋"/>
          <w:b/>
          <w:bCs/>
          <w:w w:val="98"/>
          <w:sz w:val="30"/>
          <w:szCs w:val="30"/>
        </w:rPr>
        <w:t>项团体标准计划项目汇总表</w:t>
      </w:r>
    </w:p>
    <w:tbl>
      <w:tblPr>
        <w:tblStyle w:val="10"/>
        <w:tblW w:w="16031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67"/>
        <w:gridCol w:w="2635"/>
        <w:gridCol w:w="1067"/>
        <w:gridCol w:w="1358"/>
        <w:gridCol w:w="1367"/>
        <w:gridCol w:w="2175"/>
        <w:gridCol w:w="262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计划编号</w:t>
            </w:r>
          </w:p>
        </w:tc>
        <w:tc>
          <w:tcPr>
            <w:tcW w:w="263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中文名称</w:t>
            </w:r>
          </w:p>
        </w:tc>
        <w:tc>
          <w:tcPr>
            <w:tcW w:w="106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制修订</w:t>
            </w:r>
          </w:p>
        </w:tc>
        <w:tc>
          <w:tcPr>
            <w:tcW w:w="13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归口单位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仿宋_GB2312" w:hAnsi="Candar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20210092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220kV～500kV超高压交联电缆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山东省电线电缆行业协会、广东省电线电缆行业协会、中国技术经济学会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特变电工山东鲁能泰山电缆有限公司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广东省电线电缆行业协会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2021009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刚性矿物绝缘电缆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青岛汉缆股份有限公司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2021009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光电复合缆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山东省电线电缆行业协会、广东省电线电缆行业协会、中国技术经济学会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山东日辉电缆集团有限公司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广东省电线电缆行业协会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2021009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光伏电缆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山东华凌电缆有限公司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2021009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海底电缆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青岛汉缆股份有限公司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2021009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舰船用电缆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山东华凌电缆有限公司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2021009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矿用电缆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青岛汉缆股份有限公司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2021009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浅海湖泊电缆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东营市华东线缆集团有限公司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石油装备电缆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东营市华东线缆集团有限公司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电力电缆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附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件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特变电工山东鲁能泰山电缆有限公司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风力电缆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特变电工山东鲁能泰山电缆有限公司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 阻燃和耐火电缆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东莞市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电线电缆行业协会、山东省电线电缆行业协会、中国技术经济学会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广州澳通电线电缆有限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公司、广东中宝电缆有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限公司、广东省电线电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缆行业协会、山东华凌电缆有限公司、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中国标准化研究院等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92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  <w:t>202100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  <w:lang w:eastAsia="zh-CN"/>
              </w:rPr>
              <w:t>“领跑者”标准评价要求 机器人柔性电缆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制定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12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企业标准“领跑者”工作委员会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ascii="Candara" w:hAnsi="Candara" w:eastAsia="仿宋" w:cs="Candara"/>
                <w:sz w:val="24"/>
                <w:szCs w:val="24"/>
              </w:rPr>
            </w:pPr>
            <w:r>
              <w:rPr>
                <w:rFonts w:hint="default" w:ascii="Candara" w:hAnsi="Candara" w:eastAsia="仿宋" w:cs="Candara"/>
                <w:sz w:val="24"/>
                <w:szCs w:val="24"/>
              </w:rPr>
              <w:t>广东省电线电缆行业协会、山东省电线电缆行业协会、中国技术经济学会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广东日丰电缆股份有限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公司、广州澳通电线电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缆有限公司、广东粤缆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电线电缆有限公司、广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东胜宇电缆实业有限公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司、山东华凌电缆有限公司、</w:t>
            </w:r>
            <w:r>
              <w:rPr>
                <w:rFonts w:hint="default" w:ascii="Candara" w:hAnsi="Candara" w:eastAsia="仿宋" w:cs="Candara"/>
                <w:sz w:val="24"/>
                <w:szCs w:val="24"/>
              </w:rPr>
              <w:t>山东省电线电缆行业协会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等 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03A023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2021-07-12T06:28:18Z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