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1C3F" w14:textId="2F524CAC" w:rsidR="00157468" w:rsidRDefault="005A6F0A" w:rsidP="0061121B">
      <w:pPr>
        <w:adjustRightInd w:val="0"/>
        <w:snapToGrid w:val="0"/>
        <w:spacing w:line="500" w:lineRule="exact"/>
        <w:jc w:val="center"/>
        <w:rPr>
          <w:rFonts w:ascii="Times New Roman" w:eastAsia="仿宋_GB2312" w:hAnsi="Times New Roman" w:cs="仿宋_GB2312"/>
          <w:b/>
          <w:bCs/>
          <w:kern w:val="0"/>
          <w:sz w:val="32"/>
          <w:szCs w:val="32"/>
        </w:rPr>
      </w:pPr>
      <w:bookmarkStart w:id="0" w:name="_Toc481651147"/>
      <w:r w:rsidRPr="0061121B">
        <w:rPr>
          <w:rFonts w:ascii="Times New Roman" w:eastAsia="仿宋_GB2312" w:hAnsi="Times New Roman" w:cs="仿宋_GB2312"/>
          <w:b/>
          <w:bCs/>
          <w:kern w:val="0"/>
          <w:sz w:val="32"/>
          <w:szCs w:val="32"/>
        </w:rPr>
        <w:t>《</w:t>
      </w:r>
      <w:r w:rsidR="0059157E">
        <w:rPr>
          <w:rFonts w:ascii="Times New Roman" w:eastAsia="仿宋_GB2312" w:hAnsi="Times New Roman" w:cs="仿宋_GB2312" w:hint="eastAsia"/>
          <w:b/>
          <w:bCs/>
          <w:kern w:val="0"/>
          <w:sz w:val="32"/>
          <w:szCs w:val="32"/>
        </w:rPr>
        <w:t>”领跑者”标准评价要求</w:t>
      </w:r>
      <w:r w:rsidR="0059157E">
        <w:rPr>
          <w:rFonts w:ascii="Times New Roman" w:eastAsia="仿宋_GB2312" w:hAnsi="Times New Roman" w:cs="仿宋_GB2312" w:hint="eastAsia"/>
          <w:b/>
          <w:bCs/>
          <w:kern w:val="0"/>
          <w:sz w:val="32"/>
          <w:szCs w:val="32"/>
        </w:rPr>
        <w:t xml:space="preserve"> </w:t>
      </w:r>
      <w:r w:rsidR="0027403F">
        <w:rPr>
          <w:rFonts w:ascii="Times New Roman" w:eastAsia="仿宋_GB2312" w:hAnsi="Times New Roman" w:cs="仿宋_GB2312" w:hint="eastAsia"/>
          <w:b/>
          <w:bCs/>
          <w:kern w:val="0"/>
          <w:sz w:val="32"/>
          <w:szCs w:val="32"/>
        </w:rPr>
        <w:t>精轧螺纹钢筋</w:t>
      </w:r>
      <w:r w:rsidRPr="0061121B">
        <w:rPr>
          <w:rFonts w:ascii="Times New Roman" w:eastAsia="仿宋_GB2312" w:hAnsi="Times New Roman" w:cs="仿宋_GB2312"/>
          <w:b/>
          <w:bCs/>
          <w:kern w:val="0"/>
          <w:sz w:val="32"/>
          <w:szCs w:val="32"/>
        </w:rPr>
        <w:t>》</w:t>
      </w:r>
    </w:p>
    <w:p w14:paraId="1FB67EE5" w14:textId="77777777" w:rsidR="005A6F0A" w:rsidRPr="0061121B" w:rsidRDefault="005A6F0A" w:rsidP="0061121B">
      <w:pPr>
        <w:adjustRightInd w:val="0"/>
        <w:snapToGrid w:val="0"/>
        <w:spacing w:line="500" w:lineRule="exact"/>
        <w:jc w:val="center"/>
        <w:rPr>
          <w:rFonts w:ascii="Times New Roman" w:eastAsia="仿宋_GB2312" w:hAnsi="Times New Roman" w:cs="仿宋_GB2312"/>
          <w:b/>
          <w:bCs/>
          <w:kern w:val="0"/>
          <w:sz w:val="32"/>
          <w:szCs w:val="32"/>
        </w:rPr>
      </w:pPr>
      <w:r w:rsidRPr="0061121B">
        <w:rPr>
          <w:rFonts w:ascii="Times New Roman" w:eastAsia="仿宋_GB2312" w:hAnsi="Times New Roman" w:cs="仿宋_GB2312"/>
          <w:b/>
          <w:bCs/>
          <w:kern w:val="0"/>
          <w:sz w:val="32"/>
          <w:szCs w:val="32"/>
        </w:rPr>
        <w:t>团体标准编制说明</w:t>
      </w:r>
    </w:p>
    <w:p w14:paraId="372EE126" w14:textId="77777777" w:rsidR="00061866" w:rsidRPr="00061866" w:rsidRDefault="00061866" w:rsidP="00027A9C">
      <w:pPr>
        <w:jc w:val="center"/>
        <w:rPr>
          <w:rFonts w:ascii="Times New Roman" w:eastAsia="黑体" w:hAnsi="Times New Roman" w:cs="Times New Roman"/>
          <w:b/>
          <w:bCs/>
          <w:sz w:val="32"/>
          <w:szCs w:val="32"/>
        </w:rPr>
      </w:pPr>
    </w:p>
    <w:bookmarkEnd w:id="0"/>
    <w:p w14:paraId="1C802CFF"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b/>
          <w:kern w:val="44"/>
          <w:sz w:val="28"/>
          <w:szCs w:val="28"/>
        </w:rPr>
        <w:t>一、任务来源</w:t>
      </w:r>
    </w:p>
    <w:p w14:paraId="7C4B0355" w14:textId="4F4248DA" w:rsidR="005A6F0A" w:rsidRPr="005A6F0A" w:rsidRDefault="003716E2" w:rsidP="005A6F0A">
      <w:pPr>
        <w:spacing w:line="360" w:lineRule="auto"/>
        <w:ind w:firstLineChars="200" w:firstLine="560"/>
        <w:rPr>
          <w:rFonts w:ascii="Times New Roman" w:eastAsia="仿宋" w:hAnsi="Times New Roman" w:cs="Times New Roman"/>
          <w:sz w:val="28"/>
          <w:szCs w:val="28"/>
        </w:rPr>
      </w:pPr>
      <w:r>
        <w:rPr>
          <w:rFonts w:ascii="Times New Roman" w:eastAsia="仿宋_GB2312" w:hAnsi="Times New Roman" w:cs="仿宋_GB2312" w:hint="eastAsia"/>
          <w:sz w:val="28"/>
          <w:szCs w:val="28"/>
        </w:rPr>
        <w:t>本文件</w:t>
      </w:r>
      <w:r w:rsidR="0061121B" w:rsidRPr="00694208">
        <w:rPr>
          <w:rFonts w:ascii="Times New Roman" w:eastAsia="仿宋_GB2312" w:hAnsi="Times New Roman" w:cs="仿宋_GB2312" w:hint="eastAsia"/>
          <w:sz w:val="28"/>
          <w:szCs w:val="28"/>
        </w:rPr>
        <w:t>由</w:t>
      </w:r>
      <w:r w:rsidR="0061121B" w:rsidRPr="00694208">
        <w:rPr>
          <w:rFonts w:ascii="Times New Roman" w:eastAsia="仿宋_GB2312" w:hAnsi="Times New Roman" w:cs="仿宋_GB2312" w:hint="eastAsia"/>
          <w:kern w:val="0"/>
          <w:sz w:val="28"/>
          <w:szCs w:val="28"/>
        </w:rPr>
        <w:t>中国特钢企业协会</w:t>
      </w:r>
      <w:r w:rsidR="0061121B" w:rsidRPr="00694208">
        <w:rPr>
          <w:rFonts w:ascii="Times New Roman" w:eastAsia="仿宋_GB2312" w:hAnsi="Times New Roman" w:cs="仿宋_GB2312" w:hint="eastAsia"/>
          <w:sz w:val="28"/>
          <w:szCs w:val="28"/>
        </w:rPr>
        <w:t>提出并归口，冶金工业规划研究院作为标准组织协调单位。</w:t>
      </w:r>
      <w:r w:rsidR="0061121B" w:rsidRPr="00694208">
        <w:rPr>
          <w:rFonts w:ascii="Times New Roman" w:eastAsia="仿宋_GB2312" w:hAnsi="Times New Roman" w:cs="仿宋_GB2312" w:hint="eastAsia"/>
          <w:kern w:val="0"/>
          <w:sz w:val="28"/>
          <w:szCs w:val="28"/>
        </w:rPr>
        <w:t>根据中国特钢企业协会团体标准化工作委员会</w:t>
      </w:r>
      <w:r w:rsidR="0061121B" w:rsidRPr="00694208">
        <w:rPr>
          <w:rFonts w:ascii="Times New Roman" w:eastAsia="仿宋_GB2312" w:hAnsi="Times New Roman" w:cs="Times New Roman"/>
          <w:kern w:val="0"/>
          <w:sz w:val="28"/>
          <w:szCs w:val="28"/>
        </w:rPr>
        <w:t>20</w:t>
      </w:r>
      <w:r w:rsidR="0061121B">
        <w:rPr>
          <w:rFonts w:ascii="Times New Roman" w:eastAsia="仿宋_GB2312" w:hAnsi="Times New Roman" w:cs="Times New Roman"/>
          <w:kern w:val="0"/>
          <w:sz w:val="28"/>
          <w:szCs w:val="28"/>
        </w:rPr>
        <w:t>2</w:t>
      </w:r>
      <w:r w:rsidR="0059157E">
        <w:rPr>
          <w:rFonts w:ascii="Times New Roman" w:eastAsia="仿宋_GB2312" w:hAnsi="Times New Roman" w:cs="Times New Roman"/>
          <w:kern w:val="0"/>
          <w:sz w:val="28"/>
          <w:szCs w:val="28"/>
        </w:rPr>
        <w:t>1</w:t>
      </w:r>
      <w:r w:rsidR="0061121B" w:rsidRPr="00694208">
        <w:rPr>
          <w:rFonts w:ascii="Times New Roman" w:eastAsia="仿宋_GB2312" w:hAnsi="Times New Roman" w:cs="仿宋_GB2312" w:hint="eastAsia"/>
          <w:kern w:val="0"/>
          <w:sz w:val="28"/>
          <w:szCs w:val="28"/>
        </w:rPr>
        <w:t>年第</w:t>
      </w:r>
      <w:r w:rsidR="0059157E">
        <w:rPr>
          <w:rFonts w:ascii="Times New Roman" w:eastAsia="仿宋_GB2312" w:hAnsi="Times New Roman" w:cs="仿宋_GB2312" w:hint="eastAsia"/>
          <w:kern w:val="0"/>
          <w:sz w:val="28"/>
          <w:szCs w:val="28"/>
        </w:rPr>
        <w:t>三</w:t>
      </w:r>
      <w:r w:rsidR="0061121B" w:rsidRPr="00694208">
        <w:rPr>
          <w:rFonts w:ascii="Times New Roman" w:eastAsia="仿宋_GB2312" w:hAnsi="Times New Roman" w:cs="仿宋_GB2312" w:hint="eastAsia"/>
          <w:kern w:val="0"/>
          <w:sz w:val="28"/>
          <w:szCs w:val="28"/>
        </w:rPr>
        <w:t>批团体标准制修订计划，由冶金工业规划研究</w:t>
      </w:r>
      <w:r w:rsidR="0061121B">
        <w:rPr>
          <w:rFonts w:ascii="Times New Roman" w:eastAsia="仿宋_GB2312" w:hAnsi="Times New Roman" w:cs="仿宋_GB2312" w:hint="eastAsia"/>
          <w:kern w:val="0"/>
          <w:sz w:val="28"/>
          <w:szCs w:val="28"/>
        </w:rPr>
        <w:t>院</w:t>
      </w:r>
      <w:r w:rsidR="0061121B" w:rsidRPr="00694208">
        <w:rPr>
          <w:rFonts w:ascii="Times New Roman" w:eastAsia="仿宋_GB2312" w:hAnsi="Times New Roman" w:cs="仿宋_GB2312" w:hint="eastAsia"/>
          <w:kern w:val="0"/>
          <w:sz w:val="28"/>
          <w:szCs w:val="28"/>
        </w:rPr>
        <w:t>起草</w:t>
      </w:r>
      <w:r w:rsidR="0061121B" w:rsidRPr="00694208">
        <w:rPr>
          <w:rFonts w:ascii="Times New Roman" w:eastAsia="仿宋_GB2312" w:hAnsi="Times New Roman" w:cs="仿宋_GB2312" w:hint="eastAsia"/>
          <w:sz w:val="28"/>
          <w:szCs w:val="28"/>
        </w:rPr>
        <w:t>，计划于</w:t>
      </w:r>
      <w:r w:rsidR="0061121B" w:rsidRPr="00694208">
        <w:rPr>
          <w:rFonts w:ascii="Times New Roman" w:eastAsia="仿宋_GB2312" w:hAnsi="Times New Roman" w:cs="Times New Roman"/>
          <w:sz w:val="28"/>
          <w:szCs w:val="28"/>
        </w:rPr>
        <w:t>20</w:t>
      </w:r>
      <w:r w:rsidR="0061121B">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0061121B" w:rsidRPr="00694208">
        <w:rPr>
          <w:rFonts w:ascii="Times New Roman" w:eastAsia="仿宋_GB2312" w:hAnsi="Times New Roman" w:cs="仿宋_GB2312" w:hint="eastAsia"/>
          <w:sz w:val="28"/>
          <w:szCs w:val="28"/>
        </w:rPr>
        <w:t>年完成《</w:t>
      </w:r>
      <w:r w:rsidR="0059157E">
        <w:rPr>
          <w:rFonts w:ascii="Times New Roman" w:eastAsia="仿宋_GB2312" w:hAnsi="Times New Roman" w:cs="仿宋_GB2312" w:hint="eastAsia"/>
          <w:bCs/>
          <w:kern w:val="0"/>
          <w:sz w:val="28"/>
          <w:szCs w:val="28"/>
        </w:rPr>
        <w:t>”领跑者”标准评价要求</w:t>
      </w:r>
      <w:r w:rsidR="0059157E">
        <w:rPr>
          <w:rFonts w:ascii="Times New Roman" w:eastAsia="仿宋_GB2312" w:hAnsi="Times New Roman" w:cs="仿宋_GB2312" w:hint="eastAsia"/>
          <w:bCs/>
          <w:kern w:val="0"/>
          <w:sz w:val="28"/>
          <w:szCs w:val="28"/>
        </w:rPr>
        <w:t xml:space="preserve"> </w:t>
      </w:r>
      <w:r w:rsidR="0027403F">
        <w:rPr>
          <w:rFonts w:ascii="Times New Roman" w:eastAsia="仿宋_GB2312" w:hAnsi="Times New Roman" w:cs="仿宋_GB2312" w:hint="eastAsia"/>
          <w:bCs/>
          <w:kern w:val="0"/>
          <w:sz w:val="28"/>
          <w:szCs w:val="28"/>
        </w:rPr>
        <w:t>精轧螺纹钢筋</w:t>
      </w:r>
      <w:r w:rsidR="0061121B" w:rsidRPr="00694208">
        <w:rPr>
          <w:rFonts w:ascii="Times New Roman" w:eastAsia="仿宋_GB2312" w:hAnsi="Times New Roman" w:cs="仿宋_GB2312" w:hint="eastAsia"/>
          <w:sz w:val="28"/>
          <w:szCs w:val="28"/>
        </w:rPr>
        <w:t>》标准的制定工作。</w:t>
      </w:r>
    </w:p>
    <w:p w14:paraId="64CBC5C5" w14:textId="77777777" w:rsidR="005A6F0A" w:rsidRPr="00553213" w:rsidRDefault="005A6F0A" w:rsidP="005A6F0A">
      <w:pPr>
        <w:keepNext/>
        <w:keepLines/>
        <w:spacing w:line="360" w:lineRule="auto"/>
        <w:outlineLvl w:val="0"/>
        <w:rPr>
          <w:rFonts w:ascii="Times New Roman" w:eastAsia="仿宋_GB2312" w:hAnsi="Times New Roman" w:cs="Times New Roman"/>
          <w:b/>
          <w:kern w:val="44"/>
          <w:sz w:val="28"/>
          <w:szCs w:val="28"/>
        </w:rPr>
      </w:pPr>
      <w:r w:rsidRPr="00553213">
        <w:rPr>
          <w:rFonts w:ascii="Times New Roman" w:eastAsia="仿宋_GB2312" w:hAnsi="Times New Roman" w:cs="Times New Roman"/>
          <w:b/>
          <w:kern w:val="44"/>
          <w:sz w:val="28"/>
          <w:szCs w:val="28"/>
        </w:rPr>
        <w:t>二、制定</w:t>
      </w:r>
      <w:r w:rsidR="003716E2">
        <w:rPr>
          <w:rFonts w:ascii="Times New Roman" w:eastAsia="仿宋_GB2312" w:hAnsi="Times New Roman" w:cs="Times New Roman"/>
          <w:b/>
          <w:kern w:val="44"/>
          <w:sz w:val="28"/>
          <w:szCs w:val="28"/>
        </w:rPr>
        <w:t>本文件</w:t>
      </w:r>
      <w:r w:rsidRPr="00553213">
        <w:rPr>
          <w:rFonts w:ascii="Times New Roman" w:eastAsia="仿宋_GB2312" w:hAnsi="Times New Roman" w:cs="Times New Roman"/>
          <w:b/>
          <w:kern w:val="44"/>
          <w:sz w:val="28"/>
          <w:szCs w:val="28"/>
        </w:rPr>
        <w:t>的目的和意义</w:t>
      </w:r>
    </w:p>
    <w:p w14:paraId="7DE9AABE" w14:textId="77777777" w:rsidR="0090333F" w:rsidRPr="0090333F" w:rsidRDefault="0090333F" w:rsidP="0090333F">
      <w:pPr>
        <w:spacing w:line="360" w:lineRule="auto"/>
        <w:ind w:firstLineChars="200" w:firstLine="560"/>
        <w:rPr>
          <w:rFonts w:ascii="Times New Roman" w:eastAsia="仿宋" w:hAnsi="Times New Roman" w:cs="Times New Roman" w:hint="eastAsia"/>
          <w:sz w:val="28"/>
          <w:szCs w:val="28"/>
        </w:rPr>
      </w:pPr>
      <w:r w:rsidRPr="0090333F">
        <w:rPr>
          <w:rFonts w:ascii="Times New Roman" w:eastAsia="仿宋" w:hAnsi="Times New Roman" w:cs="Times New Roman" w:hint="eastAsia"/>
          <w:sz w:val="28"/>
          <w:szCs w:val="28"/>
        </w:rPr>
        <w:t>精轧螺纹钢筋是整条钢筋上有不连续外螺纹的高强度、大直径、高精度直条钢筋，广泛应用于大型水利、工业和民用建筑的连续梁，大型框架结构、公路、铁路大中垮桥梁等工作。其具有链接锚固简便、安全可靠、施工方便等优点。螺纹钢筋主要应用于国家基础设施建设，其可以提高混凝土构件的整体性能，可以减轻自重，节省钢材，采取机械连接，加快施工进程。高质量的精轧螺纹钢筋经济性、资源性有明显优势。目前我国正在推广和应用高强度、绿色化钢筋，市场上生产精轧螺纹钢筋的企业较多，针对螺纹钢筋升级换代的发展趋势，根据不同基础设施建设的要求和生产特点，由于精轧螺纹钢筋的化学成分、尺寸外形精度、力学性能、冲击性能、表面质量等要求的不同，钢筋下游用户和市场需求对企业标准水平进行评价的需求十分迫切。</w:t>
      </w:r>
    </w:p>
    <w:p w14:paraId="084842DF" w14:textId="77777777" w:rsidR="0090333F" w:rsidRPr="0090333F" w:rsidRDefault="0090333F" w:rsidP="0090333F">
      <w:pPr>
        <w:spacing w:line="360" w:lineRule="auto"/>
        <w:ind w:firstLineChars="200" w:firstLine="560"/>
        <w:rPr>
          <w:rFonts w:ascii="Times New Roman" w:eastAsia="仿宋" w:hAnsi="Times New Roman" w:cs="Times New Roman" w:hint="eastAsia"/>
          <w:sz w:val="28"/>
          <w:szCs w:val="28"/>
        </w:rPr>
      </w:pPr>
      <w:r w:rsidRPr="0090333F">
        <w:rPr>
          <w:rFonts w:ascii="Times New Roman" w:eastAsia="仿宋" w:hAnsi="Times New Roman" w:cs="Times New Roman" w:hint="eastAsia"/>
          <w:sz w:val="28"/>
          <w:szCs w:val="28"/>
        </w:rPr>
        <w:t>企业标准是企业组织生产、经营活动的依据，国家鼓励企业自行</w:t>
      </w:r>
      <w:r w:rsidRPr="0090333F">
        <w:rPr>
          <w:rFonts w:ascii="Times New Roman" w:eastAsia="仿宋" w:hAnsi="Times New Roman" w:cs="Times New Roman" w:hint="eastAsia"/>
          <w:sz w:val="28"/>
          <w:szCs w:val="28"/>
        </w:rPr>
        <w:lastRenderedPageBreak/>
        <w:t>制定严于国家标准或者行业标准的企业标准，在企业内部适用。</w:t>
      </w:r>
      <w:r w:rsidRPr="0090333F">
        <w:rPr>
          <w:rFonts w:ascii="Times New Roman" w:eastAsia="仿宋" w:hAnsi="Times New Roman" w:cs="Times New Roman" w:hint="eastAsia"/>
          <w:sz w:val="28"/>
          <w:szCs w:val="28"/>
        </w:rPr>
        <w:t>2018</w:t>
      </w:r>
      <w:r w:rsidRPr="0090333F">
        <w:rPr>
          <w:rFonts w:ascii="Times New Roman" w:eastAsia="仿宋" w:hAnsi="Times New Roman" w:cs="Times New Roman" w:hint="eastAsia"/>
          <w:sz w:val="28"/>
          <w:szCs w:val="28"/>
        </w:rPr>
        <w:t>年，市场监管总局等八部委发布《关于实施企业标准“领跑者”制度的意见》（国市监标准〔</w:t>
      </w:r>
      <w:r w:rsidRPr="0090333F">
        <w:rPr>
          <w:rFonts w:ascii="Times New Roman" w:eastAsia="仿宋" w:hAnsi="Times New Roman" w:cs="Times New Roman" w:hint="eastAsia"/>
          <w:sz w:val="28"/>
          <w:szCs w:val="28"/>
        </w:rPr>
        <w:t>2018</w:t>
      </w:r>
      <w:r w:rsidRPr="0090333F">
        <w:rPr>
          <w:rFonts w:ascii="Times New Roman" w:eastAsia="仿宋" w:hAnsi="Times New Roman" w:cs="Times New Roman" w:hint="eastAsia"/>
          <w:sz w:val="28"/>
          <w:szCs w:val="28"/>
        </w:rPr>
        <w:t>〕</w:t>
      </w:r>
      <w:r w:rsidRPr="0090333F">
        <w:rPr>
          <w:rFonts w:ascii="Times New Roman" w:eastAsia="仿宋" w:hAnsi="Times New Roman" w:cs="Times New Roman" w:hint="eastAsia"/>
          <w:sz w:val="28"/>
          <w:szCs w:val="28"/>
        </w:rPr>
        <w:t>84</w:t>
      </w:r>
      <w:r w:rsidRPr="0090333F">
        <w:rPr>
          <w:rFonts w:ascii="Times New Roman" w:eastAsia="仿宋" w:hAnsi="Times New Roman" w:cs="Times New Roman" w:hint="eastAsia"/>
          <w:sz w:val="28"/>
          <w:szCs w:val="28"/>
        </w:rPr>
        <w:t>号），意在强化企业标准引领，树立行业标杆，促进全面质量提升，推动建立企业标准“领跑者”制度。该制度以企业产品和服务标准自我声明公开为基础，发挥市场主导作用，统筹考虑企业标准自我声明公开情况、消费者关注情况、标准对产品和服务质量提升效果以及企业产品和服务差别化程度，确定并公布年度实施企业标准“领跑者”的重点领域。在结合第三方评估机构开展企业标准水平评估，发布企业标准排行榜，确定企业标准“领跑者”。</w:t>
      </w:r>
    </w:p>
    <w:p w14:paraId="3558124F" w14:textId="77777777" w:rsidR="0090333F" w:rsidRDefault="0090333F" w:rsidP="0090333F">
      <w:pPr>
        <w:spacing w:line="360" w:lineRule="auto"/>
        <w:ind w:firstLineChars="200" w:firstLine="560"/>
        <w:rPr>
          <w:rFonts w:ascii="Times New Roman" w:eastAsia="仿宋" w:hAnsi="Times New Roman" w:cs="Times New Roman"/>
          <w:sz w:val="28"/>
          <w:szCs w:val="28"/>
        </w:rPr>
      </w:pPr>
      <w:r w:rsidRPr="0090333F">
        <w:rPr>
          <w:rFonts w:ascii="Times New Roman" w:eastAsia="仿宋" w:hAnsi="Times New Roman" w:cs="Times New Roman" w:hint="eastAsia"/>
          <w:sz w:val="28"/>
          <w:szCs w:val="28"/>
        </w:rPr>
        <w:t>为切实发挥企业标准对质量提升的引领作用，本项目制定精轧螺纹钢筋产品“领跑者”标准评价要求，用以指导相关机构制定企业标准“领跑者”评估方案和相关生产企业制定企业标准。</w:t>
      </w:r>
    </w:p>
    <w:p w14:paraId="0035F71C" w14:textId="6C9BF021" w:rsidR="005A6F0A" w:rsidRPr="004276C7" w:rsidRDefault="005A6F0A" w:rsidP="0090333F">
      <w:pPr>
        <w:keepNext/>
        <w:keepLines/>
        <w:spacing w:line="360" w:lineRule="auto"/>
        <w:outlineLvl w:val="0"/>
        <w:rPr>
          <w:rFonts w:ascii="Times New Roman" w:eastAsia="仿宋_GB2312" w:hAnsi="Times New Roman" w:cs="Times New Roman"/>
          <w:b/>
          <w:kern w:val="44"/>
          <w:sz w:val="28"/>
          <w:szCs w:val="28"/>
        </w:rPr>
      </w:pPr>
      <w:r w:rsidRPr="004276C7">
        <w:rPr>
          <w:rFonts w:ascii="Times New Roman" w:eastAsia="仿宋_GB2312" w:hAnsi="Times New Roman" w:cs="Times New Roman"/>
          <w:b/>
          <w:kern w:val="44"/>
          <w:sz w:val="28"/>
          <w:szCs w:val="28"/>
        </w:rPr>
        <w:t>三、标准编制过程</w:t>
      </w:r>
    </w:p>
    <w:p w14:paraId="3155A119" w14:textId="065D3F2F" w:rsidR="005A6F0A" w:rsidRPr="004276C7" w:rsidRDefault="003B0C4D"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 w:hAnsi="Times New Roman" w:cs="Times New Roman" w:hint="eastAsia"/>
          <w:sz w:val="28"/>
          <w:szCs w:val="28"/>
        </w:rPr>
        <w:t>冶金工业规划研究院</w:t>
      </w:r>
      <w:r w:rsidR="005A6F0A" w:rsidRPr="004276C7">
        <w:rPr>
          <w:rFonts w:ascii="Times New Roman" w:eastAsia="仿宋_GB2312" w:hAnsi="Times New Roman" w:cs="Times New Roman"/>
          <w:sz w:val="28"/>
          <w:szCs w:val="28"/>
        </w:rPr>
        <w:t>承担了《</w:t>
      </w:r>
      <w:r w:rsidR="006B7301">
        <w:rPr>
          <w:rFonts w:ascii="Times New Roman" w:eastAsia="仿宋_GB2312" w:hAnsi="Times New Roman" w:cs="Times New Roman" w:hint="eastAsia"/>
          <w:sz w:val="28"/>
          <w:szCs w:val="28"/>
        </w:rPr>
        <w:t>“</w:t>
      </w:r>
      <w:r w:rsidR="0061121B">
        <w:rPr>
          <w:rFonts w:ascii="Times New Roman" w:eastAsia="仿宋_GB2312" w:hAnsi="Times New Roman" w:cs="Times New Roman" w:hint="eastAsia"/>
          <w:sz w:val="28"/>
          <w:szCs w:val="28"/>
        </w:rPr>
        <w:t>领跑者”标准</w:t>
      </w:r>
      <w:r w:rsidR="009D7EAA" w:rsidRPr="009D7EAA">
        <w:rPr>
          <w:rFonts w:ascii="Times New Roman" w:eastAsia="仿宋_GB2312" w:hAnsi="Times New Roman" w:cs="Times New Roman" w:hint="eastAsia"/>
          <w:sz w:val="28"/>
          <w:szCs w:val="28"/>
        </w:rPr>
        <w:t>评价要求</w:t>
      </w:r>
      <w:r w:rsidR="0090333F">
        <w:rPr>
          <w:rFonts w:ascii="Times New Roman" w:eastAsia="仿宋_GB2312" w:hAnsi="Times New Roman" w:cs="Times New Roman" w:hint="eastAsia"/>
          <w:sz w:val="28"/>
          <w:szCs w:val="28"/>
        </w:rPr>
        <w:t xml:space="preserve"> </w:t>
      </w:r>
      <w:r w:rsidR="0090333F">
        <w:rPr>
          <w:rFonts w:ascii="Times New Roman" w:eastAsia="仿宋_GB2312" w:hAnsi="Times New Roman" w:cs="Times New Roman" w:hint="eastAsia"/>
          <w:sz w:val="28"/>
          <w:szCs w:val="28"/>
        </w:rPr>
        <w:t>精轧螺纹钢筋</w:t>
      </w:r>
      <w:r w:rsidR="005A6F0A" w:rsidRPr="004276C7">
        <w:rPr>
          <w:rFonts w:ascii="Times New Roman" w:eastAsia="仿宋_GB2312" w:hAnsi="Times New Roman" w:cs="Times New Roman"/>
          <w:sz w:val="28"/>
          <w:szCs w:val="28"/>
        </w:rPr>
        <w:t>》团体标准的编制工作，组建了该团体标准起草小组并开展工作。在《</w:t>
      </w:r>
      <w:r w:rsidR="006B7301">
        <w:rPr>
          <w:rFonts w:ascii="Times New Roman" w:eastAsia="仿宋_GB2312" w:hAnsi="Times New Roman" w:cs="Times New Roman" w:hint="eastAsia"/>
          <w:sz w:val="28"/>
          <w:szCs w:val="28"/>
        </w:rPr>
        <w:t>“领跑者”</w:t>
      </w:r>
      <w:r w:rsidR="009D7EAA">
        <w:rPr>
          <w:rFonts w:ascii="Times New Roman" w:eastAsia="仿宋_GB2312" w:hAnsi="Times New Roman" w:cs="Times New Roman" w:hint="eastAsia"/>
          <w:sz w:val="28"/>
          <w:szCs w:val="28"/>
        </w:rPr>
        <w:t>标准</w:t>
      </w:r>
      <w:r w:rsidR="009D7EAA" w:rsidRPr="009D7EAA">
        <w:rPr>
          <w:rFonts w:ascii="Times New Roman" w:eastAsia="仿宋_GB2312" w:hAnsi="Times New Roman" w:cs="Times New Roman" w:hint="eastAsia"/>
          <w:sz w:val="28"/>
          <w:szCs w:val="28"/>
        </w:rPr>
        <w:t>评价要求</w:t>
      </w:r>
      <w:r w:rsidR="0090333F">
        <w:rPr>
          <w:rFonts w:ascii="Times New Roman" w:eastAsia="仿宋_GB2312" w:hAnsi="Times New Roman" w:cs="Times New Roman" w:hint="eastAsia"/>
          <w:sz w:val="28"/>
          <w:szCs w:val="28"/>
        </w:rPr>
        <w:t xml:space="preserve"> </w:t>
      </w:r>
      <w:r w:rsidR="0090333F">
        <w:rPr>
          <w:rFonts w:ascii="Times New Roman" w:eastAsia="仿宋_GB2312" w:hAnsi="Times New Roman" w:cs="Times New Roman" w:hint="eastAsia"/>
          <w:sz w:val="28"/>
          <w:szCs w:val="28"/>
        </w:rPr>
        <w:t>精轧螺纹钢筋</w:t>
      </w:r>
      <w:r w:rsidR="005A6F0A" w:rsidRPr="004276C7">
        <w:rPr>
          <w:rFonts w:ascii="Times New Roman" w:eastAsia="仿宋_GB2312" w:hAnsi="Times New Roman" w:cs="Times New Roman"/>
          <w:sz w:val="28"/>
          <w:szCs w:val="28"/>
        </w:rPr>
        <w:t>》标准制定过程中，起草小组认真查阅有关资料</w:t>
      </w:r>
      <w:r w:rsidR="005A6F0A" w:rsidRPr="004276C7">
        <w:rPr>
          <w:rFonts w:ascii="Times New Roman" w:eastAsia="仿宋_GB2312" w:hAnsi="Times New Roman" w:cs="Times New Roman" w:hint="eastAsia"/>
          <w:sz w:val="28"/>
          <w:szCs w:val="28"/>
        </w:rPr>
        <w:t>、</w:t>
      </w:r>
      <w:r w:rsidR="005A6F0A" w:rsidRPr="004276C7">
        <w:rPr>
          <w:rFonts w:ascii="Times New Roman" w:eastAsia="仿宋_GB2312" w:hAnsi="Times New Roman" w:cs="Times New Roman"/>
          <w:sz w:val="28"/>
          <w:szCs w:val="28"/>
        </w:rPr>
        <w:t>收集相关数据信息，</w:t>
      </w:r>
      <w:r w:rsidR="0092577F">
        <w:rPr>
          <w:rFonts w:ascii="Times New Roman" w:eastAsia="仿宋_GB2312" w:hAnsi="Times New Roman" w:cs="Times New Roman" w:hint="eastAsia"/>
          <w:sz w:val="28"/>
          <w:szCs w:val="28"/>
        </w:rPr>
        <w:t>调研行业内生产技术水平和企业标准指标</w:t>
      </w:r>
      <w:r w:rsidR="005A6F0A" w:rsidRPr="004276C7">
        <w:rPr>
          <w:rFonts w:ascii="Times New Roman" w:eastAsia="仿宋_GB2312" w:hAnsi="Times New Roman" w:cs="Times New Roman"/>
          <w:sz w:val="28"/>
          <w:szCs w:val="28"/>
        </w:rPr>
        <w:t>，进行本团体标准的编制</w:t>
      </w:r>
      <w:r w:rsidR="005A6F0A" w:rsidRPr="004276C7">
        <w:rPr>
          <w:rFonts w:ascii="Times New Roman" w:eastAsia="仿宋_GB2312" w:hAnsi="Times New Roman" w:cs="Times New Roman" w:hint="eastAsia"/>
          <w:sz w:val="28"/>
          <w:szCs w:val="28"/>
        </w:rPr>
        <w:t>工作</w:t>
      </w:r>
      <w:r w:rsidR="005A6F0A" w:rsidRPr="004276C7">
        <w:rPr>
          <w:rFonts w:ascii="Times New Roman" w:eastAsia="仿宋_GB2312" w:hAnsi="Times New Roman" w:cs="Times New Roman"/>
          <w:sz w:val="28"/>
          <w:szCs w:val="28"/>
        </w:rPr>
        <w:t>。</w:t>
      </w:r>
    </w:p>
    <w:p w14:paraId="3D121134" w14:textId="77777777" w:rsidR="005A6F0A" w:rsidRPr="004276C7" w:rsidRDefault="005A6F0A" w:rsidP="005A6F0A">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sz w:val="28"/>
          <w:szCs w:val="28"/>
        </w:rPr>
        <w:t>主要编制过程如下：</w:t>
      </w:r>
    </w:p>
    <w:p w14:paraId="792AC6F0" w14:textId="77777777" w:rsidR="000F4EDD" w:rsidRPr="004276C7" w:rsidRDefault="000F4EDD" w:rsidP="000F4EDD">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hint="eastAsia"/>
          <w:sz w:val="28"/>
          <w:szCs w:val="28"/>
        </w:rPr>
        <w:t>20</w:t>
      </w:r>
      <w:r w:rsidR="002D6E47">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4276C7">
        <w:rPr>
          <w:rFonts w:ascii="Times New Roman" w:eastAsia="仿宋_GB2312" w:hAnsi="Times New Roman" w:cs="Times New Roman" w:hint="eastAsia"/>
          <w:sz w:val="28"/>
          <w:szCs w:val="28"/>
        </w:rPr>
        <w:t>年</w:t>
      </w:r>
      <w:r w:rsidR="0059157E">
        <w:rPr>
          <w:rFonts w:ascii="Times New Roman" w:eastAsia="仿宋_GB2312" w:hAnsi="Times New Roman" w:cs="Times New Roman"/>
          <w:sz w:val="28"/>
          <w:szCs w:val="28"/>
        </w:rPr>
        <w:t>4</w:t>
      </w:r>
      <w:r w:rsidRPr="004276C7">
        <w:rPr>
          <w:rFonts w:ascii="Times New Roman" w:eastAsia="仿宋_GB2312" w:hAnsi="Times New Roman" w:cs="Times New Roman" w:hint="eastAsia"/>
          <w:sz w:val="28"/>
          <w:szCs w:val="28"/>
        </w:rPr>
        <w:t>月，中国特钢企业协会团体标准化工作委员会（以下简称团标委）秘书处给各位委员发出团体标准立项函审单。到立项函</w:t>
      </w:r>
      <w:r w:rsidRPr="004276C7">
        <w:rPr>
          <w:rFonts w:ascii="Times New Roman" w:eastAsia="仿宋_GB2312" w:hAnsi="Times New Roman" w:cs="Times New Roman" w:hint="eastAsia"/>
          <w:sz w:val="28"/>
          <w:szCs w:val="28"/>
        </w:rPr>
        <w:lastRenderedPageBreak/>
        <w:t>审截止日期，没有委员提出不同意见。</w:t>
      </w:r>
    </w:p>
    <w:p w14:paraId="791ED73A" w14:textId="2D2655FF" w:rsidR="000F4EDD" w:rsidRPr="004276C7" w:rsidRDefault="000F4EDD" w:rsidP="000F4EDD">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hint="eastAsia"/>
          <w:sz w:val="28"/>
          <w:szCs w:val="28"/>
        </w:rPr>
        <w:t>20</w:t>
      </w:r>
      <w:r w:rsidR="002D6E47">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4276C7">
        <w:rPr>
          <w:rFonts w:ascii="Times New Roman" w:eastAsia="仿宋_GB2312" w:hAnsi="Times New Roman" w:cs="Times New Roman" w:hint="eastAsia"/>
          <w:sz w:val="28"/>
          <w:szCs w:val="28"/>
        </w:rPr>
        <w:t>年</w:t>
      </w:r>
      <w:r w:rsidR="0059157E">
        <w:rPr>
          <w:rFonts w:ascii="Times New Roman" w:eastAsia="仿宋_GB2312" w:hAnsi="Times New Roman" w:cs="Times New Roman"/>
          <w:sz w:val="28"/>
          <w:szCs w:val="28"/>
        </w:rPr>
        <w:t>5</w:t>
      </w:r>
      <w:r w:rsidRPr="004276C7">
        <w:rPr>
          <w:rFonts w:ascii="Times New Roman" w:eastAsia="仿宋_GB2312" w:hAnsi="Times New Roman" w:cs="Times New Roman" w:hint="eastAsia"/>
          <w:sz w:val="28"/>
          <w:szCs w:val="28"/>
        </w:rPr>
        <w:t>月，团标委正式下达《</w:t>
      </w:r>
      <w:r w:rsidR="006B7301">
        <w:rPr>
          <w:rFonts w:ascii="Times New Roman" w:eastAsia="仿宋_GB2312" w:hAnsi="Times New Roman" w:cs="Times New Roman" w:hint="eastAsia"/>
          <w:sz w:val="28"/>
          <w:szCs w:val="28"/>
        </w:rPr>
        <w:t>“领跑者”</w:t>
      </w:r>
      <w:r w:rsidR="009D7EAA">
        <w:rPr>
          <w:rFonts w:ascii="Times New Roman" w:eastAsia="仿宋_GB2312" w:hAnsi="Times New Roman" w:cs="Times New Roman" w:hint="eastAsia"/>
          <w:sz w:val="28"/>
          <w:szCs w:val="28"/>
        </w:rPr>
        <w:t>标准</w:t>
      </w:r>
      <w:r w:rsidR="009D7EAA" w:rsidRPr="009D7EAA">
        <w:rPr>
          <w:rFonts w:ascii="Times New Roman" w:eastAsia="仿宋_GB2312" w:hAnsi="Times New Roman" w:cs="Times New Roman" w:hint="eastAsia"/>
          <w:sz w:val="28"/>
          <w:szCs w:val="28"/>
        </w:rPr>
        <w:t>评价要求</w:t>
      </w:r>
      <w:r w:rsidR="0059157E">
        <w:rPr>
          <w:rFonts w:ascii="Times New Roman" w:eastAsia="仿宋_GB2312" w:hAnsi="Times New Roman" w:cs="Times New Roman" w:hint="eastAsia"/>
          <w:sz w:val="28"/>
          <w:szCs w:val="28"/>
        </w:rPr>
        <w:t xml:space="preserve"> </w:t>
      </w:r>
      <w:r w:rsidR="009041E9">
        <w:rPr>
          <w:rFonts w:ascii="Times New Roman" w:eastAsia="仿宋_GB2312" w:hAnsi="Times New Roman" w:cs="Times New Roman" w:hint="eastAsia"/>
          <w:sz w:val="28"/>
          <w:szCs w:val="28"/>
        </w:rPr>
        <w:t>精轧螺纹钢筋</w:t>
      </w:r>
      <w:r w:rsidRPr="004276C7">
        <w:rPr>
          <w:rFonts w:ascii="Times New Roman" w:eastAsia="仿宋_GB2312" w:hAnsi="Times New Roman" w:cs="Times New Roman" w:hint="eastAsia"/>
          <w:sz w:val="28"/>
          <w:szCs w:val="28"/>
        </w:rPr>
        <w:t>》团体标准立项计划</w:t>
      </w:r>
      <w:r w:rsidR="00320B80">
        <w:rPr>
          <w:rFonts w:ascii="Times New Roman" w:eastAsia="仿宋_GB2312" w:hAnsi="Times New Roman" w:cs="Times New Roman" w:hint="eastAsia"/>
          <w:sz w:val="28"/>
          <w:szCs w:val="28"/>
        </w:rPr>
        <w:t>（</w:t>
      </w:r>
      <w:r w:rsidR="00320B80">
        <w:rPr>
          <w:rFonts w:ascii="Times New Roman" w:eastAsia="仿宋_GB2312" w:hAnsi="Times New Roman" w:cs="Times New Roman" w:hint="eastAsia"/>
          <w:sz w:val="28"/>
          <w:szCs w:val="28"/>
        </w:rPr>
        <w:t>202</w:t>
      </w:r>
      <w:r w:rsidR="0059157E">
        <w:rPr>
          <w:rFonts w:ascii="Times New Roman" w:eastAsia="仿宋_GB2312" w:hAnsi="Times New Roman" w:cs="Times New Roman"/>
          <w:sz w:val="28"/>
          <w:szCs w:val="28"/>
        </w:rPr>
        <w:t>1</w:t>
      </w:r>
      <w:r w:rsidR="00320B80">
        <w:rPr>
          <w:rFonts w:ascii="Times New Roman" w:eastAsia="仿宋_GB2312" w:hAnsi="Times New Roman" w:cs="Times New Roman" w:hint="eastAsia"/>
          <w:sz w:val="28"/>
          <w:szCs w:val="28"/>
        </w:rPr>
        <w:t>年</w:t>
      </w:r>
      <w:r w:rsidR="00320B80">
        <w:rPr>
          <w:rFonts w:ascii="Times New Roman" w:eastAsia="仿宋_GB2312" w:hAnsi="Times New Roman" w:cs="Times New Roman"/>
          <w:sz w:val="28"/>
          <w:szCs w:val="28"/>
        </w:rPr>
        <w:t>第</w:t>
      </w:r>
      <w:r w:rsidR="0059157E">
        <w:rPr>
          <w:rFonts w:ascii="Times New Roman" w:eastAsia="仿宋_GB2312" w:hAnsi="Times New Roman" w:cs="Times New Roman" w:hint="eastAsia"/>
          <w:sz w:val="28"/>
          <w:szCs w:val="28"/>
        </w:rPr>
        <w:t>三</w:t>
      </w:r>
      <w:r w:rsidR="00320B80">
        <w:rPr>
          <w:rFonts w:ascii="Times New Roman" w:eastAsia="仿宋_GB2312" w:hAnsi="Times New Roman" w:cs="Times New Roman"/>
          <w:sz w:val="28"/>
          <w:szCs w:val="28"/>
        </w:rPr>
        <w:t>批</w:t>
      </w:r>
      <w:r w:rsidR="00320B80">
        <w:rPr>
          <w:rFonts w:ascii="Times New Roman" w:eastAsia="仿宋_GB2312" w:hAnsi="Times New Roman" w:cs="Times New Roman" w:hint="eastAsia"/>
          <w:sz w:val="28"/>
          <w:szCs w:val="28"/>
        </w:rPr>
        <w:t>）</w:t>
      </w:r>
      <w:r w:rsidRPr="004276C7">
        <w:rPr>
          <w:rFonts w:ascii="Times New Roman" w:eastAsia="仿宋_GB2312" w:hAnsi="Times New Roman" w:cs="Times New Roman" w:hint="eastAsia"/>
          <w:sz w:val="28"/>
          <w:szCs w:val="28"/>
        </w:rPr>
        <w:t>。团体标准立项后，</w:t>
      </w:r>
      <w:r w:rsidR="00B1546B" w:rsidRPr="00D31E2E">
        <w:rPr>
          <w:rFonts w:ascii="Times New Roman" w:eastAsia="仿宋" w:hAnsi="Times New Roman" w:cs="Times New Roman" w:hint="eastAsia"/>
          <w:sz w:val="28"/>
          <w:szCs w:val="28"/>
        </w:rPr>
        <w:t>冶金工业规划研究院</w:t>
      </w:r>
      <w:r w:rsidRPr="004276C7">
        <w:rPr>
          <w:rFonts w:ascii="Times New Roman" w:eastAsia="仿宋_GB2312" w:hAnsi="Times New Roman" w:cs="Times New Roman" w:hint="eastAsia"/>
          <w:sz w:val="28"/>
          <w:szCs w:val="28"/>
        </w:rPr>
        <w:t>相关人员组成标准起草组，提出了标准编制计划和任务分工，并开始标准编制工作。</w:t>
      </w:r>
    </w:p>
    <w:p w14:paraId="2F33B798" w14:textId="77777777" w:rsidR="00EE64D6" w:rsidRDefault="002D6E47" w:rsidP="00104825">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59157E">
        <w:rPr>
          <w:rFonts w:ascii="Times New Roman" w:eastAsia="仿宋_GB2312" w:hAnsi="Times New Roman" w:cs="Times New Roman"/>
          <w:sz w:val="28"/>
          <w:szCs w:val="28"/>
        </w:rPr>
        <w:t>1</w:t>
      </w:r>
      <w:r w:rsidR="00EE64D6" w:rsidRPr="004276C7">
        <w:rPr>
          <w:rFonts w:ascii="Times New Roman" w:eastAsia="仿宋_GB2312" w:hAnsi="Times New Roman" w:cs="Times New Roman"/>
          <w:sz w:val="28"/>
          <w:szCs w:val="28"/>
        </w:rPr>
        <w:t>年</w:t>
      </w:r>
      <w:r w:rsidR="0059157E">
        <w:rPr>
          <w:rFonts w:ascii="Times New Roman" w:eastAsia="仿宋_GB2312" w:hAnsi="Times New Roman" w:cs="Times New Roman"/>
          <w:sz w:val="28"/>
          <w:szCs w:val="28"/>
        </w:rPr>
        <w:t xml:space="preserve">  </w:t>
      </w:r>
      <w:r w:rsidR="00EE64D6" w:rsidRPr="004276C7">
        <w:rPr>
          <w:rFonts w:ascii="Times New Roman" w:eastAsia="仿宋_GB2312" w:hAnsi="Times New Roman" w:cs="Times New Roman"/>
          <w:sz w:val="28"/>
          <w:szCs w:val="28"/>
        </w:rPr>
        <w:t>月：形成征求意见稿并发出征求意见。</w:t>
      </w:r>
    </w:p>
    <w:p w14:paraId="6E170EDE" w14:textId="77777777" w:rsidR="007117FA" w:rsidRPr="007B7A9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t>20</w:t>
      </w:r>
      <w:r w:rsidR="00B1546B">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59157E">
        <w:rPr>
          <w:rFonts w:ascii="Times New Roman" w:eastAsia="仿宋_GB2312" w:hAnsi="Times New Roman" w:cs="Times New Roman"/>
          <w:sz w:val="28"/>
          <w:szCs w:val="28"/>
        </w:rPr>
        <w:t xml:space="preserve">  </w:t>
      </w:r>
      <w:r w:rsidRPr="007B7A9A">
        <w:rPr>
          <w:rFonts w:ascii="Times New Roman" w:eastAsia="仿宋_GB2312" w:hAnsi="Times New Roman" w:cs="Times New Roman"/>
          <w:sz w:val="28"/>
          <w:szCs w:val="28"/>
        </w:rPr>
        <w:t>月：完成征求意见处理、形成标准送审稿</w:t>
      </w:r>
      <w:r>
        <w:rPr>
          <w:rFonts w:ascii="Times New Roman" w:eastAsia="仿宋_GB2312" w:hAnsi="Times New Roman" w:cs="Times New Roman" w:hint="eastAsia"/>
          <w:sz w:val="28"/>
          <w:szCs w:val="28"/>
        </w:rPr>
        <w:t>。</w:t>
      </w:r>
    </w:p>
    <w:p w14:paraId="05A253E3" w14:textId="77777777" w:rsidR="007117FA" w:rsidRPr="007B7A9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t>20</w:t>
      </w:r>
      <w:r w:rsidR="00B1546B">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59157E">
        <w:rPr>
          <w:rFonts w:ascii="Times New Roman" w:eastAsia="仿宋_GB2312" w:hAnsi="Times New Roman" w:cs="Times New Roman"/>
          <w:sz w:val="28"/>
          <w:szCs w:val="28"/>
        </w:rPr>
        <w:t xml:space="preserve">  </w:t>
      </w:r>
      <w:r w:rsidRPr="007B7A9A">
        <w:rPr>
          <w:rFonts w:ascii="Times New Roman" w:eastAsia="仿宋_GB2312" w:hAnsi="Times New Roman" w:cs="Times New Roman"/>
          <w:sz w:val="28"/>
          <w:szCs w:val="28"/>
        </w:rPr>
        <w:t>月：完成该标准审定会和标准报批稿，上报</w:t>
      </w:r>
      <w:r w:rsidRPr="007B7A9A">
        <w:rPr>
          <w:rFonts w:ascii="Times New Roman" w:eastAsia="仿宋_GB2312" w:hAnsi="Times New Roman" w:cs="Times New Roman" w:hint="eastAsia"/>
          <w:sz w:val="28"/>
          <w:szCs w:val="28"/>
        </w:rPr>
        <w:t>中国特钢企业协会</w:t>
      </w:r>
      <w:r w:rsidRPr="007B7A9A">
        <w:rPr>
          <w:rFonts w:ascii="Times New Roman" w:eastAsia="仿宋_GB2312" w:hAnsi="Times New Roman" w:cs="Times New Roman"/>
          <w:sz w:val="28"/>
          <w:szCs w:val="28"/>
        </w:rPr>
        <w:t>审批</w:t>
      </w:r>
      <w:r>
        <w:rPr>
          <w:rFonts w:ascii="Times New Roman" w:eastAsia="仿宋_GB2312" w:hAnsi="Times New Roman" w:cs="Times New Roman" w:hint="eastAsia"/>
          <w:sz w:val="28"/>
          <w:szCs w:val="28"/>
        </w:rPr>
        <w:t>。</w:t>
      </w:r>
    </w:p>
    <w:p w14:paraId="3F78DB0B" w14:textId="77777777" w:rsidR="007117FA" w:rsidRPr="007117F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t>20</w:t>
      </w:r>
      <w:r w:rsidR="006C2C1A">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59157E">
        <w:rPr>
          <w:rFonts w:ascii="Times New Roman" w:eastAsia="仿宋_GB2312" w:hAnsi="Times New Roman" w:cs="Times New Roman"/>
          <w:sz w:val="28"/>
          <w:szCs w:val="28"/>
        </w:rPr>
        <w:t xml:space="preserve">  </w:t>
      </w:r>
      <w:r w:rsidRPr="007B7A9A">
        <w:rPr>
          <w:rFonts w:ascii="Times New Roman" w:eastAsia="仿宋_GB2312" w:hAnsi="Times New Roman" w:cs="Times New Roman"/>
          <w:sz w:val="28"/>
          <w:szCs w:val="28"/>
        </w:rPr>
        <w:t>月：完成该标准发布、实施。</w:t>
      </w:r>
    </w:p>
    <w:p w14:paraId="1A781BF3"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四</w:t>
      </w:r>
      <w:r w:rsidRPr="005A6F0A">
        <w:rPr>
          <w:rFonts w:ascii="Times New Roman" w:eastAsia="仿宋_GB2312" w:hAnsi="Times New Roman" w:cs="Times New Roman"/>
          <w:b/>
          <w:kern w:val="44"/>
          <w:sz w:val="28"/>
          <w:szCs w:val="28"/>
        </w:rPr>
        <w:t>、标准编制原则</w:t>
      </w:r>
    </w:p>
    <w:p w14:paraId="0CD502C9" w14:textId="77777777" w:rsidR="00543C4F" w:rsidRPr="00543C4F" w:rsidRDefault="003716E2" w:rsidP="00543C4F">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w:t>
      </w:r>
      <w:r w:rsidR="00543C4F" w:rsidRPr="00543C4F">
        <w:rPr>
          <w:rFonts w:ascii="Times New Roman" w:eastAsia="仿宋_GB2312" w:hAnsi="Times New Roman" w:cs="Times New Roman" w:hint="eastAsia"/>
          <w:sz w:val="28"/>
          <w:szCs w:val="28"/>
        </w:rPr>
        <w:t>根据</w:t>
      </w:r>
      <w:r w:rsidR="00A6585D" w:rsidRPr="00A6585D">
        <w:rPr>
          <w:rFonts w:ascii="Times New Roman" w:eastAsia="仿宋_GB2312" w:hAnsi="Times New Roman" w:cs="Times New Roman"/>
          <w:sz w:val="28"/>
          <w:szCs w:val="28"/>
        </w:rPr>
        <w:t>T/CAQP 015 T/ESF 0001</w:t>
      </w:r>
      <w:r w:rsidR="00A6585D">
        <w:rPr>
          <w:rFonts w:ascii="Times New Roman" w:eastAsia="仿宋_GB2312" w:hAnsi="Times New Roman" w:cs="Times New Roman" w:hint="eastAsia"/>
          <w:sz w:val="28"/>
          <w:szCs w:val="28"/>
        </w:rPr>
        <w:t>《</w:t>
      </w:r>
      <w:r w:rsidR="00A6585D" w:rsidRPr="00543C4F">
        <w:rPr>
          <w:rFonts w:ascii="Times New Roman" w:eastAsia="仿宋_GB2312" w:hAnsi="Times New Roman" w:cs="Times New Roman" w:hint="eastAsia"/>
          <w:sz w:val="28"/>
          <w:szCs w:val="28"/>
        </w:rPr>
        <w:t>“领跑者”标准编制通则</w:t>
      </w:r>
      <w:r w:rsidR="00A6585D">
        <w:rPr>
          <w:rFonts w:ascii="Times New Roman" w:eastAsia="仿宋_GB2312" w:hAnsi="Times New Roman" w:cs="Times New Roman" w:hint="eastAsia"/>
          <w:sz w:val="28"/>
          <w:szCs w:val="28"/>
        </w:rPr>
        <w:t>》</w:t>
      </w:r>
      <w:r w:rsidR="00543C4F" w:rsidRPr="00543C4F">
        <w:rPr>
          <w:rFonts w:ascii="Times New Roman" w:eastAsia="仿宋_GB2312" w:hAnsi="Times New Roman" w:cs="Times New Roman" w:hint="eastAsia"/>
          <w:sz w:val="28"/>
          <w:szCs w:val="28"/>
        </w:rPr>
        <w:t>进行编制。</w:t>
      </w:r>
    </w:p>
    <w:p w14:paraId="62D893C3" w14:textId="68BEDE59" w:rsidR="00543C4F" w:rsidRDefault="00543C4F" w:rsidP="00543C4F">
      <w:pPr>
        <w:spacing w:line="560" w:lineRule="exact"/>
        <w:ind w:firstLine="560"/>
        <w:contextualSpacing/>
        <w:rPr>
          <w:rFonts w:ascii="Times New Roman" w:eastAsia="仿宋_GB2312" w:hAnsi="Times New Roman" w:cs="Times New Roman"/>
          <w:sz w:val="28"/>
          <w:szCs w:val="28"/>
        </w:rPr>
      </w:pPr>
      <w:r w:rsidRPr="00543C4F">
        <w:rPr>
          <w:rFonts w:ascii="Times New Roman" w:eastAsia="仿宋_GB2312" w:hAnsi="Times New Roman" w:cs="Times New Roman" w:hint="eastAsia"/>
          <w:sz w:val="28"/>
          <w:szCs w:val="28"/>
        </w:rPr>
        <w:t>《</w:t>
      </w:r>
      <w:r w:rsidR="0059157E">
        <w:rPr>
          <w:rFonts w:ascii="Times New Roman" w:eastAsia="仿宋_GB2312" w:hAnsi="Times New Roman" w:cs="Times New Roman" w:hint="eastAsia"/>
          <w:sz w:val="28"/>
          <w:szCs w:val="28"/>
        </w:rPr>
        <w:t>“领跑者”标准评价要求</w:t>
      </w:r>
      <w:r w:rsidR="0059157E">
        <w:rPr>
          <w:rFonts w:ascii="Times New Roman" w:eastAsia="仿宋_GB2312" w:hAnsi="Times New Roman" w:cs="Times New Roman" w:hint="eastAsia"/>
          <w:sz w:val="28"/>
          <w:szCs w:val="28"/>
        </w:rPr>
        <w:t xml:space="preserve"> </w:t>
      </w:r>
      <w:r w:rsidR="0090333F">
        <w:rPr>
          <w:rFonts w:ascii="Times New Roman" w:eastAsia="仿宋_GB2312" w:hAnsi="Times New Roman" w:cs="Times New Roman" w:hint="eastAsia"/>
          <w:sz w:val="28"/>
          <w:szCs w:val="28"/>
        </w:rPr>
        <w:t>精轧螺纹钢筋</w:t>
      </w:r>
      <w:r w:rsidRPr="00543C4F">
        <w:rPr>
          <w:rFonts w:ascii="Times New Roman" w:eastAsia="仿宋_GB2312" w:hAnsi="Times New Roman" w:cs="Times New Roman" w:hint="eastAsia"/>
          <w:sz w:val="28"/>
          <w:szCs w:val="28"/>
        </w:rPr>
        <w:t>》标准编制所参考的依据为国家有关法律法规以及强制性标准要求、国家及行业产品或服务标准、国内或国际先进产品标准等。</w:t>
      </w:r>
    </w:p>
    <w:p w14:paraId="29A98944" w14:textId="77777777" w:rsidR="005A6F0A" w:rsidRPr="005A6F0A" w:rsidRDefault="005A6F0A" w:rsidP="00543C4F">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五、</w:t>
      </w:r>
      <w:r w:rsidRPr="005A6F0A">
        <w:rPr>
          <w:rFonts w:ascii="Times New Roman" w:eastAsia="仿宋_GB2312" w:hAnsi="Times New Roman" w:cs="Times New Roman"/>
          <w:b/>
          <w:kern w:val="44"/>
          <w:sz w:val="28"/>
          <w:szCs w:val="28"/>
        </w:rPr>
        <w:t>主要技术内容</w:t>
      </w:r>
    </w:p>
    <w:p w14:paraId="6803BEFB" w14:textId="77777777"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（一）</w:t>
      </w:r>
      <w:r w:rsidRPr="005A6F0A">
        <w:rPr>
          <w:rFonts w:ascii="Times New Roman" w:eastAsia="仿宋_GB2312" w:hAnsi="Times New Roman" w:cs="Times New Roman"/>
          <w:sz w:val="28"/>
          <w:szCs w:val="28"/>
        </w:rPr>
        <w:t>标准编写格式</w:t>
      </w:r>
    </w:p>
    <w:p w14:paraId="72C295BF" w14:textId="77777777" w:rsidR="00230D0B" w:rsidRDefault="00230D0B" w:rsidP="005A6F0A">
      <w:pPr>
        <w:spacing w:line="360" w:lineRule="auto"/>
        <w:ind w:firstLineChars="200" w:firstLine="560"/>
        <w:rPr>
          <w:rFonts w:ascii="Times New Roman" w:eastAsia="仿宋_GB2312" w:hAnsi="Times New Roman" w:cs="Times New Roman"/>
          <w:sz w:val="28"/>
          <w:szCs w:val="28"/>
        </w:rPr>
      </w:pPr>
      <w:r w:rsidRPr="00230D0B">
        <w:rPr>
          <w:rFonts w:ascii="Times New Roman" w:eastAsia="仿宋_GB2312" w:hAnsi="Times New Roman" w:cs="Times New Roman" w:hint="eastAsia"/>
          <w:sz w:val="28"/>
          <w:szCs w:val="28"/>
        </w:rPr>
        <w:t>标准内容符合</w:t>
      </w:r>
      <w:r w:rsidRPr="00230D0B">
        <w:rPr>
          <w:rFonts w:ascii="Times New Roman" w:eastAsia="仿宋_GB2312" w:hAnsi="Times New Roman" w:cs="Times New Roman" w:hint="eastAsia"/>
          <w:sz w:val="28"/>
          <w:szCs w:val="28"/>
        </w:rPr>
        <w:t>GB/T 1.1</w:t>
      </w:r>
      <w:r w:rsidR="00011BB4">
        <w:rPr>
          <w:rFonts w:ascii="Times New Roman" w:eastAsia="仿宋_GB2312" w:hAnsi="Times New Roman" w:cs="Times New Roman"/>
          <w:sz w:val="28"/>
          <w:szCs w:val="28"/>
        </w:rPr>
        <w:t>-2</w:t>
      </w:r>
      <w:r w:rsidR="00B1689B">
        <w:rPr>
          <w:rFonts w:ascii="Times New Roman" w:eastAsia="仿宋_GB2312" w:hAnsi="Times New Roman" w:cs="Times New Roman"/>
          <w:sz w:val="28"/>
          <w:szCs w:val="28"/>
        </w:rPr>
        <w:t>0</w:t>
      </w:r>
      <w:r w:rsidR="00AA2F75">
        <w:rPr>
          <w:rFonts w:ascii="Times New Roman" w:eastAsia="仿宋_GB2312" w:hAnsi="Times New Roman" w:cs="Times New Roman"/>
          <w:sz w:val="28"/>
          <w:szCs w:val="28"/>
        </w:rPr>
        <w:t>20</w:t>
      </w:r>
      <w:r w:rsidRPr="00230D0B">
        <w:rPr>
          <w:rFonts w:ascii="Times New Roman" w:eastAsia="仿宋_GB2312" w:hAnsi="Times New Roman" w:cs="Times New Roman" w:hint="eastAsia"/>
          <w:sz w:val="28"/>
          <w:szCs w:val="28"/>
        </w:rPr>
        <w:t>的规定。</w:t>
      </w:r>
    </w:p>
    <w:p w14:paraId="2DF7B62D" w14:textId="24BD7684" w:rsidR="000008B8" w:rsidRPr="000008B8" w:rsidRDefault="000008B8" w:rsidP="000008B8">
      <w:pPr>
        <w:spacing w:line="360" w:lineRule="auto"/>
        <w:ind w:firstLineChars="200" w:firstLine="560"/>
        <w:rPr>
          <w:rFonts w:ascii="Times New Roman" w:eastAsia="仿宋_GB2312" w:hAnsi="Times New Roman" w:cs="Times New Roman"/>
          <w:sz w:val="28"/>
          <w:szCs w:val="28"/>
        </w:rPr>
      </w:pPr>
      <w:r w:rsidRPr="000008B8">
        <w:rPr>
          <w:rFonts w:ascii="Times New Roman" w:eastAsia="仿宋_GB2312" w:hAnsi="Times New Roman" w:cs="Times New Roman" w:hint="eastAsia"/>
          <w:sz w:val="28"/>
          <w:szCs w:val="28"/>
        </w:rPr>
        <w:t>本文件规定了</w:t>
      </w:r>
      <w:r w:rsidR="0090333F">
        <w:rPr>
          <w:rFonts w:ascii="Times New Roman" w:eastAsia="仿宋_GB2312" w:hAnsi="Times New Roman" w:cs="Times New Roman" w:hint="eastAsia"/>
          <w:sz w:val="28"/>
          <w:szCs w:val="28"/>
        </w:rPr>
        <w:t>精轧螺纹钢筋</w:t>
      </w:r>
      <w:r w:rsidRPr="000008B8">
        <w:rPr>
          <w:rFonts w:ascii="Times New Roman" w:eastAsia="仿宋_GB2312" w:hAnsi="Times New Roman" w:cs="Times New Roman" w:hint="eastAsia"/>
          <w:sz w:val="28"/>
          <w:szCs w:val="28"/>
        </w:rPr>
        <w:t>（以下简称钢筋）“领跑者”标准的评价指标体系、评价方法及等级划分。</w:t>
      </w:r>
    </w:p>
    <w:p w14:paraId="1314A482" w14:textId="77777777"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（二）</w:t>
      </w:r>
      <w:r w:rsidRPr="005A6F0A">
        <w:rPr>
          <w:rFonts w:ascii="Times New Roman" w:eastAsia="仿宋_GB2312" w:hAnsi="Times New Roman" w:cs="Times New Roman"/>
          <w:sz w:val="28"/>
          <w:szCs w:val="28"/>
        </w:rPr>
        <w:t>关于适用范围</w:t>
      </w:r>
    </w:p>
    <w:p w14:paraId="19F7BFA2" w14:textId="61A7DBD8" w:rsidR="00AA2F75" w:rsidRDefault="00A7643F" w:rsidP="003E5EB2">
      <w:pPr>
        <w:spacing w:line="360" w:lineRule="auto"/>
        <w:ind w:firstLineChars="200" w:firstLine="560"/>
        <w:rPr>
          <w:rFonts w:ascii="Times New Roman" w:eastAsia="仿宋_GB2312" w:hAnsi="Times New Roman" w:cs="Times New Roman"/>
          <w:sz w:val="28"/>
          <w:szCs w:val="28"/>
        </w:rPr>
      </w:pPr>
      <w:r w:rsidRPr="00A7643F">
        <w:rPr>
          <w:rFonts w:ascii="Times New Roman" w:eastAsia="仿宋_GB2312" w:hAnsi="Times New Roman" w:cs="Times New Roman" w:hint="eastAsia"/>
          <w:sz w:val="28"/>
          <w:szCs w:val="28"/>
        </w:rPr>
        <w:t>本文件适用于精轧螺纹钢筋企业标准水平评价。相关机构在制定</w:t>
      </w:r>
      <w:r w:rsidRPr="00A7643F">
        <w:rPr>
          <w:rFonts w:ascii="Times New Roman" w:eastAsia="仿宋_GB2312" w:hAnsi="Times New Roman" w:cs="Times New Roman" w:hint="eastAsia"/>
          <w:sz w:val="28"/>
          <w:szCs w:val="28"/>
        </w:rPr>
        <w:lastRenderedPageBreak/>
        <w:t>企业标准“领跑者”评估方案时可参照使用，企业在制定企业标准时也可参照使用。</w:t>
      </w:r>
    </w:p>
    <w:p w14:paraId="507F6A5D" w14:textId="77777777" w:rsidR="003E5EB2" w:rsidRPr="005A6F0A" w:rsidRDefault="003E5EB2" w:rsidP="003E5EB2">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三</w:t>
      </w:r>
      <w:r w:rsidRPr="005A6F0A">
        <w:rPr>
          <w:rFonts w:ascii="Times New Roman" w:eastAsia="仿宋_GB2312" w:hAnsi="Times New Roman" w:cs="Times New Roman" w:hint="eastAsia"/>
          <w:sz w:val="28"/>
          <w:szCs w:val="28"/>
        </w:rPr>
        <w:t>）关于</w:t>
      </w:r>
      <w:r w:rsidR="00A77429">
        <w:rPr>
          <w:rFonts w:ascii="Times New Roman" w:eastAsia="仿宋_GB2312" w:hAnsi="Times New Roman" w:cs="Times New Roman" w:hint="eastAsia"/>
          <w:sz w:val="28"/>
          <w:szCs w:val="28"/>
        </w:rPr>
        <w:t>术语和定义</w:t>
      </w:r>
    </w:p>
    <w:p w14:paraId="43205AAF" w14:textId="1CA69596" w:rsidR="005A6F0A" w:rsidRPr="005A6F0A" w:rsidRDefault="00A7643F" w:rsidP="00BA0A80">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本文没有需要界定的术语和定义</w:t>
      </w:r>
    </w:p>
    <w:p w14:paraId="4B43D0CD" w14:textId="77777777" w:rsidR="00620B9B" w:rsidRDefault="00620B9B"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sidR="00E539AD">
        <w:rPr>
          <w:rFonts w:ascii="Times New Roman" w:eastAsia="仿宋_GB2312" w:hAnsi="Times New Roman" w:cs="Times New Roman" w:hint="eastAsia"/>
          <w:sz w:val="28"/>
          <w:szCs w:val="28"/>
        </w:rPr>
        <w:t>四</w:t>
      </w:r>
      <w:r>
        <w:rPr>
          <w:rFonts w:ascii="Times New Roman" w:eastAsia="仿宋_GB2312" w:hAnsi="Times New Roman" w:cs="Times New Roman" w:hint="eastAsia"/>
          <w:sz w:val="28"/>
          <w:szCs w:val="28"/>
        </w:rPr>
        <w:t>）关于</w:t>
      </w:r>
      <w:r w:rsidR="00AA2F75">
        <w:rPr>
          <w:rFonts w:ascii="Times New Roman" w:eastAsia="仿宋_GB2312" w:hAnsi="Times New Roman" w:cs="Times New Roman" w:hint="eastAsia"/>
          <w:sz w:val="28"/>
          <w:szCs w:val="28"/>
        </w:rPr>
        <w:t>评价指标</w:t>
      </w:r>
      <w:r w:rsidR="00AA2F75">
        <w:rPr>
          <w:rFonts w:ascii="Times New Roman" w:eastAsia="仿宋_GB2312" w:hAnsi="Times New Roman" w:cs="Times New Roman"/>
          <w:sz w:val="28"/>
          <w:szCs w:val="28"/>
        </w:rPr>
        <w:t>体系</w:t>
      </w:r>
    </w:p>
    <w:p w14:paraId="03AE3187" w14:textId="77777777" w:rsidR="00AA2F75" w:rsidRDefault="00AA2F75" w:rsidP="00A77429">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基本要求</w:t>
      </w:r>
    </w:p>
    <w:p w14:paraId="4CAEAE7B" w14:textId="77777777" w:rsidR="00A77429" w:rsidRDefault="00A77429" w:rsidP="00A77429">
      <w:pPr>
        <w:spacing w:line="360" w:lineRule="auto"/>
        <w:ind w:firstLineChars="200" w:firstLine="560"/>
        <w:rPr>
          <w:rFonts w:ascii="Times New Roman" w:eastAsia="仿宋_GB2312" w:hAnsi="Times New Roman" w:cs="Times New Roman"/>
          <w:sz w:val="28"/>
          <w:szCs w:val="28"/>
        </w:rPr>
      </w:pPr>
      <w:r w:rsidRPr="00A77429">
        <w:rPr>
          <w:rFonts w:ascii="Times New Roman" w:eastAsia="仿宋_GB2312" w:hAnsi="Times New Roman" w:cs="Times New Roman" w:hint="eastAsia"/>
          <w:sz w:val="28"/>
          <w:szCs w:val="28"/>
        </w:rPr>
        <w:t>近三年，企业无较大环境、安全、质量事故。企业无不良信用记录。企业应建立并运行符合产品和服务的管理体系。产品应为量产产品。</w:t>
      </w:r>
    </w:p>
    <w:p w14:paraId="6468857D" w14:textId="3DC5551D" w:rsidR="00A77429" w:rsidRDefault="00A77429" w:rsidP="00A77429">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基本要求为对参与“领跑者”评价的企业及其产品规模化生产方面的要求，避免仅就标准评标准，</w:t>
      </w:r>
      <w:r w:rsidR="005E60A6">
        <w:rPr>
          <w:rFonts w:ascii="Times New Roman" w:eastAsia="仿宋_GB2312" w:hAnsi="Times New Roman" w:cs="Times New Roman" w:hint="eastAsia"/>
          <w:sz w:val="28"/>
          <w:szCs w:val="28"/>
        </w:rPr>
        <w:t>增强</w:t>
      </w:r>
      <w:r>
        <w:rPr>
          <w:rFonts w:ascii="Times New Roman" w:eastAsia="仿宋_GB2312" w:hAnsi="Times New Roman" w:cs="Times New Roman" w:hint="eastAsia"/>
          <w:sz w:val="28"/>
          <w:szCs w:val="28"/>
        </w:rPr>
        <w:t>对企业实际生产和质量提升的</w:t>
      </w:r>
      <w:r w:rsidR="005E60A6">
        <w:rPr>
          <w:rFonts w:ascii="Times New Roman" w:eastAsia="仿宋_GB2312" w:hAnsi="Times New Roman" w:cs="Times New Roman" w:hint="eastAsia"/>
          <w:sz w:val="28"/>
          <w:szCs w:val="28"/>
        </w:rPr>
        <w:t>有效</w:t>
      </w:r>
      <w:r w:rsidR="00796549">
        <w:rPr>
          <w:rFonts w:ascii="Times New Roman" w:eastAsia="仿宋_GB2312" w:hAnsi="Times New Roman" w:cs="Times New Roman" w:hint="eastAsia"/>
          <w:sz w:val="28"/>
          <w:szCs w:val="28"/>
        </w:rPr>
        <w:t>引导</w:t>
      </w:r>
      <w:r>
        <w:rPr>
          <w:rFonts w:ascii="Times New Roman" w:eastAsia="仿宋_GB2312" w:hAnsi="Times New Roman" w:cs="Times New Roman" w:hint="eastAsia"/>
          <w:sz w:val="28"/>
          <w:szCs w:val="28"/>
        </w:rPr>
        <w:t>。</w:t>
      </w:r>
    </w:p>
    <w:p w14:paraId="565F0729" w14:textId="58097A45" w:rsidR="00A7643F" w:rsidRDefault="00A7643F" w:rsidP="00A77429">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评价指标分类</w:t>
      </w:r>
    </w:p>
    <w:p w14:paraId="7EA49BB4" w14:textId="75CD3D72" w:rsidR="00A7643F" w:rsidRDefault="00A7643F" w:rsidP="00A77429">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精轧螺纹钢筋“领跑者”标准的评价指标分为：基础指标、核心指标和创新性指标。基础指标为尺寸、外形、重量、表面质量、应力松弛性能。核心指标包括</w:t>
      </w:r>
      <w:r>
        <w:rPr>
          <w:rFonts w:ascii="Times New Roman" w:eastAsia="仿宋_GB2312" w:hAnsi="Times New Roman" w:cs="Times New Roman" w:hint="eastAsia"/>
          <w:sz w:val="28"/>
          <w:szCs w:val="28"/>
        </w:rPr>
        <w:t>P</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S</w:t>
      </w:r>
      <w:r>
        <w:rPr>
          <w:rFonts w:ascii="Times New Roman" w:eastAsia="仿宋_GB2312" w:hAnsi="Times New Roman" w:cs="Times New Roman" w:hint="eastAsia"/>
          <w:sz w:val="28"/>
          <w:szCs w:val="28"/>
        </w:rPr>
        <w:t>元素、力学性能、弯曲度、非金属夹杂物</w:t>
      </w:r>
      <w:r w:rsidR="007B695D">
        <w:rPr>
          <w:rFonts w:ascii="Times New Roman" w:eastAsia="仿宋_GB2312" w:hAnsi="Times New Roman" w:cs="Times New Roman" w:hint="eastAsia"/>
          <w:sz w:val="28"/>
          <w:szCs w:val="28"/>
        </w:rPr>
        <w:t>。创新性指标包括牌号和强度等级、冲击性能、疲劳试验、晶粒度。</w:t>
      </w:r>
    </w:p>
    <w:tbl>
      <w:tblPr>
        <w:tblW w:w="5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86"/>
        <w:gridCol w:w="1142"/>
        <w:gridCol w:w="1844"/>
        <w:gridCol w:w="1836"/>
        <w:gridCol w:w="1841"/>
        <w:gridCol w:w="1308"/>
      </w:tblGrid>
      <w:tr w:rsidR="007B695D" w14:paraId="363945B8" w14:textId="77777777" w:rsidTr="00D56F7B">
        <w:trPr>
          <w:trHeight w:val="340"/>
          <w:jc w:val="center"/>
        </w:trPr>
        <w:tc>
          <w:tcPr>
            <w:tcW w:w="661" w:type="dxa"/>
            <w:vMerge w:val="restart"/>
            <w:vAlign w:val="center"/>
          </w:tcPr>
          <w:p w14:paraId="480B0093"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指标类型</w:t>
            </w:r>
          </w:p>
        </w:tc>
        <w:tc>
          <w:tcPr>
            <w:tcW w:w="1828" w:type="dxa"/>
            <w:gridSpan w:val="2"/>
            <w:vMerge w:val="restart"/>
            <w:vAlign w:val="center"/>
          </w:tcPr>
          <w:p w14:paraId="6921F46C"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评价指标</w:t>
            </w:r>
          </w:p>
        </w:tc>
        <w:tc>
          <w:tcPr>
            <w:tcW w:w="5521" w:type="dxa"/>
            <w:gridSpan w:val="3"/>
            <w:vAlign w:val="center"/>
          </w:tcPr>
          <w:p w14:paraId="56AAB816"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指标水平分级</w:t>
            </w:r>
          </w:p>
        </w:tc>
        <w:tc>
          <w:tcPr>
            <w:tcW w:w="1308" w:type="dxa"/>
            <w:vMerge w:val="restart"/>
            <w:vAlign w:val="center"/>
          </w:tcPr>
          <w:p w14:paraId="6E651090"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判断依据</w:t>
            </w:r>
            <w:r>
              <w:rPr>
                <w:rFonts w:ascii="Times New Roman" w:hAnsi="Times New Roman"/>
                <w:color w:val="000000"/>
                <w:sz w:val="18"/>
                <w:szCs w:val="18"/>
              </w:rPr>
              <w:t>/</w:t>
            </w:r>
            <w:r>
              <w:rPr>
                <w:rFonts w:ascii="Times New Roman" w:hAnsi="Times New Roman"/>
                <w:color w:val="000000"/>
                <w:sz w:val="18"/>
                <w:szCs w:val="18"/>
              </w:rPr>
              <w:t>方法</w:t>
            </w:r>
          </w:p>
        </w:tc>
      </w:tr>
      <w:tr w:rsidR="007B695D" w14:paraId="667F88D6" w14:textId="77777777" w:rsidTr="00D56F7B">
        <w:trPr>
          <w:trHeight w:val="340"/>
          <w:jc w:val="center"/>
        </w:trPr>
        <w:tc>
          <w:tcPr>
            <w:tcW w:w="661" w:type="dxa"/>
            <w:vMerge/>
            <w:vAlign w:val="center"/>
          </w:tcPr>
          <w:p w14:paraId="4E3482C7" w14:textId="77777777" w:rsidR="007B695D" w:rsidRDefault="007B695D" w:rsidP="001115D7">
            <w:pPr>
              <w:adjustRightInd w:val="0"/>
              <w:snapToGrid w:val="0"/>
              <w:jc w:val="center"/>
              <w:rPr>
                <w:rFonts w:ascii="Times New Roman" w:hAnsi="Times New Roman"/>
                <w:color w:val="000000"/>
                <w:sz w:val="18"/>
                <w:szCs w:val="18"/>
              </w:rPr>
            </w:pPr>
          </w:p>
        </w:tc>
        <w:tc>
          <w:tcPr>
            <w:tcW w:w="1828" w:type="dxa"/>
            <w:gridSpan w:val="2"/>
            <w:vMerge/>
            <w:vAlign w:val="center"/>
          </w:tcPr>
          <w:p w14:paraId="4F89EB74" w14:textId="77777777" w:rsidR="007B695D" w:rsidRDefault="007B695D" w:rsidP="001115D7">
            <w:pPr>
              <w:adjustRightInd w:val="0"/>
              <w:snapToGrid w:val="0"/>
              <w:jc w:val="center"/>
              <w:rPr>
                <w:rFonts w:ascii="Times New Roman" w:hAnsi="Times New Roman"/>
                <w:color w:val="000000"/>
                <w:sz w:val="18"/>
                <w:szCs w:val="18"/>
              </w:rPr>
            </w:pPr>
          </w:p>
        </w:tc>
        <w:tc>
          <w:tcPr>
            <w:tcW w:w="1844" w:type="dxa"/>
            <w:vAlign w:val="center"/>
          </w:tcPr>
          <w:p w14:paraId="791A8ED7"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先进水平</w:t>
            </w:r>
          </w:p>
        </w:tc>
        <w:tc>
          <w:tcPr>
            <w:tcW w:w="1836" w:type="dxa"/>
            <w:vAlign w:val="center"/>
          </w:tcPr>
          <w:p w14:paraId="0AE6B5CF"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平均水平</w:t>
            </w:r>
          </w:p>
        </w:tc>
        <w:tc>
          <w:tcPr>
            <w:tcW w:w="1841" w:type="dxa"/>
            <w:vAlign w:val="center"/>
          </w:tcPr>
          <w:p w14:paraId="4FD988A9"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基准水平</w:t>
            </w:r>
          </w:p>
        </w:tc>
        <w:tc>
          <w:tcPr>
            <w:tcW w:w="1308" w:type="dxa"/>
            <w:vMerge/>
            <w:vAlign w:val="center"/>
          </w:tcPr>
          <w:p w14:paraId="675C99A7" w14:textId="77777777" w:rsidR="007B695D" w:rsidRDefault="007B695D" w:rsidP="001115D7">
            <w:pPr>
              <w:adjustRightInd w:val="0"/>
              <w:snapToGrid w:val="0"/>
              <w:jc w:val="center"/>
              <w:rPr>
                <w:rFonts w:ascii="Times New Roman" w:hAnsi="Times New Roman"/>
                <w:color w:val="000000"/>
                <w:sz w:val="18"/>
                <w:szCs w:val="18"/>
              </w:rPr>
            </w:pPr>
          </w:p>
        </w:tc>
      </w:tr>
      <w:tr w:rsidR="007B695D" w14:paraId="06107C6A" w14:textId="77777777" w:rsidTr="00D56F7B">
        <w:trPr>
          <w:trHeight w:val="340"/>
          <w:jc w:val="center"/>
        </w:trPr>
        <w:tc>
          <w:tcPr>
            <w:tcW w:w="661" w:type="dxa"/>
            <w:vMerge w:val="restart"/>
            <w:vAlign w:val="center"/>
          </w:tcPr>
          <w:p w14:paraId="45B16C88"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sz w:val="18"/>
                <w:szCs w:val="18"/>
              </w:rPr>
              <w:t>基础指标</w:t>
            </w:r>
          </w:p>
        </w:tc>
        <w:tc>
          <w:tcPr>
            <w:tcW w:w="1828" w:type="dxa"/>
            <w:gridSpan w:val="2"/>
            <w:vAlign w:val="center"/>
          </w:tcPr>
          <w:p w14:paraId="429D81BC"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尺寸</w:t>
            </w:r>
          </w:p>
        </w:tc>
        <w:tc>
          <w:tcPr>
            <w:tcW w:w="1844" w:type="dxa"/>
            <w:shd w:val="clear" w:color="auto" w:fill="auto"/>
            <w:vAlign w:val="center"/>
          </w:tcPr>
          <w:p w14:paraId="2F86EB74"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25PSB:25</w:t>
            </w:r>
            <w:r>
              <w:rPr>
                <w:rFonts w:ascii="Times New Roman" w:hAnsi="Times New Roman" w:hint="eastAsia"/>
                <w:color w:val="000000"/>
                <w:sz w:val="18"/>
                <w:szCs w:val="18"/>
              </w:rPr>
              <w:t>±</w:t>
            </w:r>
            <w:r>
              <w:rPr>
                <w:rFonts w:ascii="Times New Roman" w:hAnsi="Times New Roman" w:hint="eastAsia"/>
                <w:color w:val="000000"/>
                <w:sz w:val="18"/>
                <w:szCs w:val="18"/>
              </w:rPr>
              <w:t>0.2mm</w:t>
            </w:r>
          </w:p>
          <w:p w14:paraId="66039908"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32PSB:32</w:t>
            </w:r>
            <w:r>
              <w:rPr>
                <w:rFonts w:ascii="Times New Roman" w:hAnsi="Times New Roman" w:hint="eastAsia"/>
                <w:color w:val="000000"/>
                <w:sz w:val="18"/>
                <w:szCs w:val="18"/>
              </w:rPr>
              <w:t>±</w:t>
            </w:r>
            <w:r>
              <w:rPr>
                <w:rFonts w:ascii="Times New Roman" w:hAnsi="Times New Roman" w:hint="eastAsia"/>
                <w:color w:val="000000"/>
                <w:sz w:val="18"/>
                <w:szCs w:val="18"/>
              </w:rPr>
              <w:t>0.3</w:t>
            </w:r>
            <w:r>
              <w:rPr>
                <w:rFonts w:ascii="Times New Roman" w:hAnsi="Times New Roman"/>
                <w:color w:val="000000"/>
                <w:sz w:val="18"/>
                <w:szCs w:val="18"/>
              </w:rPr>
              <w:t>mm</w:t>
            </w:r>
          </w:p>
          <w:p w14:paraId="3312A438"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34PSB:34</w:t>
            </w:r>
            <w:r>
              <w:rPr>
                <w:rFonts w:ascii="Times New Roman" w:hAnsi="Times New Roman" w:hint="eastAsia"/>
                <w:color w:val="000000"/>
                <w:sz w:val="18"/>
                <w:szCs w:val="18"/>
              </w:rPr>
              <w:t>±</w:t>
            </w:r>
            <w:r>
              <w:rPr>
                <w:rFonts w:ascii="Times New Roman" w:hAnsi="Times New Roman" w:hint="eastAsia"/>
                <w:color w:val="000000"/>
                <w:sz w:val="18"/>
                <w:szCs w:val="18"/>
              </w:rPr>
              <w:t>0.3</w:t>
            </w:r>
            <w:r>
              <w:rPr>
                <w:rFonts w:ascii="Times New Roman" w:hAnsi="Times New Roman"/>
                <w:color w:val="000000"/>
                <w:sz w:val="18"/>
                <w:szCs w:val="18"/>
              </w:rPr>
              <w:t>mm</w:t>
            </w:r>
          </w:p>
          <w:p w14:paraId="6D32C9CA" w14:textId="77777777" w:rsidR="007B695D" w:rsidRDefault="007B695D" w:rsidP="001115D7">
            <w:pPr>
              <w:adjustRightInd w:val="0"/>
              <w:snapToGrid w:val="0"/>
              <w:ind w:firstLineChars="100" w:firstLine="180"/>
              <w:rPr>
                <w:rFonts w:ascii="Times New Roman" w:hAnsi="Times New Roman" w:hint="eastAsia"/>
                <w:color w:val="000000"/>
                <w:sz w:val="18"/>
                <w:szCs w:val="18"/>
              </w:rPr>
            </w:pPr>
            <w:r>
              <w:rPr>
                <w:rFonts w:ascii="Times New Roman" w:hAnsi="Times New Roman" w:hint="eastAsia"/>
                <w:color w:val="000000"/>
                <w:sz w:val="18"/>
                <w:szCs w:val="18"/>
              </w:rPr>
              <w:t>36PSB:36</w:t>
            </w:r>
            <w:r>
              <w:rPr>
                <w:rFonts w:ascii="Times New Roman" w:hAnsi="Times New Roman" w:hint="eastAsia"/>
                <w:color w:val="000000"/>
                <w:sz w:val="18"/>
                <w:szCs w:val="18"/>
              </w:rPr>
              <w:t>±</w:t>
            </w:r>
            <w:r>
              <w:rPr>
                <w:rFonts w:ascii="Times New Roman" w:hAnsi="Times New Roman" w:hint="eastAsia"/>
                <w:color w:val="000000"/>
                <w:sz w:val="18"/>
                <w:szCs w:val="18"/>
              </w:rPr>
              <w:t>0.3</w:t>
            </w:r>
            <w:r>
              <w:rPr>
                <w:rFonts w:ascii="Times New Roman" w:hAnsi="Times New Roman"/>
                <w:color w:val="000000"/>
                <w:sz w:val="18"/>
                <w:szCs w:val="18"/>
              </w:rPr>
              <w:t>mm</w:t>
            </w:r>
          </w:p>
          <w:p w14:paraId="5074353B" w14:textId="77777777" w:rsidR="007B695D" w:rsidRDefault="007B695D" w:rsidP="001115D7">
            <w:pPr>
              <w:adjustRightInd w:val="0"/>
              <w:snapToGrid w:val="0"/>
              <w:ind w:firstLineChars="100" w:firstLine="180"/>
              <w:rPr>
                <w:rFonts w:ascii="Times New Roman" w:hAnsi="Times New Roman" w:hint="eastAsia"/>
                <w:color w:val="000000"/>
                <w:sz w:val="18"/>
                <w:szCs w:val="18"/>
              </w:rPr>
            </w:pPr>
            <w:r>
              <w:rPr>
                <w:rFonts w:ascii="Times New Roman" w:hAnsi="Times New Roman" w:hint="eastAsia"/>
                <w:color w:val="000000"/>
                <w:sz w:val="18"/>
                <w:szCs w:val="18"/>
              </w:rPr>
              <w:t>40PSB:36</w:t>
            </w:r>
            <w:r>
              <w:rPr>
                <w:rFonts w:ascii="Times New Roman" w:hAnsi="Times New Roman" w:hint="eastAsia"/>
                <w:color w:val="000000"/>
                <w:sz w:val="18"/>
                <w:szCs w:val="18"/>
              </w:rPr>
              <w:t>±</w:t>
            </w:r>
            <w:r>
              <w:rPr>
                <w:rFonts w:ascii="Times New Roman" w:hAnsi="Times New Roman" w:hint="eastAsia"/>
                <w:color w:val="000000"/>
                <w:sz w:val="18"/>
                <w:szCs w:val="18"/>
              </w:rPr>
              <w:t>0.3</w:t>
            </w:r>
            <w:r>
              <w:rPr>
                <w:rFonts w:ascii="Times New Roman" w:hAnsi="Times New Roman"/>
                <w:color w:val="000000"/>
                <w:sz w:val="18"/>
                <w:szCs w:val="18"/>
              </w:rPr>
              <w:t>mm</w:t>
            </w:r>
          </w:p>
        </w:tc>
        <w:tc>
          <w:tcPr>
            <w:tcW w:w="1836" w:type="dxa"/>
            <w:shd w:val="clear" w:color="auto" w:fill="auto"/>
            <w:vAlign w:val="center"/>
          </w:tcPr>
          <w:p w14:paraId="152AF32D"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25PSB:25</w:t>
            </w:r>
            <w:r>
              <w:rPr>
                <w:rFonts w:ascii="Times New Roman" w:hAnsi="Times New Roman" w:hint="eastAsia"/>
                <w:color w:val="000000"/>
                <w:sz w:val="18"/>
                <w:szCs w:val="18"/>
              </w:rPr>
              <w:t>±</w:t>
            </w:r>
            <w:r>
              <w:rPr>
                <w:rFonts w:ascii="Times New Roman" w:hAnsi="Times New Roman" w:hint="eastAsia"/>
                <w:color w:val="000000"/>
                <w:sz w:val="18"/>
                <w:szCs w:val="18"/>
              </w:rPr>
              <w:t>0.3</w:t>
            </w:r>
            <w:r>
              <w:rPr>
                <w:rFonts w:ascii="Times New Roman" w:hAnsi="Times New Roman"/>
                <w:color w:val="000000"/>
                <w:sz w:val="18"/>
                <w:szCs w:val="18"/>
              </w:rPr>
              <w:t>mm</w:t>
            </w:r>
          </w:p>
          <w:p w14:paraId="2BBFB78D"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32PSB:32</w:t>
            </w:r>
            <w:r>
              <w:rPr>
                <w:rFonts w:ascii="Times New Roman" w:hAnsi="Times New Roman" w:hint="eastAsia"/>
                <w:color w:val="000000"/>
                <w:sz w:val="18"/>
                <w:szCs w:val="18"/>
              </w:rPr>
              <w:t>±</w:t>
            </w:r>
            <w:r>
              <w:rPr>
                <w:rFonts w:ascii="Times New Roman" w:hAnsi="Times New Roman" w:hint="eastAsia"/>
                <w:color w:val="000000"/>
                <w:sz w:val="18"/>
                <w:szCs w:val="18"/>
              </w:rPr>
              <w:t>0.4</w:t>
            </w:r>
            <w:r>
              <w:rPr>
                <w:rFonts w:ascii="Times New Roman" w:hAnsi="Times New Roman"/>
                <w:color w:val="000000"/>
                <w:sz w:val="18"/>
                <w:szCs w:val="18"/>
              </w:rPr>
              <w:t>mm</w:t>
            </w:r>
          </w:p>
          <w:p w14:paraId="74F16A85"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34PSB:34</w:t>
            </w:r>
            <w:r>
              <w:rPr>
                <w:rFonts w:ascii="Times New Roman" w:hAnsi="Times New Roman" w:hint="eastAsia"/>
                <w:color w:val="000000"/>
                <w:sz w:val="18"/>
                <w:szCs w:val="18"/>
              </w:rPr>
              <w:t>±</w:t>
            </w:r>
            <w:r>
              <w:rPr>
                <w:rFonts w:ascii="Times New Roman" w:hAnsi="Times New Roman" w:hint="eastAsia"/>
                <w:color w:val="000000"/>
                <w:sz w:val="18"/>
                <w:szCs w:val="18"/>
              </w:rPr>
              <w:t>0.4</w:t>
            </w:r>
            <w:r>
              <w:rPr>
                <w:rFonts w:ascii="Times New Roman" w:hAnsi="Times New Roman"/>
                <w:color w:val="000000"/>
                <w:sz w:val="18"/>
                <w:szCs w:val="18"/>
              </w:rPr>
              <w:t>mm</w:t>
            </w:r>
          </w:p>
          <w:p w14:paraId="6C906966"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36PSB:36</w:t>
            </w:r>
            <w:r>
              <w:rPr>
                <w:rFonts w:ascii="Times New Roman" w:hAnsi="Times New Roman" w:hint="eastAsia"/>
                <w:color w:val="000000"/>
                <w:sz w:val="18"/>
                <w:szCs w:val="18"/>
              </w:rPr>
              <w:t>±</w:t>
            </w:r>
            <w:r>
              <w:rPr>
                <w:rFonts w:ascii="Times New Roman" w:hAnsi="Times New Roman" w:hint="eastAsia"/>
                <w:color w:val="000000"/>
                <w:sz w:val="18"/>
                <w:szCs w:val="18"/>
              </w:rPr>
              <w:t>0.4</w:t>
            </w:r>
            <w:r>
              <w:rPr>
                <w:rFonts w:ascii="Times New Roman" w:hAnsi="Times New Roman"/>
                <w:color w:val="000000"/>
                <w:sz w:val="18"/>
                <w:szCs w:val="18"/>
              </w:rPr>
              <w:t>mm</w:t>
            </w:r>
          </w:p>
          <w:p w14:paraId="7B285C45"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40PSB:36</w:t>
            </w:r>
            <w:r>
              <w:rPr>
                <w:rFonts w:ascii="Times New Roman" w:hAnsi="Times New Roman" w:hint="eastAsia"/>
                <w:color w:val="000000"/>
                <w:sz w:val="18"/>
                <w:szCs w:val="18"/>
              </w:rPr>
              <w:t>±</w:t>
            </w:r>
            <w:r>
              <w:rPr>
                <w:rFonts w:ascii="Times New Roman" w:hAnsi="Times New Roman" w:hint="eastAsia"/>
                <w:color w:val="000000"/>
                <w:sz w:val="18"/>
                <w:szCs w:val="18"/>
              </w:rPr>
              <w:t>0.4</w:t>
            </w:r>
            <w:r>
              <w:rPr>
                <w:rFonts w:ascii="Times New Roman" w:hAnsi="Times New Roman"/>
                <w:color w:val="000000"/>
                <w:sz w:val="18"/>
                <w:szCs w:val="18"/>
              </w:rPr>
              <w:t>mm</w:t>
            </w:r>
          </w:p>
        </w:tc>
        <w:tc>
          <w:tcPr>
            <w:tcW w:w="1841" w:type="dxa"/>
            <w:shd w:val="clear" w:color="auto" w:fill="auto"/>
            <w:vAlign w:val="center"/>
          </w:tcPr>
          <w:p w14:paraId="5668CAC3"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25PSB:25</w:t>
            </w:r>
            <w:r>
              <w:rPr>
                <w:rFonts w:ascii="Times New Roman" w:hAnsi="Times New Roman" w:hint="eastAsia"/>
                <w:color w:val="000000"/>
                <w:sz w:val="18"/>
                <w:szCs w:val="18"/>
              </w:rPr>
              <w:t>±</w:t>
            </w:r>
            <w:r>
              <w:rPr>
                <w:rFonts w:ascii="Times New Roman" w:hAnsi="Times New Roman" w:hint="eastAsia"/>
                <w:color w:val="000000"/>
                <w:sz w:val="18"/>
                <w:szCs w:val="18"/>
              </w:rPr>
              <w:t>0.4</w:t>
            </w:r>
            <w:r>
              <w:rPr>
                <w:rFonts w:ascii="Times New Roman" w:hAnsi="Times New Roman"/>
                <w:color w:val="000000"/>
                <w:sz w:val="18"/>
                <w:szCs w:val="18"/>
              </w:rPr>
              <w:t>mm</w:t>
            </w:r>
          </w:p>
          <w:p w14:paraId="0D3772E2" w14:textId="77777777" w:rsidR="007B695D" w:rsidRDefault="007B695D" w:rsidP="001115D7">
            <w:pPr>
              <w:adjustRightInd w:val="0"/>
              <w:snapToGrid w:val="0"/>
              <w:jc w:val="center"/>
              <w:rPr>
                <w:rFonts w:ascii="Times New Roman" w:hAnsi="Times New Roman" w:hint="eastAsia"/>
                <w:color w:val="000000"/>
                <w:sz w:val="18"/>
                <w:szCs w:val="18"/>
              </w:rPr>
            </w:pPr>
            <w:r>
              <w:rPr>
                <w:rFonts w:ascii="Times New Roman" w:hAnsi="Times New Roman" w:hint="eastAsia"/>
                <w:color w:val="000000"/>
                <w:sz w:val="18"/>
                <w:szCs w:val="18"/>
              </w:rPr>
              <w:t>32PSB:32</w:t>
            </w:r>
            <w:r>
              <w:rPr>
                <w:rFonts w:ascii="Times New Roman" w:hAnsi="Times New Roman" w:hint="eastAsia"/>
                <w:color w:val="000000"/>
                <w:sz w:val="18"/>
                <w:szCs w:val="18"/>
              </w:rPr>
              <w:t>±</w:t>
            </w:r>
            <w:r>
              <w:rPr>
                <w:rFonts w:ascii="Times New Roman" w:hAnsi="Times New Roman" w:hint="eastAsia"/>
                <w:color w:val="000000"/>
                <w:sz w:val="18"/>
                <w:szCs w:val="18"/>
              </w:rPr>
              <w:t>0.5</w:t>
            </w:r>
            <w:r>
              <w:rPr>
                <w:rFonts w:ascii="Times New Roman" w:hAnsi="Times New Roman"/>
                <w:color w:val="000000"/>
                <w:sz w:val="18"/>
                <w:szCs w:val="18"/>
              </w:rPr>
              <w:t>mm</w:t>
            </w:r>
          </w:p>
          <w:p w14:paraId="233F0BFD"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34PSB:34</w:t>
            </w:r>
            <w:r>
              <w:rPr>
                <w:rFonts w:ascii="Times New Roman" w:hAnsi="Times New Roman" w:hint="eastAsia"/>
                <w:color w:val="000000"/>
                <w:sz w:val="18"/>
                <w:szCs w:val="18"/>
              </w:rPr>
              <w:t>±</w:t>
            </w:r>
            <w:r>
              <w:rPr>
                <w:rFonts w:ascii="Times New Roman" w:hAnsi="Times New Roman" w:hint="eastAsia"/>
                <w:color w:val="000000"/>
                <w:sz w:val="18"/>
                <w:szCs w:val="18"/>
              </w:rPr>
              <w:t>0.5</w:t>
            </w:r>
            <w:r>
              <w:rPr>
                <w:rFonts w:ascii="Times New Roman" w:hAnsi="Times New Roman"/>
                <w:color w:val="000000"/>
                <w:sz w:val="18"/>
                <w:szCs w:val="18"/>
              </w:rPr>
              <w:t>mm</w:t>
            </w:r>
          </w:p>
          <w:p w14:paraId="44BBB21D" w14:textId="77777777" w:rsidR="007B695D" w:rsidRDefault="007B695D" w:rsidP="001115D7">
            <w:pPr>
              <w:adjustRightInd w:val="0"/>
              <w:snapToGrid w:val="0"/>
              <w:jc w:val="center"/>
              <w:rPr>
                <w:rFonts w:ascii="Times New Roman" w:hAnsi="Times New Roman" w:hint="eastAsia"/>
                <w:color w:val="000000"/>
                <w:sz w:val="18"/>
                <w:szCs w:val="18"/>
              </w:rPr>
            </w:pPr>
            <w:r>
              <w:rPr>
                <w:rFonts w:ascii="Times New Roman" w:hAnsi="Times New Roman" w:hint="eastAsia"/>
                <w:color w:val="000000"/>
                <w:sz w:val="18"/>
                <w:szCs w:val="18"/>
              </w:rPr>
              <w:t>36PSB:36</w:t>
            </w:r>
            <w:r>
              <w:rPr>
                <w:rFonts w:ascii="Times New Roman" w:hAnsi="Times New Roman" w:hint="eastAsia"/>
                <w:color w:val="000000"/>
                <w:sz w:val="18"/>
                <w:szCs w:val="18"/>
              </w:rPr>
              <w:t>±</w:t>
            </w:r>
            <w:r>
              <w:rPr>
                <w:rFonts w:ascii="Times New Roman" w:hAnsi="Times New Roman" w:hint="eastAsia"/>
                <w:color w:val="000000"/>
                <w:sz w:val="18"/>
                <w:szCs w:val="18"/>
              </w:rPr>
              <w:t>0.5</w:t>
            </w:r>
            <w:r>
              <w:rPr>
                <w:rFonts w:ascii="Times New Roman" w:hAnsi="Times New Roman"/>
                <w:color w:val="000000"/>
                <w:sz w:val="18"/>
                <w:szCs w:val="18"/>
              </w:rPr>
              <w:t>mm</w:t>
            </w:r>
          </w:p>
          <w:p w14:paraId="6FACEE21"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40PSB:36</w:t>
            </w:r>
            <w:r>
              <w:rPr>
                <w:rFonts w:ascii="Times New Roman" w:hAnsi="Times New Roman" w:hint="eastAsia"/>
                <w:color w:val="000000"/>
                <w:sz w:val="18"/>
                <w:szCs w:val="18"/>
              </w:rPr>
              <w:t>±</w:t>
            </w:r>
            <w:r>
              <w:rPr>
                <w:rFonts w:ascii="Times New Roman" w:hAnsi="Times New Roman" w:hint="eastAsia"/>
                <w:color w:val="000000"/>
                <w:sz w:val="18"/>
                <w:szCs w:val="18"/>
              </w:rPr>
              <w:t>0.5</w:t>
            </w:r>
            <w:r>
              <w:rPr>
                <w:rFonts w:ascii="Times New Roman" w:hAnsi="Times New Roman"/>
                <w:color w:val="000000"/>
                <w:sz w:val="18"/>
                <w:szCs w:val="18"/>
              </w:rPr>
              <w:t>mm</w:t>
            </w:r>
          </w:p>
        </w:tc>
        <w:tc>
          <w:tcPr>
            <w:tcW w:w="1308" w:type="dxa"/>
            <w:vMerge w:val="restart"/>
            <w:vAlign w:val="center"/>
          </w:tcPr>
          <w:p w14:paraId="583861E5"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GB/T 20065-2016</w:t>
            </w:r>
            <w:r>
              <w:rPr>
                <w:rFonts w:ascii="Times New Roman" w:hAnsi="Times New Roman"/>
                <w:color w:val="000000"/>
                <w:sz w:val="18"/>
                <w:szCs w:val="18"/>
              </w:rPr>
              <w:t>中</w:t>
            </w:r>
            <w:r>
              <w:rPr>
                <w:rFonts w:ascii="Times New Roman" w:hAnsi="Times New Roman" w:hint="eastAsia"/>
                <w:color w:val="000000"/>
                <w:sz w:val="18"/>
                <w:szCs w:val="18"/>
              </w:rPr>
              <w:t>规定的方法</w:t>
            </w:r>
          </w:p>
        </w:tc>
      </w:tr>
      <w:tr w:rsidR="007B695D" w14:paraId="7610A8E2" w14:textId="77777777" w:rsidTr="00D56F7B">
        <w:trPr>
          <w:trHeight w:val="340"/>
          <w:jc w:val="center"/>
        </w:trPr>
        <w:tc>
          <w:tcPr>
            <w:tcW w:w="661" w:type="dxa"/>
            <w:vMerge/>
            <w:vAlign w:val="center"/>
          </w:tcPr>
          <w:p w14:paraId="4181A967" w14:textId="77777777" w:rsidR="007B695D" w:rsidRDefault="007B695D" w:rsidP="001115D7">
            <w:pPr>
              <w:adjustRightInd w:val="0"/>
              <w:snapToGrid w:val="0"/>
              <w:jc w:val="center"/>
              <w:rPr>
                <w:rFonts w:ascii="Times New Roman" w:hAnsi="Times New Roman"/>
                <w:sz w:val="18"/>
                <w:szCs w:val="18"/>
              </w:rPr>
            </w:pPr>
          </w:p>
        </w:tc>
        <w:tc>
          <w:tcPr>
            <w:tcW w:w="1828" w:type="dxa"/>
            <w:gridSpan w:val="2"/>
            <w:vAlign w:val="center"/>
          </w:tcPr>
          <w:p w14:paraId="264CA56B"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外形</w:t>
            </w:r>
          </w:p>
        </w:tc>
        <w:tc>
          <w:tcPr>
            <w:tcW w:w="1844" w:type="dxa"/>
            <w:shd w:val="clear" w:color="auto" w:fill="auto"/>
            <w:vAlign w:val="center"/>
          </w:tcPr>
          <w:p w14:paraId="6572BAE8" w14:textId="77777777" w:rsidR="007B695D" w:rsidRDefault="007B695D" w:rsidP="001115D7">
            <w:pPr>
              <w:spacing w:line="360" w:lineRule="auto"/>
              <w:rPr>
                <w:rFonts w:ascii="Times New Roman" w:hAnsi="Times New Roman"/>
                <w:color w:val="000000"/>
                <w:sz w:val="18"/>
                <w:szCs w:val="18"/>
              </w:rPr>
            </w:pPr>
            <w:r>
              <w:rPr>
                <w:rFonts w:ascii="Times New Roman" w:hAnsi="Times New Roman" w:hint="eastAsia"/>
                <w:color w:val="000000"/>
                <w:sz w:val="18"/>
                <w:szCs w:val="18"/>
              </w:rPr>
              <w:t xml:space="preserve">  </w:t>
            </w:r>
            <w:r>
              <w:rPr>
                <w:rFonts w:ascii="Times New Roman" w:hAnsi="Times New Roman" w:hint="eastAsia"/>
                <w:color w:val="000000"/>
                <w:sz w:val="18"/>
                <w:szCs w:val="18"/>
              </w:rPr>
              <w:t>与连接器匹配紧密</w:t>
            </w:r>
          </w:p>
        </w:tc>
        <w:tc>
          <w:tcPr>
            <w:tcW w:w="1836" w:type="dxa"/>
            <w:shd w:val="clear" w:color="auto" w:fill="auto"/>
            <w:vAlign w:val="center"/>
          </w:tcPr>
          <w:p w14:paraId="7D794998" w14:textId="77777777" w:rsidR="007B695D" w:rsidRDefault="007B695D" w:rsidP="001115D7">
            <w:pPr>
              <w:spacing w:line="360" w:lineRule="auto"/>
              <w:rPr>
                <w:rFonts w:ascii="Times New Roman" w:hAnsi="Times New Roman"/>
                <w:color w:val="000000"/>
                <w:sz w:val="18"/>
                <w:szCs w:val="18"/>
              </w:rPr>
            </w:pPr>
            <w:r>
              <w:rPr>
                <w:rFonts w:ascii="Times New Roman" w:hAnsi="Times New Roman" w:hint="eastAsia"/>
                <w:color w:val="000000"/>
                <w:sz w:val="18"/>
                <w:szCs w:val="18"/>
              </w:rPr>
              <w:t xml:space="preserve">  </w:t>
            </w:r>
            <w:r>
              <w:rPr>
                <w:rFonts w:ascii="Times New Roman" w:hAnsi="Times New Roman" w:hint="eastAsia"/>
                <w:color w:val="000000"/>
                <w:sz w:val="18"/>
                <w:szCs w:val="18"/>
              </w:rPr>
              <w:t>正常拧入连接器</w:t>
            </w:r>
          </w:p>
        </w:tc>
        <w:tc>
          <w:tcPr>
            <w:tcW w:w="1841" w:type="dxa"/>
            <w:shd w:val="clear" w:color="auto" w:fill="auto"/>
            <w:vAlign w:val="center"/>
          </w:tcPr>
          <w:p w14:paraId="31093AF7"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不影响连接器通过</w:t>
            </w:r>
          </w:p>
        </w:tc>
        <w:tc>
          <w:tcPr>
            <w:tcW w:w="1308" w:type="dxa"/>
            <w:vMerge/>
            <w:vAlign w:val="center"/>
          </w:tcPr>
          <w:p w14:paraId="4A27DB30" w14:textId="77777777" w:rsidR="007B695D" w:rsidRDefault="007B695D" w:rsidP="001115D7">
            <w:pPr>
              <w:adjustRightInd w:val="0"/>
              <w:snapToGrid w:val="0"/>
              <w:jc w:val="center"/>
              <w:rPr>
                <w:rFonts w:ascii="Times New Roman" w:hAnsi="Times New Roman"/>
                <w:color w:val="000000"/>
                <w:sz w:val="18"/>
                <w:szCs w:val="18"/>
              </w:rPr>
            </w:pPr>
          </w:p>
        </w:tc>
      </w:tr>
      <w:tr w:rsidR="007B695D" w14:paraId="27609083" w14:textId="77777777" w:rsidTr="00D56F7B">
        <w:trPr>
          <w:trHeight w:val="340"/>
          <w:jc w:val="center"/>
        </w:trPr>
        <w:tc>
          <w:tcPr>
            <w:tcW w:w="661" w:type="dxa"/>
            <w:vMerge/>
            <w:vAlign w:val="center"/>
          </w:tcPr>
          <w:p w14:paraId="782BEE3E" w14:textId="77777777" w:rsidR="007B695D" w:rsidRDefault="007B695D" w:rsidP="001115D7">
            <w:pPr>
              <w:adjustRightInd w:val="0"/>
              <w:snapToGrid w:val="0"/>
              <w:jc w:val="center"/>
              <w:rPr>
                <w:rFonts w:ascii="Times New Roman" w:hAnsi="Times New Roman"/>
                <w:sz w:val="18"/>
                <w:szCs w:val="18"/>
              </w:rPr>
            </w:pPr>
          </w:p>
        </w:tc>
        <w:tc>
          <w:tcPr>
            <w:tcW w:w="1828" w:type="dxa"/>
            <w:gridSpan w:val="2"/>
            <w:vAlign w:val="center"/>
          </w:tcPr>
          <w:p w14:paraId="485FC260"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重量</w:t>
            </w:r>
          </w:p>
        </w:tc>
        <w:tc>
          <w:tcPr>
            <w:tcW w:w="1844" w:type="dxa"/>
            <w:shd w:val="clear" w:color="auto" w:fill="auto"/>
            <w:vAlign w:val="center"/>
          </w:tcPr>
          <w:p w14:paraId="1CB0AE79" w14:textId="77777777" w:rsidR="007B695D" w:rsidRDefault="007B695D" w:rsidP="001115D7">
            <w:pPr>
              <w:spacing w:line="360" w:lineRule="auto"/>
              <w:rPr>
                <w:rFonts w:ascii="Times New Roman" w:hAnsi="Times New Roman"/>
                <w:color w:val="000000"/>
                <w:sz w:val="18"/>
                <w:szCs w:val="18"/>
              </w:rPr>
            </w:pPr>
            <w:r>
              <w:rPr>
                <w:rFonts w:ascii="Times New Roman" w:hAnsi="Times New Roman" w:hint="eastAsia"/>
                <w:color w:val="000000"/>
                <w:sz w:val="18"/>
                <w:szCs w:val="18"/>
              </w:rPr>
              <w:t xml:space="preserve"> </w:t>
            </w:r>
            <w:r>
              <w:rPr>
                <w:rFonts w:ascii="Times New Roman" w:hAnsi="Times New Roman" w:hint="eastAsia"/>
                <w:color w:val="000000"/>
                <w:sz w:val="18"/>
                <w:szCs w:val="18"/>
              </w:rPr>
              <w:t>理论重量：±</w:t>
            </w:r>
            <w:r>
              <w:rPr>
                <w:rFonts w:ascii="Times New Roman" w:hAnsi="Times New Roman" w:hint="eastAsia"/>
                <w:color w:val="000000"/>
                <w:sz w:val="18"/>
                <w:szCs w:val="18"/>
              </w:rPr>
              <w:t>2%</w:t>
            </w:r>
          </w:p>
        </w:tc>
        <w:tc>
          <w:tcPr>
            <w:tcW w:w="1836" w:type="dxa"/>
            <w:shd w:val="clear" w:color="auto" w:fill="auto"/>
            <w:vAlign w:val="center"/>
          </w:tcPr>
          <w:p w14:paraId="41222A61" w14:textId="77777777" w:rsidR="007B695D" w:rsidRDefault="007B695D" w:rsidP="001115D7">
            <w:pPr>
              <w:spacing w:line="360" w:lineRule="auto"/>
              <w:ind w:firstLineChars="100" w:firstLine="180"/>
              <w:rPr>
                <w:rFonts w:ascii="Times New Roman" w:hAnsi="Times New Roman" w:hint="eastAsia"/>
                <w:color w:val="000000"/>
                <w:sz w:val="18"/>
                <w:szCs w:val="18"/>
              </w:rPr>
            </w:pPr>
            <w:r>
              <w:rPr>
                <w:rFonts w:ascii="Times New Roman" w:hAnsi="Times New Roman" w:hint="eastAsia"/>
                <w:color w:val="000000"/>
                <w:sz w:val="18"/>
                <w:szCs w:val="18"/>
              </w:rPr>
              <w:t>理论重量：±</w:t>
            </w:r>
            <w:r>
              <w:rPr>
                <w:rFonts w:ascii="Times New Roman" w:hAnsi="Times New Roman" w:hint="eastAsia"/>
                <w:color w:val="000000"/>
                <w:sz w:val="18"/>
                <w:szCs w:val="18"/>
              </w:rPr>
              <w:t>3%</w:t>
            </w:r>
          </w:p>
        </w:tc>
        <w:tc>
          <w:tcPr>
            <w:tcW w:w="1841" w:type="dxa"/>
            <w:shd w:val="clear" w:color="auto" w:fill="auto"/>
            <w:vAlign w:val="center"/>
          </w:tcPr>
          <w:p w14:paraId="56C09D95"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color w:val="000000"/>
                <w:sz w:val="18"/>
                <w:szCs w:val="18"/>
              </w:rPr>
              <w:t>理论重量：±</w:t>
            </w:r>
            <w:r>
              <w:rPr>
                <w:rFonts w:ascii="Times New Roman" w:hAnsi="Times New Roman" w:hint="eastAsia"/>
                <w:color w:val="000000"/>
                <w:sz w:val="18"/>
                <w:szCs w:val="18"/>
              </w:rPr>
              <w:t>4%</w:t>
            </w:r>
          </w:p>
        </w:tc>
        <w:tc>
          <w:tcPr>
            <w:tcW w:w="1308" w:type="dxa"/>
            <w:vMerge/>
            <w:vAlign w:val="center"/>
          </w:tcPr>
          <w:p w14:paraId="366A4EDF" w14:textId="77777777" w:rsidR="007B695D" w:rsidRDefault="007B695D" w:rsidP="001115D7">
            <w:pPr>
              <w:adjustRightInd w:val="0"/>
              <w:snapToGrid w:val="0"/>
              <w:jc w:val="center"/>
              <w:rPr>
                <w:rFonts w:ascii="Times New Roman" w:hAnsi="Times New Roman"/>
                <w:color w:val="000000"/>
                <w:sz w:val="18"/>
                <w:szCs w:val="18"/>
              </w:rPr>
            </w:pPr>
          </w:p>
        </w:tc>
      </w:tr>
      <w:tr w:rsidR="007B695D" w14:paraId="5695177A" w14:textId="77777777" w:rsidTr="00D56F7B">
        <w:trPr>
          <w:trHeight w:val="340"/>
          <w:jc w:val="center"/>
        </w:trPr>
        <w:tc>
          <w:tcPr>
            <w:tcW w:w="661" w:type="dxa"/>
            <w:vMerge/>
            <w:vAlign w:val="center"/>
          </w:tcPr>
          <w:p w14:paraId="3E94C0B7" w14:textId="77777777" w:rsidR="007B695D" w:rsidRDefault="007B695D" w:rsidP="001115D7">
            <w:pPr>
              <w:adjustRightInd w:val="0"/>
              <w:snapToGrid w:val="0"/>
              <w:jc w:val="center"/>
              <w:rPr>
                <w:rFonts w:ascii="Times New Roman" w:hAnsi="Times New Roman"/>
                <w:sz w:val="18"/>
                <w:szCs w:val="18"/>
              </w:rPr>
            </w:pPr>
          </w:p>
        </w:tc>
        <w:tc>
          <w:tcPr>
            <w:tcW w:w="1828" w:type="dxa"/>
            <w:gridSpan w:val="2"/>
            <w:vAlign w:val="center"/>
          </w:tcPr>
          <w:p w14:paraId="6BB1FF20"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sz w:val="18"/>
                <w:szCs w:val="18"/>
              </w:rPr>
              <w:t>表面质量</w:t>
            </w:r>
          </w:p>
        </w:tc>
        <w:tc>
          <w:tcPr>
            <w:tcW w:w="5521" w:type="dxa"/>
            <w:gridSpan w:val="3"/>
            <w:vAlign w:val="center"/>
          </w:tcPr>
          <w:p w14:paraId="269555E1"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符合</w:t>
            </w:r>
            <w:r>
              <w:rPr>
                <w:rFonts w:ascii="Times New Roman" w:hAnsi="Times New Roman"/>
                <w:color w:val="000000"/>
                <w:sz w:val="18"/>
                <w:szCs w:val="18"/>
              </w:rPr>
              <w:t>GB/T 20065-2016</w:t>
            </w:r>
            <w:r>
              <w:rPr>
                <w:rFonts w:ascii="Times New Roman" w:hAnsi="Times New Roman" w:hint="eastAsia"/>
                <w:color w:val="000000"/>
                <w:sz w:val="18"/>
                <w:szCs w:val="18"/>
              </w:rPr>
              <w:t>的规定</w:t>
            </w:r>
          </w:p>
        </w:tc>
        <w:tc>
          <w:tcPr>
            <w:tcW w:w="1308" w:type="dxa"/>
            <w:vAlign w:val="center"/>
          </w:tcPr>
          <w:p w14:paraId="4A0C57E7"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hint="eastAsia"/>
                <w:sz w:val="18"/>
                <w:szCs w:val="18"/>
              </w:rPr>
              <w:t>目视</w:t>
            </w:r>
          </w:p>
        </w:tc>
      </w:tr>
      <w:tr w:rsidR="007B695D" w14:paraId="6084C6EC" w14:textId="77777777" w:rsidTr="00D56F7B">
        <w:trPr>
          <w:trHeight w:val="340"/>
          <w:jc w:val="center"/>
        </w:trPr>
        <w:tc>
          <w:tcPr>
            <w:tcW w:w="661" w:type="dxa"/>
            <w:vMerge/>
            <w:vAlign w:val="center"/>
          </w:tcPr>
          <w:p w14:paraId="30B28601" w14:textId="77777777" w:rsidR="007B695D" w:rsidRDefault="007B695D" w:rsidP="001115D7">
            <w:pPr>
              <w:adjustRightInd w:val="0"/>
              <w:snapToGrid w:val="0"/>
              <w:jc w:val="center"/>
              <w:rPr>
                <w:rFonts w:ascii="Times New Roman" w:hAnsi="Times New Roman"/>
                <w:sz w:val="18"/>
                <w:szCs w:val="18"/>
              </w:rPr>
            </w:pPr>
          </w:p>
        </w:tc>
        <w:tc>
          <w:tcPr>
            <w:tcW w:w="1828" w:type="dxa"/>
            <w:gridSpan w:val="2"/>
            <w:vAlign w:val="center"/>
          </w:tcPr>
          <w:p w14:paraId="4BCB904E"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sz w:val="18"/>
                <w:szCs w:val="18"/>
              </w:rPr>
              <w:t>应力松弛性能</w:t>
            </w:r>
          </w:p>
        </w:tc>
        <w:tc>
          <w:tcPr>
            <w:tcW w:w="5521" w:type="dxa"/>
            <w:gridSpan w:val="3"/>
            <w:vAlign w:val="center"/>
          </w:tcPr>
          <w:p w14:paraId="5B6BE62A"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符合</w:t>
            </w:r>
            <w:r>
              <w:rPr>
                <w:rFonts w:ascii="Times New Roman" w:hAnsi="Times New Roman"/>
                <w:color w:val="000000"/>
                <w:sz w:val="18"/>
                <w:szCs w:val="18"/>
              </w:rPr>
              <w:t>GB/T 20065-2016</w:t>
            </w:r>
            <w:r>
              <w:rPr>
                <w:rFonts w:ascii="Times New Roman" w:hAnsi="Times New Roman" w:hint="eastAsia"/>
                <w:color w:val="000000"/>
                <w:sz w:val="18"/>
                <w:szCs w:val="18"/>
              </w:rPr>
              <w:t>的规定</w:t>
            </w:r>
          </w:p>
        </w:tc>
        <w:tc>
          <w:tcPr>
            <w:tcW w:w="1308" w:type="dxa"/>
            <w:vAlign w:val="center"/>
          </w:tcPr>
          <w:p w14:paraId="5569AD54"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GB/T 20065-2016</w:t>
            </w:r>
          </w:p>
          <w:p w14:paraId="522B41B6"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hint="eastAsia"/>
                <w:color w:val="000000"/>
                <w:sz w:val="18"/>
                <w:szCs w:val="18"/>
              </w:rPr>
              <w:t>中规定的方法</w:t>
            </w:r>
          </w:p>
        </w:tc>
      </w:tr>
      <w:tr w:rsidR="007B695D" w14:paraId="256A755C" w14:textId="77777777" w:rsidTr="00D56F7B">
        <w:trPr>
          <w:trHeight w:val="340"/>
          <w:jc w:val="center"/>
        </w:trPr>
        <w:tc>
          <w:tcPr>
            <w:tcW w:w="661" w:type="dxa"/>
            <w:vMerge w:val="restart"/>
            <w:vAlign w:val="center"/>
          </w:tcPr>
          <w:p w14:paraId="60D02379"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核心指标</w:t>
            </w:r>
          </w:p>
        </w:tc>
        <w:tc>
          <w:tcPr>
            <w:tcW w:w="1828" w:type="dxa"/>
            <w:gridSpan w:val="2"/>
            <w:vAlign w:val="center"/>
          </w:tcPr>
          <w:p w14:paraId="2BEDCDB2"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hint="eastAsia"/>
                <w:sz w:val="18"/>
                <w:szCs w:val="18"/>
              </w:rPr>
              <w:t>P</w:t>
            </w:r>
            <w:r>
              <w:rPr>
                <w:rFonts w:ascii="Times New Roman" w:hAnsi="Times New Roman" w:hint="eastAsia"/>
                <w:sz w:val="18"/>
                <w:szCs w:val="18"/>
              </w:rPr>
              <w:t>、</w:t>
            </w:r>
            <w:r>
              <w:rPr>
                <w:rFonts w:ascii="Times New Roman" w:hAnsi="Times New Roman" w:hint="eastAsia"/>
                <w:sz w:val="18"/>
                <w:szCs w:val="18"/>
              </w:rPr>
              <w:t>S</w:t>
            </w:r>
            <w:r>
              <w:rPr>
                <w:rFonts w:ascii="Times New Roman" w:hAnsi="Times New Roman" w:hint="eastAsia"/>
                <w:sz w:val="18"/>
                <w:szCs w:val="18"/>
              </w:rPr>
              <w:t>元素</w:t>
            </w:r>
          </w:p>
        </w:tc>
        <w:tc>
          <w:tcPr>
            <w:tcW w:w="1844" w:type="dxa"/>
            <w:vAlign w:val="center"/>
          </w:tcPr>
          <w:p w14:paraId="5CF8FF5A" w14:textId="77777777" w:rsidR="007B695D" w:rsidRPr="0064401B" w:rsidRDefault="007B695D" w:rsidP="001115D7">
            <w:pPr>
              <w:adjustRightInd w:val="0"/>
              <w:snapToGrid w:val="0"/>
              <w:jc w:val="center"/>
              <w:rPr>
                <w:rFonts w:ascii="Times New Roman" w:hAnsi="Times New Roman" w:hint="eastAsia"/>
                <w:sz w:val="18"/>
                <w:szCs w:val="18"/>
              </w:rPr>
            </w:pPr>
            <w:r w:rsidRPr="0064401B">
              <w:rPr>
                <w:rFonts w:ascii="Times New Roman" w:hAnsi="Times New Roman" w:hint="eastAsia"/>
                <w:color w:val="000000"/>
                <w:sz w:val="18"/>
                <w:szCs w:val="18"/>
              </w:rPr>
              <w:t>≤</w:t>
            </w:r>
            <w:r w:rsidRPr="0064401B">
              <w:rPr>
                <w:rFonts w:ascii="Times New Roman" w:hAnsi="Times New Roman"/>
                <w:sz w:val="18"/>
                <w:szCs w:val="18"/>
              </w:rPr>
              <w:t>0.025</w:t>
            </w:r>
            <w:r w:rsidRPr="0064401B">
              <w:rPr>
                <w:rFonts w:ascii="Times New Roman" w:hAnsi="Times New Roman" w:hint="eastAsia"/>
                <w:sz w:val="18"/>
                <w:szCs w:val="18"/>
              </w:rPr>
              <w:t>%</w:t>
            </w:r>
          </w:p>
        </w:tc>
        <w:tc>
          <w:tcPr>
            <w:tcW w:w="1836" w:type="dxa"/>
            <w:vAlign w:val="center"/>
          </w:tcPr>
          <w:p w14:paraId="576909CB" w14:textId="77777777" w:rsidR="007B695D" w:rsidRPr="0064401B" w:rsidRDefault="007B695D" w:rsidP="001115D7">
            <w:pPr>
              <w:adjustRightInd w:val="0"/>
              <w:snapToGrid w:val="0"/>
              <w:jc w:val="center"/>
              <w:rPr>
                <w:rFonts w:ascii="Times New Roman" w:hAnsi="Times New Roman" w:hint="eastAsia"/>
                <w:sz w:val="18"/>
                <w:szCs w:val="18"/>
              </w:rPr>
            </w:pPr>
            <w:r w:rsidRPr="0064401B">
              <w:rPr>
                <w:rFonts w:ascii="Times New Roman" w:hAnsi="Times New Roman" w:hint="eastAsia"/>
                <w:color w:val="000000"/>
                <w:sz w:val="18"/>
                <w:szCs w:val="18"/>
              </w:rPr>
              <w:t>≤</w:t>
            </w:r>
            <w:r w:rsidRPr="0064401B">
              <w:rPr>
                <w:rFonts w:ascii="Times New Roman" w:hAnsi="Times New Roman"/>
                <w:sz w:val="18"/>
                <w:szCs w:val="18"/>
              </w:rPr>
              <w:t>0.030</w:t>
            </w:r>
            <w:r w:rsidRPr="0064401B">
              <w:rPr>
                <w:rFonts w:ascii="Times New Roman" w:hAnsi="Times New Roman" w:hint="eastAsia"/>
                <w:sz w:val="18"/>
                <w:szCs w:val="18"/>
              </w:rPr>
              <w:t>%</w:t>
            </w:r>
          </w:p>
        </w:tc>
        <w:tc>
          <w:tcPr>
            <w:tcW w:w="1841" w:type="dxa"/>
            <w:vAlign w:val="center"/>
          </w:tcPr>
          <w:p w14:paraId="73A99260"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符合</w:t>
            </w:r>
            <w:r>
              <w:rPr>
                <w:rFonts w:ascii="Times New Roman" w:hAnsi="Times New Roman"/>
                <w:color w:val="000000"/>
                <w:sz w:val="18"/>
                <w:szCs w:val="18"/>
              </w:rPr>
              <w:t>GB/T 20065-2016</w:t>
            </w:r>
            <w:r>
              <w:rPr>
                <w:rFonts w:ascii="Times New Roman" w:hAnsi="Times New Roman" w:hint="eastAsia"/>
                <w:color w:val="000000"/>
                <w:sz w:val="18"/>
                <w:szCs w:val="18"/>
              </w:rPr>
              <w:t>的规定</w:t>
            </w:r>
          </w:p>
          <w:p w14:paraId="4B6160B7"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hint="eastAsia"/>
                <w:color w:val="000000"/>
                <w:sz w:val="18"/>
                <w:szCs w:val="18"/>
              </w:rPr>
              <w:t>≤</w:t>
            </w:r>
            <w:r>
              <w:rPr>
                <w:rFonts w:ascii="Times New Roman" w:hAnsi="Times New Roman" w:hint="eastAsia"/>
                <w:color w:val="000000"/>
                <w:sz w:val="18"/>
                <w:szCs w:val="18"/>
              </w:rPr>
              <w:t>0</w:t>
            </w:r>
            <w:r>
              <w:rPr>
                <w:rFonts w:ascii="Times New Roman" w:hAnsi="Times New Roman"/>
                <w:color w:val="000000"/>
                <w:sz w:val="18"/>
                <w:szCs w:val="18"/>
              </w:rPr>
              <w:t>.035</w:t>
            </w:r>
            <w:r>
              <w:rPr>
                <w:rFonts w:ascii="Times New Roman" w:hAnsi="Times New Roman" w:hint="eastAsia"/>
                <w:color w:val="000000"/>
                <w:sz w:val="18"/>
                <w:szCs w:val="18"/>
              </w:rPr>
              <w:t>%</w:t>
            </w:r>
          </w:p>
        </w:tc>
        <w:tc>
          <w:tcPr>
            <w:tcW w:w="1308" w:type="dxa"/>
            <w:vAlign w:val="center"/>
          </w:tcPr>
          <w:p w14:paraId="71C81F6C"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YB/T 4364</w:t>
            </w:r>
            <w:r>
              <w:rPr>
                <w:rFonts w:ascii="Times New Roman" w:hAnsi="Times New Roman"/>
                <w:sz w:val="18"/>
                <w:szCs w:val="18"/>
              </w:rPr>
              <w:t>规定的方法</w:t>
            </w:r>
          </w:p>
        </w:tc>
      </w:tr>
      <w:tr w:rsidR="007B695D" w14:paraId="56AB2A83" w14:textId="77777777" w:rsidTr="00D56F7B">
        <w:trPr>
          <w:trHeight w:val="165"/>
          <w:jc w:val="center"/>
        </w:trPr>
        <w:tc>
          <w:tcPr>
            <w:tcW w:w="661" w:type="dxa"/>
            <w:vMerge/>
            <w:vAlign w:val="center"/>
          </w:tcPr>
          <w:p w14:paraId="00251F78" w14:textId="77777777" w:rsidR="007B695D" w:rsidRDefault="007B695D" w:rsidP="001115D7">
            <w:pPr>
              <w:adjustRightInd w:val="0"/>
              <w:snapToGrid w:val="0"/>
              <w:jc w:val="center"/>
              <w:rPr>
                <w:rFonts w:ascii="Times New Roman" w:hAnsi="Times New Roman"/>
                <w:sz w:val="18"/>
                <w:szCs w:val="18"/>
              </w:rPr>
            </w:pPr>
          </w:p>
        </w:tc>
        <w:tc>
          <w:tcPr>
            <w:tcW w:w="686" w:type="dxa"/>
            <w:vMerge w:val="restart"/>
            <w:vAlign w:val="center"/>
          </w:tcPr>
          <w:p w14:paraId="2B34F84A"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sz w:val="18"/>
                <w:szCs w:val="18"/>
              </w:rPr>
              <w:t>力学性能</w:t>
            </w:r>
          </w:p>
          <w:p w14:paraId="2A26037B" w14:textId="77777777" w:rsidR="007B695D" w:rsidRDefault="007B695D" w:rsidP="001115D7">
            <w:pPr>
              <w:adjustRightInd w:val="0"/>
              <w:snapToGrid w:val="0"/>
              <w:jc w:val="center"/>
              <w:rPr>
                <w:rFonts w:ascii="Times New Roman" w:hAnsi="Times New Roman" w:hint="eastAsia"/>
                <w:sz w:val="18"/>
                <w:szCs w:val="18"/>
              </w:rPr>
            </w:pPr>
          </w:p>
        </w:tc>
        <w:tc>
          <w:tcPr>
            <w:tcW w:w="1142" w:type="dxa"/>
            <w:vAlign w:val="center"/>
          </w:tcPr>
          <w:p w14:paraId="0F604A52"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sz w:val="18"/>
                <w:szCs w:val="18"/>
              </w:rPr>
              <w:t>屈服强度</w:t>
            </w:r>
          </w:p>
        </w:tc>
        <w:tc>
          <w:tcPr>
            <w:tcW w:w="1844" w:type="dxa"/>
            <w:vAlign w:val="center"/>
          </w:tcPr>
          <w:p w14:paraId="7C0FEDF3" w14:textId="77777777" w:rsidR="007B695D" w:rsidRDefault="007B695D" w:rsidP="001115D7">
            <w:pPr>
              <w:adjustRightInd w:val="0"/>
              <w:snapToGrid w:val="0"/>
              <w:rPr>
                <w:rFonts w:ascii="Times New Roman" w:hAnsi="Times New Roman" w:hint="eastAsia"/>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830</w:t>
            </w:r>
            <w:r>
              <w:rPr>
                <w:rFonts w:ascii="Times New Roman" w:hAnsi="Times New Roman" w:hint="eastAsia"/>
                <w:sz w:val="18"/>
                <w:szCs w:val="18"/>
              </w:rPr>
              <w:t>MPa</w:t>
            </w:r>
          </w:p>
          <w:p w14:paraId="0A286C08" w14:textId="77777777" w:rsidR="007B695D" w:rsidRDefault="007B695D" w:rsidP="001115D7">
            <w:pPr>
              <w:adjustRightInd w:val="0"/>
              <w:snapToGrid w:val="0"/>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hint="eastAsia"/>
                <w:sz w:val="18"/>
                <w:szCs w:val="18"/>
              </w:rPr>
              <w:t>880MPa</w:t>
            </w:r>
          </w:p>
          <w:p w14:paraId="4BC51FFC" w14:textId="77777777" w:rsidR="007B695D" w:rsidRDefault="007B695D" w:rsidP="001115D7">
            <w:pPr>
              <w:adjustRightInd w:val="0"/>
              <w:snapToGrid w:val="0"/>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hint="eastAsia"/>
                <w:sz w:val="18"/>
                <w:szCs w:val="18"/>
              </w:rPr>
              <w:t>980MPa</w:t>
            </w:r>
          </w:p>
          <w:p w14:paraId="6468DF69" w14:textId="77777777" w:rsidR="007B695D" w:rsidRDefault="007B695D" w:rsidP="001115D7">
            <w:pPr>
              <w:adjustRightInd w:val="0"/>
              <w:snapToGrid w:val="0"/>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sz w:val="18"/>
                <w:szCs w:val="18"/>
              </w:rPr>
              <w:t>1130</w:t>
            </w:r>
            <w:r>
              <w:rPr>
                <w:rFonts w:ascii="Times New Roman" w:hAnsi="Times New Roman" w:hint="eastAsia"/>
                <w:sz w:val="18"/>
                <w:szCs w:val="18"/>
              </w:rPr>
              <w:t>MPa</w:t>
            </w:r>
          </w:p>
          <w:p w14:paraId="264FA952" w14:textId="77777777" w:rsidR="007B695D" w:rsidRPr="000B1B8A" w:rsidRDefault="007B695D" w:rsidP="001115D7">
            <w:pPr>
              <w:adjustRightInd w:val="0"/>
              <w:snapToGrid w:val="0"/>
              <w:rPr>
                <w:rFonts w:ascii="Times New Roman" w:hAnsi="Times New Roman"/>
                <w:sz w:val="18"/>
                <w:szCs w:val="18"/>
                <w:highlight w:val="yellow"/>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sz w:val="18"/>
                <w:szCs w:val="18"/>
              </w:rPr>
              <w:t>1250</w:t>
            </w:r>
            <w:r>
              <w:rPr>
                <w:rFonts w:ascii="Times New Roman" w:hAnsi="Times New Roman" w:hint="eastAsia"/>
                <w:sz w:val="18"/>
                <w:szCs w:val="18"/>
              </w:rPr>
              <w:t>MPa</w:t>
            </w:r>
          </w:p>
        </w:tc>
        <w:tc>
          <w:tcPr>
            <w:tcW w:w="1836" w:type="dxa"/>
            <w:vAlign w:val="center"/>
          </w:tcPr>
          <w:p w14:paraId="591F7106" w14:textId="77777777" w:rsidR="007B695D" w:rsidRDefault="007B695D" w:rsidP="001115D7">
            <w:pPr>
              <w:adjustRightInd w:val="0"/>
              <w:snapToGrid w:val="0"/>
              <w:rPr>
                <w:rFonts w:ascii="Times New Roman" w:hAnsi="Times New Roman"/>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800</w:t>
            </w:r>
            <w:r>
              <w:rPr>
                <w:rFonts w:ascii="Times New Roman" w:hAnsi="Times New Roman" w:hint="eastAsia"/>
                <w:sz w:val="18"/>
                <w:szCs w:val="18"/>
              </w:rPr>
              <w:t>MPa</w:t>
            </w:r>
          </w:p>
          <w:p w14:paraId="263FE2E6" w14:textId="77777777" w:rsidR="007B695D" w:rsidRDefault="007B695D" w:rsidP="001115D7">
            <w:pPr>
              <w:adjustRightInd w:val="0"/>
              <w:snapToGrid w:val="0"/>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hint="eastAsia"/>
                <w:sz w:val="18"/>
                <w:szCs w:val="18"/>
              </w:rPr>
              <w:t>850MPa</w:t>
            </w:r>
          </w:p>
          <w:p w14:paraId="7BF064B9" w14:textId="77777777" w:rsidR="007B695D" w:rsidRDefault="007B695D" w:rsidP="001115D7">
            <w:pPr>
              <w:adjustRightInd w:val="0"/>
              <w:snapToGrid w:val="0"/>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hint="eastAsia"/>
                <w:sz w:val="18"/>
                <w:szCs w:val="18"/>
              </w:rPr>
              <w:t>950MPa</w:t>
            </w:r>
          </w:p>
          <w:p w14:paraId="5054FEDF" w14:textId="77777777" w:rsidR="007B695D" w:rsidRDefault="007B695D" w:rsidP="001115D7">
            <w:pPr>
              <w:adjustRightInd w:val="0"/>
              <w:snapToGrid w:val="0"/>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sz w:val="18"/>
                <w:szCs w:val="18"/>
              </w:rPr>
              <w:t>1100</w:t>
            </w:r>
            <w:r>
              <w:rPr>
                <w:rFonts w:ascii="Times New Roman" w:hAnsi="Times New Roman" w:hint="eastAsia"/>
                <w:sz w:val="18"/>
                <w:szCs w:val="18"/>
              </w:rPr>
              <w:t>MPa</w:t>
            </w:r>
          </w:p>
          <w:p w14:paraId="67C29FFA" w14:textId="77777777" w:rsidR="007B695D" w:rsidRDefault="007B695D" w:rsidP="001115D7">
            <w:pPr>
              <w:adjustRightInd w:val="0"/>
              <w:snapToGrid w:val="0"/>
              <w:rPr>
                <w:rFonts w:ascii="Times New Roman" w:hAnsi="Times New Roman"/>
                <w:sz w:val="18"/>
                <w:szCs w:val="18"/>
                <w:highlight w:val="yellow"/>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sz w:val="18"/>
                <w:szCs w:val="18"/>
              </w:rPr>
              <w:t>1220</w:t>
            </w:r>
            <w:r>
              <w:rPr>
                <w:rFonts w:ascii="Times New Roman" w:hAnsi="Times New Roman" w:hint="eastAsia"/>
                <w:sz w:val="18"/>
                <w:szCs w:val="18"/>
              </w:rPr>
              <w:t>MPa</w:t>
            </w:r>
          </w:p>
        </w:tc>
        <w:tc>
          <w:tcPr>
            <w:tcW w:w="1841" w:type="dxa"/>
            <w:vAlign w:val="center"/>
          </w:tcPr>
          <w:p w14:paraId="30803A66"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785</w:t>
            </w:r>
            <w:r>
              <w:rPr>
                <w:rFonts w:ascii="Times New Roman" w:hAnsi="Times New Roman" w:hint="eastAsia"/>
                <w:sz w:val="18"/>
                <w:szCs w:val="18"/>
              </w:rPr>
              <w:t>MPa</w:t>
            </w:r>
          </w:p>
          <w:p w14:paraId="424D2935"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sz w:val="18"/>
                <w:szCs w:val="18"/>
              </w:rPr>
              <w:t>830</w:t>
            </w:r>
            <w:r>
              <w:rPr>
                <w:rFonts w:ascii="Times New Roman" w:hAnsi="Times New Roman" w:hint="eastAsia"/>
                <w:sz w:val="18"/>
                <w:szCs w:val="18"/>
              </w:rPr>
              <w:t>MPa</w:t>
            </w:r>
          </w:p>
          <w:p w14:paraId="25329B0A"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hint="eastAsia"/>
                <w:sz w:val="18"/>
                <w:szCs w:val="18"/>
              </w:rPr>
              <w:t>9</w:t>
            </w:r>
            <w:r>
              <w:rPr>
                <w:rFonts w:ascii="Times New Roman" w:hAnsi="Times New Roman"/>
                <w:sz w:val="18"/>
                <w:szCs w:val="18"/>
              </w:rPr>
              <w:t>30</w:t>
            </w:r>
            <w:r>
              <w:rPr>
                <w:rFonts w:ascii="Times New Roman" w:hAnsi="Times New Roman" w:hint="eastAsia"/>
                <w:sz w:val="18"/>
                <w:szCs w:val="18"/>
              </w:rPr>
              <w:t>MPa</w:t>
            </w:r>
          </w:p>
          <w:p w14:paraId="21729EBC"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sz w:val="18"/>
                <w:szCs w:val="18"/>
              </w:rPr>
              <w:t>1080</w:t>
            </w:r>
            <w:r>
              <w:rPr>
                <w:rFonts w:ascii="Times New Roman" w:hAnsi="Times New Roman" w:hint="eastAsia"/>
                <w:sz w:val="18"/>
                <w:szCs w:val="18"/>
              </w:rPr>
              <w:t>MPa</w:t>
            </w:r>
          </w:p>
          <w:p w14:paraId="45404C71"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sz w:val="18"/>
                <w:szCs w:val="18"/>
              </w:rPr>
              <w:t>1200</w:t>
            </w:r>
            <w:r>
              <w:rPr>
                <w:rFonts w:ascii="Times New Roman" w:hAnsi="Times New Roman" w:hint="eastAsia"/>
                <w:sz w:val="18"/>
                <w:szCs w:val="18"/>
              </w:rPr>
              <w:t>MPa</w:t>
            </w:r>
          </w:p>
        </w:tc>
        <w:tc>
          <w:tcPr>
            <w:tcW w:w="1308" w:type="dxa"/>
            <w:vMerge w:val="restart"/>
            <w:vAlign w:val="center"/>
          </w:tcPr>
          <w:p w14:paraId="4EC16317"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GB/T 20065-2016</w:t>
            </w:r>
          </w:p>
          <w:p w14:paraId="6C03539A"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color w:val="000000"/>
                <w:sz w:val="18"/>
                <w:szCs w:val="18"/>
              </w:rPr>
              <w:t>中规定的方法</w:t>
            </w:r>
          </w:p>
        </w:tc>
      </w:tr>
      <w:tr w:rsidR="007B695D" w14:paraId="680FA635" w14:textId="77777777" w:rsidTr="00D56F7B">
        <w:trPr>
          <w:trHeight w:val="105"/>
          <w:jc w:val="center"/>
        </w:trPr>
        <w:tc>
          <w:tcPr>
            <w:tcW w:w="661" w:type="dxa"/>
            <w:vMerge/>
            <w:vAlign w:val="center"/>
          </w:tcPr>
          <w:p w14:paraId="7F8ACF42" w14:textId="77777777" w:rsidR="007B695D" w:rsidRDefault="007B695D" w:rsidP="001115D7">
            <w:pPr>
              <w:adjustRightInd w:val="0"/>
              <w:snapToGrid w:val="0"/>
              <w:jc w:val="center"/>
              <w:rPr>
                <w:rFonts w:ascii="Times New Roman" w:hAnsi="Times New Roman"/>
                <w:sz w:val="18"/>
                <w:szCs w:val="18"/>
              </w:rPr>
            </w:pPr>
          </w:p>
        </w:tc>
        <w:tc>
          <w:tcPr>
            <w:tcW w:w="686" w:type="dxa"/>
            <w:vMerge/>
            <w:vAlign w:val="center"/>
          </w:tcPr>
          <w:p w14:paraId="0B3E17DB" w14:textId="77777777" w:rsidR="007B695D" w:rsidRDefault="007B695D" w:rsidP="001115D7">
            <w:pPr>
              <w:adjustRightInd w:val="0"/>
              <w:snapToGrid w:val="0"/>
              <w:jc w:val="center"/>
              <w:rPr>
                <w:rFonts w:ascii="Times New Roman" w:hAnsi="Times New Roman"/>
                <w:sz w:val="18"/>
                <w:szCs w:val="18"/>
              </w:rPr>
            </w:pPr>
          </w:p>
        </w:tc>
        <w:tc>
          <w:tcPr>
            <w:tcW w:w="1142" w:type="dxa"/>
            <w:vAlign w:val="center"/>
          </w:tcPr>
          <w:p w14:paraId="6825F037"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hint="eastAsia"/>
                <w:sz w:val="18"/>
                <w:szCs w:val="18"/>
              </w:rPr>
              <w:t>抗拉强度</w:t>
            </w:r>
          </w:p>
        </w:tc>
        <w:tc>
          <w:tcPr>
            <w:tcW w:w="1844" w:type="dxa"/>
            <w:vAlign w:val="center"/>
          </w:tcPr>
          <w:p w14:paraId="127D6F03" w14:textId="77777777" w:rsidR="007B695D" w:rsidRDefault="007B695D" w:rsidP="001115D7">
            <w:pPr>
              <w:adjustRightInd w:val="0"/>
              <w:snapToGrid w:val="0"/>
              <w:rPr>
                <w:rFonts w:ascii="Times New Roman" w:hAnsi="Times New Roman" w:hint="eastAsia"/>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1030</w:t>
            </w:r>
            <w:r>
              <w:rPr>
                <w:rFonts w:ascii="Times New Roman" w:hAnsi="Times New Roman" w:hint="eastAsia"/>
                <w:sz w:val="18"/>
                <w:szCs w:val="18"/>
              </w:rPr>
              <w:t>MPa</w:t>
            </w:r>
          </w:p>
          <w:p w14:paraId="71187152"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sz w:val="18"/>
                <w:szCs w:val="18"/>
              </w:rPr>
              <w:t>10</w:t>
            </w:r>
            <w:r>
              <w:rPr>
                <w:rFonts w:ascii="Times New Roman" w:hAnsi="Times New Roman" w:hint="eastAsia"/>
                <w:sz w:val="18"/>
                <w:szCs w:val="18"/>
              </w:rPr>
              <w:t>80MPa</w:t>
            </w:r>
          </w:p>
          <w:p w14:paraId="51C04F93"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sz w:val="18"/>
                <w:szCs w:val="18"/>
              </w:rPr>
              <w:t>1</w:t>
            </w:r>
            <w:r>
              <w:rPr>
                <w:rFonts w:ascii="Times New Roman" w:hAnsi="Times New Roman" w:hint="eastAsia"/>
                <w:sz w:val="18"/>
                <w:szCs w:val="18"/>
              </w:rPr>
              <w:t>130MPa</w:t>
            </w:r>
          </w:p>
          <w:p w14:paraId="59B98CBF"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sz w:val="18"/>
                <w:szCs w:val="18"/>
              </w:rPr>
              <w:t>1280</w:t>
            </w:r>
            <w:r>
              <w:rPr>
                <w:rFonts w:ascii="Times New Roman" w:hAnsi="Times New Roman" w:hint="eastAsia"/>
                <w:sz w:val="18"/>
                <w:szCs w:val="18"/>
              </w:rPr>
              <w:t>MPa</w:t>
            </w:r>
          </w:p>
          <w:p w14:paraId="3E596D21" w14:textId="77777777" w:rsidR="007B695D" w:rsidRDefault="007B695D" w:rsidP="001115D7">
            <w:pPr>
              <w:adjustRightInd w:val="0"/>
              <w:snapToGrid w:val="0"/>
              <w:jc w:val="center"/>
              <w:rPr>
                <w:rFonts w:ascii="Times New Roman" w:hAnsi="Times New Roman"/>
                <w:sz w:val="18"/>
                <w:szCs w:val="18"/>
                <w:highlight w:val="yellow"/>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sz w:val="18"/>
                <w:szCs w:val="18"/>
              </w:rPr>
              <w:t>1380</w:t>
            </w:r>
            <w:r>
              <w:rPr>
                <w:rFonts w:ascii="Times New Roman" w:hAnsi="Times New Roman" w:hint="eastAsia"/>
                <w:sz w:val="18"/>
                <w:szCs w:val="18"/>
              </w:rPr>
              <w:t>MPa</w:t>
            </w:r>
          </w:p>
        </w:tc>
        <w:tc>
          <w:tcPr>
            <w:tcW w:w="1836" w:type="dxa"/>
            <w:vAlign w:val="center"/>
          </w:tcPr>
          <w:p w14:paraId="07BC5A7E" w14:textId="77777777" w:rsidR="007B695D" w:rsidRDefault="007B695D" w:rsidP="001115D7">
            <w:pPr>
              <w:adjustRightInd w:val="0"/>
              <w:snapToGrid w:val="0"/>
              <w:rPr>
                <w:rFonts w:ascii="Times New Roman" w:hAnsi="Times New Roman" w:hint="eastAsia"/>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1000</w:t>
            </w:r>
            <w:r>
              <w:rPr>
                <w:rFonts w:ascii="Times New Roman" w:hAnsi="Times New Roman" w:hint="eastAsia"/>
                <w:sz w:val="18"/>
                <w:szCs w:val="18"/>
              </w:rPr>
              <w:t>MPa</w:t>
            </w:r>
          </w:p>
          <w:p w14:paraId="5FE83C88"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sz w:val="18"/>
                <w:szCs w:val="18"/>
              </w:rPr>
              <w:t>1</w:t>
            </w:r>
            <w:r>
              <w:rPr>
                <w:rFonts w:ascii="Times New Roman" w:hAnsi="Times New Roman" w:hint="eastAsia"/>
                <w:sz w:val="18"/>
                <w:szCs w:val="18"/>
              </w:rPr>
              <w:t>050MPa</w:t>
            </w:r>
          </w:p>
          <w:p w14:paraId="6B67266A"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hint="eastAsia"/>
                <w:sz w:val="18"/>
                <w:szCs w:val="18"/>
              </w:rPr>
              <w:t>1100MPa</w:t>
            </w:r>
          </w:p>
          <w:p w14:paraId="6F3997C2"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sz w:val="18"/>
                <w:szCs w:val="18"/>
              </w:rPr>
              <w:t>1250</w:t>
            </w:r>
            <w:r>
              <w:rPr>
                <w:rFonts w:ascii="Times New Roman" w:hAnsi="Times New Roman" w:hint="eastAsia"/>
                <w:sz w:val="18"/>
                <w:szCs w:val="18"/>
              </w:rPr>
              <w:t>MPa</w:t>
            </w:r>
          </w:p>
          <w:p w14:paraId="0F7FD302" w14:textId="77777777" w:rsidR="007B695D" w:rsidRDefault="007B695D" w:rsidP="001115D7">
            <w:pPr>
              <w:adjustRightInd w:val="0"/>
              <w:snapToGrid w:val="0"/>
              <w:jc w:val="center"/>
              <w:rPr>
                <w:rFonts w:ascii="Times New Roman" w:hAnsi="Times New Roman"/>
                <w:sz w:val="18"/>
                <w:szCs w:val="18"/>
                <w:highlight w:val="yellow"/>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sz w:val="18"/>
                <w:szCs w:val="18"/>
              </w:rPr>
              <w:t>1350</w:t>
            </w:r>
            <w:r>
              <w:rPr>
                <w:rFonts w:ascii="Times New Roman" w:hAnsi="Times New Roman" w:hint="eastAsia"/>
                <w:sz w:val="18"/>
                <w:szCs w:val="18"/>
              </w:rPr>
              <w:t>MPa</w:t>
            </w:r>
          </w:p>
        </w:tc>
        <w:tc>
          <w:tcPr>
            <w:tcW w:w="1841" w:type="dxa"/>
            <w:vAlign w:val="center"/>
          </w:tcPr>
          <w:p w14:paraId="35CEAC00"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980</w:t>
            </w:r>
            <w:r>
              <w:rPr>
                <w:rFonts w:ascii="Times New Roman" w:hAnsi="Times New Roman" w:hint="eastAsia"/>
                <w:sz w:val="18"/>
                <w:szCs w:val="18"/>
              </w:rPr>
              <w:t>MPa</w:t>
            </w:r>
          </w:p>
          <w:p w14:paraId="54A93F49"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sz w:val="18"/>
                <w:szCs w:val="18"/>
              </w:rPr>
              <w:t>1030</w:t>
            </w:r>
            <w:r>
              <w:rPr>
                <w:rFonts w:ascii="Times New Roman" w:hAnsi="Times New Roman" w:hint="eastAsia"/>
                <w:sz w:val="18"/>
                <w:szCs w:val="18"/>
              </w:rPr>
              <w:t>MPa</w:t>
            </w:r>
          </w:p>
          <w:p w14:paraId="7BEDB1B3"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sz w:val="18"/>
                <w:szCs w:val="18"/>
              </w:rPr>
              <w:t>1080</w:t>
            </w:r>
            <w:r>
              <w:rPr>
                <w:rFonts w:ascii="Times New Roman" w:hAnsi="Times New Roman" w:hint="eastAsia"/>
                <w:sz w:val="18"/>
                <w:szCs w:val="18"/>
              </w:rPr>
              <w:t>MPa</w:t>
            </w:r>
          </w:p>
          <w:p w14:paraId="68C72C97"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sz w:val="18"/>
                <w:szCs w:val="18"/>
              </w:rPr>
              <w:t>1230</w:t>
            </w:r>
            <w:r>
              <w:rPr>
                <w:rFonts w:ascii="Times New Roman" w:hAnsi="Times New Roman" w:hint="eastAsia"/>
                <w:sz w:val="18"/>
                <w:szCs w:val="18"/>
              </w:rPr>
              <w:t>MPa</w:t>
            </w:r>
          </w:p>
          <w:p w14:paraId="3C0693C4"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sz w:val="18"/>
                <w:szCs w:val="18"/>
              </w:rPr>
              <w:t>1330</w:t>
            </w:r>
            <w:r>
              <w:rPr>
                <w:rFonts w:ascii="Times New Roman" w:hAnsi="Times New Roman" w:hint="eastAsia"/>
                <w:sz w:val="18"/>
                <w:szCs w:val="18"/>
              </w:rPr>
              <w:t>MPa</w:t>
            </w:r>
          </w:p>
        </w:tc>
        <w:tc>
          <w:tcPr>
            <w:tcW w:w="1308" w:type="dxa"/>
            <w:vMerge/>
            <w:vAlign w:val="center"/>
          </w:tcPr>
          <w:p w14:paraId="635FAA28" w14:textId="77777777" w:rsidR="007B695D" w:rsidRDefault="007B695D" w:rsidP="001115D7">
            <w:pPr>
              <w:adjustRightInd w:val="0"/>
              <w:snapToGrid w:val="0"/>
              <w:jc w:val="center"/>
              <w:rPr>
                <w:rFonts w:ascii="Times New Roman" w:hAnsi="Times New Roman"/>
                <w:sz w:val="18"/>
                <w:szCs w:val="18"/>
              </w:rPr>
            </w:pPr>
          </w:p>
        </w:tc>
      </w:tr>
      <w:tr w:rsidR="007B695D" w14:paraId="6EF65986" w14:textId="77777777" w:rsidTr="00D56F7B">
        <w:trPr>
          <w:trHeight w:val="100"/>
          <w:jc w:val="center"/>
        </w:trPr>
        <w:tc>
          <w:tcPr>
            <w:tcW w:w="661" w:type="dxa"/>
            <w:vMerge/>
            <w:vAlign w:val="center"/>
          </w:tcPr>
          <w:p w14:paraId="3B682BC0" w14:textId="77777777" w:rsidR="007B695D" w:rsidRDefault="007B695D" w:rsidP="001115D7">
            <w:pPr>
              <w:adjustRightInd w:val="0"/>
              <w:snapToGrid w:val="0"/>
              <w:jc w:val="center"/>
              <w:rPr>
                <w:rFonts w:ascii="Times New Roman" w:hAnsi="Times New Roman"/>
                <w:sz w:val="18"/>
                <w:szCs w:val="18"/>
              </w:rPr>
            </w:pPr>
          </w:p>
        </w:tc>
        <w:tc>
          <w:tcPr>
            <w:tcW w:w="686" w:type="dxa"/>
            <w:vMerge/>
            <w:vAlign w:val="center"/>
          </w:tcPr>
          <w:p w14:paraId="26633F31" w14:textId="77777777" w:rsidR="007B695D" w:rsidRDefault="007B695D" w:rsidP="001115D7">
            <w:pPr>
              <w:adjustRightInd w:val="0"/>
              <w:snapToGrid w:val="0"/>
              <w:jc w:val="center"/>
              <w:rPr>
                <w:rFonts w:ascii="Times New Roman" w:hAnsi="Times New Roman"/>
                <w:sz w:val="18"/>
                <w:szCs w:val="18"/>
              </w:rPr>
            </w:pPr>
          </w:p>
        </w:tc>
        <w:tc>
          <w:tcPr>
            <w:tcW w:w="1142" w:type="dxa"/>
            <w:vAlign w:val="center"/>
          </w:tcPr>
          <w:p w14:paraId="487BF77E"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hint="eastAsia"/>
                <w:sz w:val="18"/>
                <w:szCs w:val="18"/>
              </w:rPr>
              <w:t>断后伸长率</w:t>
            </w:r>
          </w:p>
        </w:tc>
        <w:tc>
          <w:tcPr>
            <w:tcW w:w="1844" w:type="dxa"/>
            <w:vAlign w:val="center"/>
          </w:tcPr>
          <w:p w14:paraId="56D27B8F"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9</w:t>
            </w:r>
            <w:r>
              <w:rPr>
                <w:rFonts w:ascii="Times New Roman" w:hAnsi="Times New Roman" w:hint="eastAsia"/>
                <w:sz w:val="18"/>
                <w:szCs w:val="18"/>
              </w:rPr>
              <w:t>%</w:t>
            </w:r>
          </w:p>
          <w:p w14:paraId="63DAEE2B"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sz w:val="18"/>
                <w:szCs w:val="18"/>
              </w:rPr>
              <w:t>8</w:t>
            </w:r>
            <w:r>
              <w:rPr>
                <w:rFonts w:ascii="Times New Roman" w:hAnsi="Times New Roman" w:hint="eastAsia"/>
                <w:sz w:val="18"/>
                <w:szCs w:val="18"/>
              </w:rPr>
              <w:t>%</w:t>
            </w:r>
          </w:p>
          <w:p w14:paraId="60EFE3ED"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sz w:val="18"/>
                <w:szCs w:val="18"/>
              </w:rPr>
              <w:t>8</w:t>
            </w:r>
            <w:r>
              <w:rPr>
                <w:rFonts w:ascii="Times New Roman" w:hAnsi="Times New Roman" w:hint="eastAsia"/>
                <w:sz w:val="18"/>
                <w:szCs w:val="18"/>
              </w:rPr>
              <w:t>%</w:t>
            </w:r>
          </w:p>
          <w:p w14:paraId="6E07E20C"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sz w:val="18"/>
                <w:szCs w:val="18"/>
              </w:rPr>
              <w:t>7</w:t>
            </w:r>
            <w:r>
              <w:rPr>
                <w:rFonts w:ascii="Times New Roman" w:hAnsi="Times New Roman" w:hint="eastAsia"/>
                <w:sz w:val="18"/>
                <w:szCs w:val="18"/>
              </w:rPr>
              <w:t>%</w:t>
            </w:r>
          </w:p>
          <w:p w14:paraId="3F77D63A" w14:textId="77777777" w:rsidR="007B695D" w:rsidRDefault="007B695D" w:rsidP="001115D7">
            <w:pPr>
              <w:adjustRightInd w:val="0"/>
              <w:snapToGrid w:val="0"/>
              <w:jc w:val="center"/>
              <w:rPr>
                <w:rFonts w:ascii="Times New Roman" w:hAnsi="Times New Roman"/>
                <w:sz w:val="18"/>
                <w:szCs w:val="18"/>
                <w:highlight w:val="yellow"/>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sz w:val="18"/>
                <w:szCs w:val="18"/>
              </w:rPr>
              <w:t>7</w:t>
            </w:r>
            <w:r>
              <w:rPr>
                <w:rFonts w:ascii="Times New Roman" w:hAnsi="Times New Roman" w:hint="eastAsia"/>
                <w:sz w:val="18"/>
                <w:szCs w:val="18"/>
              </w:rPr>
              <w:t>%</w:t>
            </w:r>
          </w:p>
        </w:tc>
        <w:tc>
          <w:tcPr>
            <w:tcW w:w="1836" w:type="dxa"/>
            <w:vAlign w:val="center"/>
          </w:tcPr>
          <w:p w14:paraId="73625040"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8.5</w:t>
            </w:r>
            <w:r>
              <w:rPr>
                <w:rFonts w:ascii="Times New Roman" w:hAnsi="Times New Roman" w:hint="eastAsia"/>
                <w:sz w:val="18"/>
                <w:szCs w:val="18"/>
              </w:rPr>
              <w:t>%</w:t>
            </w:r>
          </w:p>
          <w:p w14:paraId="1DAD97A5"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sz w:val="18"/>
                <w:szCs w:val="18"/>
              </w:rPr>
              <w:t>7</w:t>
            </w:r>
            <w:r>
              <w:rPr>
                <w:rFonts w:ascii="Times New Roman" w:hAnsi="Times New Roman" w:hint="eastAsia"/>
                <w:sz w:val="18"/>
                <w:szCs w:val="18"/>
              </w:rPr>
              <w:t>.5%</w:t>
            </w:r>
          </w:p>
          <w:p w14:paraId="279F5A1A"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sz w:val="18"/>
                <w:szCs w:val="18"/>
              </w:rPr>
              <w:t>7</w:t>
            </w:r>
            <w:r>
              <w:rPr>
                <w:rFonts w:ascii="Times New Roman" w:hAnsi="Times New Roman" w:hint="eastAsia"/>
                <w:sz w:val="18"/>
                <w:szCs w:val="18"/>
              </w:rPr>
              <w:t>.5%</w:t>
            </w:r>
          </w:p>
          <w:p w14:paraId="27506406"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hint="eastAsia"/>
                <w:sz w:val="18"/>
                <w:szCs w:val="18"/>
              </w:rPr>
              <w:t>6</w:t>
            </w:r>
            <w:r>
              <w:rPr>
                <w:rFonts w:ascii="Times New Roman" w:hAnsi="Times New Roman"/>
                <w:sz w:val="18"/>
                <w:szCs w:val="18"/>
              </w:rPr>
              <w:t>.5</w:t>
            </w:r>
            <w:r>
              <w:rPr>
                <w:rFonts w:ascii="Times New Roman" w:hAnsi="Times New Roman" w:hint="eastAsia"/>
                <w:sz w:val="18"/>
                <w:szCs w:val="18"/>
              </w:rPr>
              <w:t>%</w:t>
            </w:r>
          </w:p>
          <w:p w14:paraId="521A0615" w14:textId="77777777" w:rsidR="007B695D" w:rsidRDefault="007B695D" w:rsidP="001115D7">
            <w:pPr>
              <w:adjustRightInd w:val="0"/>
              <w:snapToGrid w:val="0"/>
              <w:jc w:val="center"/>
              <w:rPr>
                <w:rFonts w:ascii="Times New Roman" w:hAnsi="Times New Roman"/>
                <w:sz w:val="18"/>
                <w:szCs w:val="18"/>
                <w:highlight w:val="yellow"/>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hint="eastAsia"/>
                <w:sz w:val="18"/>
                <w:szCs w:val="18"/>
              </w:rPr>
              <w:t>6</w:t>
            </w:r>
            <w:r>
              <w:rPr>
                <w:rFonts w:ascii="Times New Roman" w:hAnsi="Times New Roman"/>
                <w:sz w:val="18"/>
                <w:szCs w:val="18"/>
              </w:rPr>
              <w:t>.5</w:t>
            </w:r>
            <w:r>
              <w:rPr>
                <w:rFonts w:ascii="Times New Roman" w:hAnsi="Times New Roman" w:hint="eastAsia"/>
                <w:sz w:val="18"/>
                <w:szCs w:val="18"/>
              </w:rPr>
              <w:t>%</w:t>
            </w:r>
          </w:p>
        </w:tc>
        <w:tc>
          <w:tcPr>
            <w:tcW w:w="1841" w:type="dxa"/>
            <w:vAlign w:val="center"/>
          </w:tcPr>
          <w:p w14:paraId="4B682D8B"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sz w:val="18"/>
                <w:szCs w:val="18"/>
              </w:rPr>
              <w:t>8</w:t>
            </w:r>
            <w:r>
              <w:rPr>
                <w:rFonts w:ascii="Times New Roman" w:hAnsi="Times New Roman" w:hint="eastAsia"/>
                <w:sz w:val="18"/>
                <w:szCs w:val="18"/>
              </w:rPr>
              <w:t>%</w:t>
            </w:r>
          </w:p>
          <w:p w14:paraId="76A80622"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hint="eastAsia"/>
                <w:sz w:val="18"/>
                <w:szCs w:val="18"/>
              </w:rPr>
              <w:t>7%</w:t>
            </w:r>
          </w:p>
          <w:p w14:paraId="270041FC"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hint="eastAsia"/>
                <w:sz w:val="18"/>
                <w:szCs w:val="18"/>
              </w:rPr>
              <w:t>7%</w:t>
            </w:r>
          </w:p>
          <w:p w14:paraId="4FF02F4C"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hint="eastAsia"/>
                <w:sz w:val="18"/>
                <w:szCs w:val="18"/>
              </w:rPr>
              <w:t>6%</w:t>
            </w:r>
          </w:p>
          <w:p w14:paraId="4C534CC7"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hint="eastAsia"/>
                <w:sz w:val="18"/>
                <w:szCs w:val="18"/>
              </w:rPr>
              <w:t>6%</w:t>
            </w:r>
          </w:p>
        </w:tc>
        <w:tc>
          <w:tcPr>
            <w:tcW w:w="1308" w:type="dxa"/>
            <w:vMerge/>
            <w:vAlign w:val="center"/>
          </w:tcPr>
          <w:p w14:paraId="32B543CA" w14:textId="77777777" w:rsidR="007B695D" w:rsidRDefault="007B695D" w:rsidP="001115D7">
            <w:pPr>
              <w:adjustRightInd w:val="0"/>
              <w:snapToGrid w:val="0"/>
              <w:jc w:val="center"/>
              <w:rPr>
                <w:rFonts w:ascii="Times New Roman" w:hAnsi="Times New Roman"/>
                <w:sz w:val="18"/>
                <w:szCs w:val="18"/>
              </w:rPr>
            </w:pPr>
          </w:p>
        </w:tc>
      </w:tr>
      <w:tr w:rsidR="007B695D" w14:paraId="75F6179C" w14:textId="77777777" w:rsidTr="00D56F7B">
        <w:trPr>
          <w:trHeight w:val="340"/>
          <w:jc w:val="center"/>
        </w:trPr>
        <w:tc>
          <w:tcPr>
            <w:tcW w:w="661" w:type="dxa"/>
            <w:vMerge/>
            <w:vAlign w:val="center"/>
          </w:tcPr>
          <w:p w14:paraId="7BD54BE8" w14:textId="77777777" w:rsidR="007B695D" w:rsidRDefault="007B695D" w:rsidP="001115D7">
            <w:pPr>
              <w:adjustRightInd w:val="0"/>
              <w:snapToGrid w:val="0"/>
              <w:jc w:val="center"/>
              <w:rPr>
                <w:rFonts w:ascii="Times New Roman" w:hAnsi="Times New Roman"/>
                <w:sz w:val="18"/>
                <w:szCs w:val="18"/>
              </w:rPr>
            </w:pPr>
          </w:p>
        </w:tc>
        <w:tc>
          <w:tcPr>
            <w:tcW w:w="686" w:type="dxa"/>
            <w:vMerge/>
            <w:vAlign w:val="center"/>
          </w:tcPr>
          <w:p w14:paraId="40CE0894" w14:textId="77777777" w:rsidR="007B695D" w:rsidRDefault="007B695D" w:rsidP="001115D7">
            <w:pPr>
              <w:adjustRightInd w:val="0"/>
              <w:snapToGrid w:val="0"/>
              <w:jc w:val="center"/>
              <w:rPr>
                <w:rFonts w:ascii="Times New Roman" w:hAnsi="Times New Roman"/>
                <w:sz w:val="18"/>
                <w:szCs w:val="18"/>
              </w:rPr>
            </w:pPr>
          </w:p>
        </w:tc>
        <w:tc>
          <w:tcPr>
            <w:tcW w:w="1142" w:type="dxa"/>
            <w:vAlign w:val="center"/>
          </w:tcPr>
          <w:p w14:paraId="3B2BF500"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sz w:val="18"/>
                <w:szCs w:val="18"/>
              </w:rPr>
              <w:t>最大力总延伸率</w:t>
            </w:r>
          </w:p>
        </w:tc>
        <w:tc>
          <w:tcPr>
            <w:tcW w:w="1844" w:type="dxa"/>
            <w:vAlign w:val="center"/>
          </w:tcPr>
          <w:p w14:paraId="2062D5AC"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hint="eastAsia"/>
                <w:sz w:val="18"/>
                <w:szCs w:val="18"/>
              </w:rPr>
              <w:t>7</w:t>
            </w:r>
            <w:r>
              <w:rPr>
                <w:rFonts w:ascii="Times New Roman" w:hAnsi="Times New Roman"/>
                <w:sz w:val="18"/>
                <w:szCs w:val="18"/>
              </w:rPr>
              <w:t>.</w:t>
            </w:r>
            <w:r>
              <w:rPr>
                <w:rFonts w:ascii="Times New Roman" w:hAnsi="Times New Roman" w:hint="eastAsia"/>
                <w:sz w:val="18"/>
                <w:szCs w:val="18"/>
              </w:rPr>
              <w:t>5%</w:t>
            </w:r>
          </w:p>
          <w:p w14:paraId="0AABE4B4"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hint="eastAsia"/>
                <w:sz w:val="18"/>
                <w:szCs w:val="18"/>
              </w:rPr>
              <w:t>7.5%</w:t>
            </w:r>
          </w:p>
          <w:p w14:paraId="7F719039"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hint="eastAsia"/>
                <w:sz w:val="18"/>
                <w:szCs w:val="18"/>
              </w:rPr>
              <w:t>7.5%</w:t>
            </w:r>
          </w:p>
          <w:p w14:paraId="42B6DBCF"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hint="eastAsia"/>
                <w:sz w:val="18"/>
                <w:szCs w:val="18"/>
              </w:rPr>
              <w:t>7</w:t>
            </w:r>
            <w:r>
              <w:rPr>
                <w:rFonts w:ascii="Times New Roman" w:hAnsi="Times New Roman"/>
                <w:sz w:val="18"/>
                <w:szCs w:val="18"/>
              </w:rPr>
              <w:t>.5</w:t>
            </w:r>
            <w:r>
              <w:rPr>
                <w:rFonts w:ascii="Times New Roman" w:hAnsi="Times New Roman" w:hint="eastAsia"/>
                <w:sz w:val="18"/>
                <w:szCs w:val="18"/>
              </w:rPr>
              <w:t>%</w:t>
            </w:r>
          </w:p>
          <w:p w14:paraId="7C1B6CD6"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hint="eastAsia"/>
                <w:sz w:val="18"/>
                <w:szCs w:val="18"/>
              </w:rPr>
              <w:t>7</w:t>
            </w:r>
            <w:r>
              <w:rPr>
                <w:rFonts w:ascii="Times New Roman" w:hAnsi="Times New Roman"/>
                <w:sz w:val="18"/>
                <w:szCs w:val="18"/>
              </w:rPr>
              <w:t>.5</w:t>
            </w:r>
            <w:r>
              <w:rPr>
                <w:rFonts w:ascii="Times New Roman" w:hAnsi="Times New Roman" w:hint="eastAsia"/>
                <w:sz w:val="18"/>
                <w:szCs w:val="18"/>
              </w:rPr>
              <w:t>%</w:t>
            </w:r>
          </w:p>
        </w:tc>
        <w:tc>
          <w:tcPr>
            <w:tcW w:w="1836" w:type="dxa"/>
            <w:vAlign w:val="center"/>
          </w:tcPr>
          <w:p w14:paraId="432B4960"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PSB785</w:t>
            </w:r>
            <w:r>
              <w:rPr>
                <w:rFonts w:ascii="Times New Roman" w:hAnsi="Times New Roman" w:hint="eastAsia"/>
                <w:sz w:val="18"/>
                <w:szCs w:val="18"/>
              </w:rPr>
              <w:t>：≥</w:t>
            </w:r>
            <w:r>
              <w:rPr>
                <w:rFonts w:ascii="Times New Roman" w:hAnsi="Times New Roman" w:hint="eastAsia"/>
                <w:sz w:val="18"/>
                <w:szCs w:val="18"/>
              </w:rPr>
              <w:t>5%</w:t>
            </w:r>
          </w:p>
          <w:p w14:paraId="6EAAB69F"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PSB830</w:t>
            </w:r>
            <w:r>
              <w:rPr>
                <w:rFonts w:ascii="Times New Roman" w:hAnsi="Times New Roman" w:hint="eastAsia"/>
                <w:sz w:val="18"/>
                <w:szCs w:val="18"/>
              </w:rPr>
              <w:t>：≥</w:t>
            </w:r>
            <w:r>
              <w:rPr>
                <w:rFonts w:ascii="Times New Roman" w:hAnsi="Times New Roman" w:hint="eastAsia"/>
                <w:sz w:val="18"/>
                <w:szCs w:val="18"/>
              </w:rPr>
              <w:t>5%</w:t>
            </w:r>
          </w:p>
          <w:p w14:paraId="262CEE4B"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PSB930</w:t>
            </w:r>
            <w:r>
              <w:rPr>
                <w:rFonts w:ascii="Times New Roman" w:hAnsi="Times New Roman" w:hint="eastAsia"/>
                <w:sz w:val="18"/>
                <w:szCs w:val="18"/>
              </w:rPr>
              <w:t>：≥</w:t>
            </w:r>
            <w:r>
              <w:rPr>
                <w:rFonts w:ascii="Times New Roman" w:hAnsi="Times New Roman" w:hint="eastAsia"/>
                <w:sz w:val="18"/>
                <w:szCs w:val="18"/>
              </w:rPr>
              <w:t>5%</w:t>
            </w:r>
          </w:p>
          <w:p w14:paraId="24BE88E4"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PSB1080</w:t>
            </w:r>
            <w:r>
              <w:rPr>
                <w:rFonts w:ascii="Times New Roman" w:hAnsi="Times New Roman" w:hint="eastAsia"/>
                <w:sz w:val="18"/>
                <w:szCs w:val="18"/>
              </w:rPr>
              <w:t>≥</w:t>
            </w:r>
            <w:r>
              <w:rPr>
                <w:rFonts w:ascii="Times New Roman" w:hAnsi="Times New Roman"/>
                <w:sz w:val="18"/>
                <w:szCs w:val="18"/>
              </w:rPr>
              <w:t>5</w:t>
            </w:r>
            <w:r>
              <w:rPr>
                <w:rFonts w:ascii="Times New Roman" w:hAnsi="Times New Roman" w:hint="eastAsia"/>
                <w:sz w:val="18"/>
                <w:szCs w:val="18"/>
              </w:rPr>
              <w:t>%</w:t>
            </w:r>
          </w:p>
          <w:p w14:paraId="3C965DE8"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sz w:val="18"/>
                <w:szCs w:val="18"/>
              </w:rPr>
              <w:t>PSB1200</w:t>
            </w:r>
            <w:r>
              <w:rPr>
                <w:rFonts w:ascii="Times New Roman" w:hAnsi="Times New Roman" w:hint="eastAsia"/>
                <w:sz w:val="18"/>
                <w:szCs w:val="18"/>
              </w:rPr>
              <w:t>≥</w:t>
            </w:r>
            <w:r>
              <w:rPr>
                <w:rFonts w:ascii="Times New Roman" w:hAnsi="Times New Roman"/>
                <w:sz w:val="18"/>
                <w:szCs w:val="18"/>
              </w:rPr>
              <w:t>5</w:t>
            </w:r>
            <w:r>
              <w:rPr>
                <w:rFonts w:ascii="Times New Roman" w:hAnsi="Times New Roman" w:hint="eastAsia"/>
                <w:sz w:val="18"/>
                <w:szCs w:val="18"/>
              </w:rPr>
              <w:t>%</w:t>
            </w:r>
          </w:p>
        </w:tc>
        <w:tc>
          <w:tcPr>
            <w:tcW w:w="1841" w:type="dxa"/>
            <w:vAlign w:val="center"/>
          </w:tcPr>
          <w:p w14:paraId="6F9D6744"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hint="eastAsia"/>
                <w:sz w:val="18"/>
                <w:szCs w:val="18"/>
              </w:rPr>
              <w:t>按</w:t>
            </w:r>
            <w:r>
              <w:rPr>
                <w:rFonts w:ascii="Times New Roman" w:hAnsi="Times New Roman" w:hint="eastAsia"/>
                <w:sz w:val="18"/>
                <w:szCs w:val="18"/>
              </w:rPr>
              <w:t>YB/T</w:t>
            </w:r>
            <w:r>
              <w:rPr>
                <w:rFonts w:ascii="Times New Roman" w:hAnsi="Times New Roman"/>
                <w:sz w:val="18"/>
                <w:szCs w:val="18"/>
              </w:rPr>
              <w:t xml:space="preserve"> 4364</w:t>
            </w:r>
            <w:r>
              <w:rPr>
                <w:rFonts w:ascii="Times New Roman" w:hAnsi="Times New Roman" w:hint="eastAsia"/>
                <w:sz w:val="18"/>
                <w:szCs w:val="18"/>
              </w:rPr>
              <w:t>-</w:t>
            </w:r>
            <w:r>
              <w:rPr>
                <w:rFonts w:ascii="Times New Roman" w:hAnsi="Times New Roman"/>
                <w:sz w:val="18"/>
                <w:szCs w:val="18"/>
              </w:rPr>
              <w:t>2014</w:t>
            </w:r>
            <w:r>
              <w:rPr>
                <w:rFonts w:ascii="Times New Roman" w:hAnsi="Times New Roman" w:hint="eastAsia"/>
                <w:sz w:val="18"/>
                <w:szCs w:val="18"/>
              </w:rPr>
              <w:t>表</w:t>
            </w:r>
            <w:r>
              <w:rPr>
                <w:rFonts w:ascii="Times New Roman" w:hAnsi="Times New Roman" w:hint="eastAsia"/>
                <w:sz w:val="18"/>
                <w:szCs w:val="18"/>
              </w:rPr>
              <w:t>5</w:t>
            </w:r>
            <w:r>
              <w:rPr>
                <w:rFonts w:ascii="Times New Roman" w:hAnsi="Times New Roman" w:hint="eastAsia"/>
                <w:sz w:val="18"/>
                <w:szCs w:val="18"/>
              </w:rPr>
              <w:t>规定的弯芯直径弯曲</w:t>
            </w:r>
            <w:r>
              <w:rPr>
                <w:rFonts w:ascii="Times New Roman" w:hAnsi="Times New Roman" w:hint="eastAsia"/>
                <w:sz w:val="18"/>
                <w:szCs w:val="18"/>
              </w:rPr>
              <w:t>1</w:t>
            </w:r>
            <w:r>
              <w:rPr>
                <w:rFonts w:ascii="Times New Roman" w:hAnsi="Times New Roman"/>
                <w:sz w:val="18"/>
                <w:szCs w:val="18"/>
              </w:rPr>
              <w:t>80</w:t>
            </w:r>
            <w:r>
              <w:rPr>
                <w:rFonts w:ascii="Times New Roman" w:hAnsi="Times New Roman" w:hint="eastAsia"/>
                <w:sz w:val="18"/>
                <w:szCs w:val="18"/>
              </w:rPr>
              <w:t>°后，钢筋受弯曲部位表面不得产生裂纹</w:t>
            </w:r>
          </w:p>
        </w:tc>
        <w:tc>
          <w:tcPr>
            <w:tcW w:w="1308" w:type="dxa"/>
            <w:vAlign w:val="center"/>
          </w:tcPr>
          <w:p w14:paraId="048FA1AE" w14:textId="77777777" w:rsidR="007B695D" w:rsidRDefault="007B695D" w:rsidP="001115D7">
            <w:pPr>
              <w:adjustRightInd w:val="0"/>
              <w:snapToGrid w:val="0"/>
              <w:jc w:val="center"/>
              <w:rPr>
                <w:rFonts w:ascii="Times New Roman" w:hAnsi="Times New Roman"/>
                <w:color w:val="000000"/>
                <w:sz w:val="18"/>
                <w:szCs w:val="18"/>
              </w:rPr>
            </w:pPr>
            <w:r>
              <w:rPr>
                <w:rFonts w:ascii="Times New Roman" w:hAnsi="Times New Roman"/>
                <w:color w:val="000000"/>
                <w:sz w:val="18"/>
                <w:szCs w:val="18"/>
              </w:rPr>
              <w:t>GB/T 20065-2016</w:t>
            </w:r>
          </w:p>
          <w:p w14:paraId="153A3AFF"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color w:val="000000"/>
                <w:sz w:val="18"/>
                <w:szCs w:val="18"/>
              </w:rPr>
              <w:t>中规定的方法</w:t>
            </w:r>
          </w:p>
        </w:tc>
      </w:tr>
      <w:tr w:rsidR="007B695D" w14:paraId="0DEACFD8" w14:textId="77777777" w:rsidTr="00D56F7B">
        <w:trPr>
          <w:trHeight w:val="340"/>
          <w:jc w:val="center"/>
        </w:trPr>
        <w:tc>
          <w:tcPr>
            <w:tcW w:w="661" w:type="dxa"/>
            <w:vMerge/>
            <w:vAlign w:val="center"/>
          </w:tcPr>
          <w:p w14:paraId="7CF4A6BE" w14:textId="77777777" w:rsidR="007B695D" w:rsidRDefault="007B695D" w:rsidP="001115D7">
            <w:pPr>
              <w:adjustRightInd w:val="0"/>
              <w:snapToGrid w:val="0"/>
              <w:jc w:val="center"/>
              <w:rPr>
                <w:rFonts w:ascii="Times New Roman" w:hAnsi="Times New Roman"/>
                <w:sz w:val="18"/>
                <w:szCs w:val="18"/>
              </w:rPr>
            </w:pPr>
          </w:p>
        </w:tc>
        <w:tc>
          <w:tcPr>
            <w:tcW w:w="1828" w:type="dxa"/>
            <w:gridSpan w:val="2"/>
            <w:vAlign w:val="center"/>
          </w:tcPr>
          <w:p w14:paraId="50ADB697"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sz w:val="18"/>
                <w:szCs w:val="18"/>
              </w:rPr>
              <w:t>弯曲度</w:t>
            </w:r>
          </w:p>
        </w:tc>
        <w:tc>
          <w:tcPr>
            <w:tcW w:w="1844" w:type="dxa"/>
            <w:vAlign w:val="center"/>
          </w:tcPr>
          <w:p w14:paraId="3342AA87"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t>0.30%</w:t>
            </w:r>
          </w:p>
        </w:tc>
        <w:tc>
          <w:tcPr>
            <w:tcW w:w="1836" w:type="dxa"/>
            <w:vAlign w:val="center"/>
          </w:tcPr>
          <w:p w14:paraId="1F94D78F"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t>0.35%</w:t>
            </w:r>
          </w:p>
        </w:tc>
        <w:tc>
          <w:tcPr>
            <w:tcW w:w="1841" w:type="dxa"/>
            <w:vAlign w:val="center"/>
          </w:tcPr>
          <w:p w14:paraId="2C1E4C9C" w14:textId="77777777" w:rsidR="007B695D" w:rsidRDefault="007B695D" w:rsidP="001115D7">
            <w:pPr>
              <w:adjustRightInd w:val="0"/>
              <w:snapToGrid w:val="0"/>
              <w:jc w:val="center"/>
              <w:rPr>
                <w:rFonts w:ascii="Times New Roman" w:hAnsi="Times New Roman" w:hint="eastAsia"/>
                <w:sz w:val="18"/>
                <w:szCs w:val="18"/>
              </w:rPr>
            </w:pPr>
            <w:r>
              <w:rPr>
                <w:rFonts w:ascii="Times New Roman" w:hAnsi="Times New Roman" w:hint="eastAsia"/>
                <w:sz w:val="18"/>
                <w:szCs w:val="18"/>
              </w:rPr>
              <w:t>每米弯曲度不应大于</w:t>
            </w:r>
            <w:r>
              <w:rPr>
                <w:rFonts w:ascii="Times New Roman" w:hAnsi="Times New Roman" w:hint="eastAsia"/>
                <w:sz w:val="18"/>
                <w:szCs w:val="18"/>
              </w:rPr>
              <w:t>4mm</w:t>
            </w:r>
            <w:r>
              <w:rPr>
                <w:rFonts w:ascii="Times New Roman" w:hAnsi="Times New Roman" w:hint="eastAsia"/>
                <w:sz w:val="18"/>
                <w:szCs w:val="18"/>
              </w:rPr>
              <w:t>，总弯曲度不应大于钢筋总长度的</w:t>
            </w:r>
            <w:r>
              <w:rPr>
                <w:rFonts w:ascii="Times New Roman" w:hAnsi="Times New Roman" w:hint="eastAsia"/>
                <w:sz w:val="18"/>
                <w:szCs w:val="18"/>
              </w:rPr>
              <w:t>0</w:t>
            </w:r>
            <w:r>
              <w:rPr>
                <w:rFonts w:ascii="Times New Roman" w:hAnsi="Times New Roman"/>
                <w:sz w:val="18"/>
                <w:szCs w:val="18"/>
              </w:rPr>
              <w:t>.4</w:t>
            </w:r>
            <w:r>
              <w:rPr>
                <w:rFonts w:ascii="Times New Roman" w:hAnsi="Times New Roman" w:hint="eastAsia"/>
                <w:sz w:val="18"/>
                <w:szCs w:val="18"/>
              </w:rPr>
              <w:t>%</w:t>
            </w:r>
          </w:p>
        </w:tc>
        <w:tc>
          <w:tcPr>
            <w:tcW w:w="1308" w:type="dxa"/>
            <w:vAlign w:val="center"/>
          </w:tcPr>
          <w:p w14:paraId="216DD756" w14:textId="77777777" w:rsidR="007B695D" w:rsidRDefault="007B695D" w:rsidP="001115D7">
            <w:pPr>
              <w:adjustRightInd w:val="0"/>
              <w:snapToGrid w:val="0"/>
              <w:jc w:val="center"/>
              <w:rPr>
                <w:rFonts w:ascii="Times New Roman" w:hAnsi="Times New Roman"/>
                <w:sz w:val="18"/>
                <w:szCs w:val="18"/>
              </w:rPr>
            </w:pPr>
            <w:r>
              <w:rPr>
                <w:rFonts w:ascii="Times New Roman" w:hAnsi="Times New Roman" w:hint="eastAsia"/>
                <w:sz w:val="18"/>
                <w:szCs w:val="18"/>
              </w:rPr>
              <w:t>GB/T</w:t>
            </w:r>
            <w:r>
              <w:rPr>
                <w:rFonts w:ascii="Times New Roman" w:hAnsi="Times New Roman"/>
                <w:sz w:val="18"/>
                <w:szCs w:val="18"/>
              </w:rPr>
              <w:t xml:space="preserve"> 229</w:t>
            </w:r>
            <w:r>
              <w:rPr>
                <w:rFonts w:ascii="Times New Roman" w:hAnsi="Times New Roman"/>
                <w:sz w:val="18"/>
                <w:szCs w:val="18"/>
              </w:rPr>
              <w:t>规定的方法</w:t>
            </w:r>
          </w:p>
        </w:tc>
      </w:tr>
      <w:tr w:rsidR="00D56F7B" w14:paraId="1DA61497" w14:textId="77777777" w:rsidTr="00D56F7B">
        <w:trPr>
          <w:trHeight w:val="340"/>
          <w:jc w:val="center"/>
        </w:trPr>
        <w:tc>
          <w:tcPr>
            <w:tcW w:w="661" w:type="dxa"/>
            <w:vMerge/>
            <w:vAlign w:val="center"/>
          </w:tcPr>
          <w:p w14:paraId="04343D88" w14:textId="77777777" w:rsidR="00D56F7B" w:rsidRDefault="00D56F7B" w:rsidP="00D56F7B">
            <w:pPr>
              <w:adjustRightInd w:val="0"/>
              <w:snapToGrid w:val="0"/>
              <w:jc w:val="center"/>
              <w:rPr>
                <w:rFonts w:ascii="Times New Roman" w:hAnsi="Times New Roman"/>
                <w:sz w:val="18"/>
                <w:szCs w:val="18"/>
              </w:rPr>
            </w:pPr>
          </w:p>
        </w:tc>
        <w:tc>
          <w:tcPr>
            <w:tcW w:w="1828" w:type="dxa"/>
            <w:gridSpan w:val="2"/>
            <w:vAlign w:val="center"/>
          </w:tcPr>
          <w:p w14:paraId="63293663" w14:textId="77777777" w:rsidR="00D56F7B" w:rsidRDefault="00D56F7B" w:rsidP="00D56F7B">
            <w:pPr>
              <w:adjustRightInd w:val="0"/>
              <w:snapToGrid w:val="0"/>
              <w:jc w:val="center"/>
              <w:rPr>
                <w:rFonts w:ascii="Times New Roman" w:hAnsi="Times New Roman"/>
                <w:sz w:val="18"/>
                <w:szCs w:val="18"/>
              </w:rPr>
            </w:pPr>
            <w:r>
              <w:rPr>
                <w:rFonts w:ascii="Times New Roman" w:hAnsi="Times New Roman" w:hint="eastAsia"/>
                <w:sz w:val="18"/>
                <w:szCs w:val="18"/>
              </w:rPr>
              <w:t>非金属夹杂物</w:t>
            </w:r>
          </w:p>
        </w:tc>
        <w:tc>
          <w:tcPr>
            <w:tcW w:w="1844" w:type="dxa"/>
            <w:vAlign w:val="center"/>
          </w:tcPr>
          <w:p w14:paraId="3F1865B5" w14:textId="07A90701" w:rsidR="00D56F7B" w:rsidRDefault="00D56F7B" w:rsidP="00D56F7B">
            <w:pPr>
              <w:adjustRightInd w:val="0"/>
              <w:snapToGrid w:val="0"/>
              <w:jc w:val="center"/>
              <w:rPr>
                <w:rFonts w:ascii="Times New Roman" w:hAnsi="Times New Roman"/>
                <w:sz w:val="18"/>
                <w:szCs w:val="18"/>
              </w:rPr>
            </w:pPr>
            <w:r>
              <w:rPr>
                <w:rFonts w:ascii="Times New Roman" w:hAnsi="Times New Roman" w:hint="eastAsia"/>
                <w:sz w:val="18"/>
                <w:szCs w:val="18"/>
              </w:rPr>
              <w:t>各类夹杂物和各级别分别不高于</w:t>
            </w:r>
            <w:r>
              <w:rPr>
                <w:rFonts w:ascii="Times New Roman" w:hAnsi="Times New Roman"/>
                <w:sz w:val="18"/>
                <w:szCs w:val="18"/>
              </w:rPr>
              <w:t>1</w:t>
            </w:r>
            <w:r>
              <w:rPr>
                <w:rFonts w:ascii="Times New Roman" w:hAnsi="Times New Roman"/>
                <w:sz w:val="18"/>
                <w:szCs w:val="18"/>
              </w:rPr>
              <w:t>.0</w:t>
            </w:r>
            <w:r>
              <w:rPr>
                <w:rFonts w:ascii="Times New Roman" w:hAnsi="Times New Roman" w:hint="eastAsia"/>
                <w:sz w:val="18"/>
                <w:szCs w:val="18"/>
              </w:rPr>
              <w:t>级</w:t>
            </w:r>
          </w:p>
        </w:tc>
        <w:tc>
          <w:tcPr>
            <w:tcW w:w="1836" w:type="dxa"/>
            <w:vAlign w:val="center"/>
          </w:tcPr>
          <w:p w14:paraId="2602A041" w14:textId="34883A87" w:rsidR="00D56F7B" w:rsidRDefault="00D56F7B" w:rsidP="00D56F7B">
            <w:pPr>
              <w:adjustRightInd w:val="0"/>
              <w:snapToGrid w:val="0"/>
              <w:jc w:val="center"/>
              <w:rPr>
                <w:rFonts w:ascii="Times New Roman" w:hAnsi="Times New Roman"/>
                <w:sz w:val="18"/>
                <w:szCs w:val="18"/>
              </w:rPr>
            </w:pPr>
            <w:r>
              <w:rPr>
                <w:rFonts w:ascii="Times New Roman" w:hAnsi="Times New Roman" w:hint="eastAsia"/>
                <w:sz w:val="18"/>
                <w:szCs w:val="18"/>
              </w:rPr>
              <w:t>各类夹杂物和各级别分别不高于</w:t>
            </w:r>
            <w:r>
              <w:rPr>
                <w:rFonts w:ascii="Times New Roman" w:hAnsi="Times New Roman"/>
                <w:sz w:val="18"/>
                <w:szCs w:val="18"/>
              </w:rPr>
              <w:t>1.5</w:t>
            </w:r>
            <w:r>
              <w:rPr>
                <w:rFonts w:ascii="Times New Roman" w:hAnsi="Times New Roman" w:hint="eastAsia"/>
                <w:sz w:val="18"/>
                <w:szCs w:val="18"/>
              </w:rPr>
              <w:t>级</w:t>
            </w:r>
          </w:p>
        </w:tc>
        <w:tc>
          <w:tcPr>
            <w:tcW w:w="1841" w:type="dxa"/>
            <w:vAlign w:val="center"/>
          </w:tcPr>
          <w:p w14:paraId="4DCAACBD" w14:textId="77777777" w:rsidR="00D56F7B" w:rsidRDefault="00D56F7B" w:rsidP="00D56F7B">
            <w:pPr>
              <w:adjustRightInd w:val="0"/>
              <w:snapToGrid w:val="0"/>
              <w:jc w:val="center"/>
              <w:rPr>
                <w:rFonts w:ascii="Times New Roman" w:hAnsi="Times New Roman"/>
                <w:sz w:val="18"/>
                <w:szCs w:val="18"/>
              </w:rPr>
            </w:pPr>
            <w:r>
              <w:rPr>
                <w:rFonts w:ascii="Times New Roman" w:hAnsi="Times New Roman" w:hint="eastAsia"/>
                <w:sz w:val="18"/>
                <w:szCs w:val="18"/>
              </w:rPr>
              <w:t>各类夹杂物和各级别分别不高于</w:t>
            </w:r>
            <w:r>
              <w:rPr>
                <w:rFonts w:ascii="Times New Roman" w:hAnsi="Times New Roman" w:hint="eastAsia"/>
                <w:sz w:val="18"/>
                <w:szCs w:val="18"/>
              </w:rPr>
              <w:t>2</w:t>
            </w:r>
            <w:r>
              <w:rPr>
                <w:rFonts w:ascii="Times New Roman" w:hAnsi="Times New Roman"/>
                <w:sz w:val="18"/>
                <w:szCs w:val="18"/>
              </w:rPr>
              <w:t>.0</w:t>
            </w:r>
            <w:r>
              <w:rPr>
                <w:rFonts w:ascii="Times New Roman" w:hAnsi="Times New Roman" w:hint="eastAsia"/>
                <w:sz w:val="18"/>
                <w:szCs w:val="18"/>
              </w:rPr>
              <w:t>级</w:t>
            </w:r>
          </w:p>
        </w:tc>
        <w:tc>
          <w:tcPr>
            <w:tcW w:w="1308" w:type="dxa"/>
            <w:vAlign w:val="center"/>
          </w:tcPr>
          <w:p w14:paraId="7351A14E" w14:textId="77777777" w:rsidR="00D56F7B" w:rsidRDefault="00D56F7B" w:rsidP="00D56F7B">
            <w:pPr>
              <w:adjustRightInd w:val="0"/>
              <w:snapToGrid w:val="0"/>
              <w:jc w:val="center"/>
              <w:rPr>
                <w:rFonts w:ascii="Times New Roman" w:hAnsi="Times New Roman"/>
                <w:sz w:val="18"/>
                <w:szCs w:val="18"/>
              </w:rPr>
            </w:pPr>
          </w:p>
        </w:tc>
      </w:tr>
      <w:tr w:rsidR="00D56F7B" w14:paraId="37AE1CA8" w14:textId="77777777" w:rsidTr="00D56F7B">
        <w:trPr>
          <w:trHeight w:val="340"/>
          <w:jc w:val="center"/>
        </w:trPr>
        <w:tc>
          <w:tcPr>
            <w:tcW w:w="661" w:type="dxa"/>
            <w:vMerge w:val="restart"/>
            <w:vAlign w:val="center"/>
          </w:tcPr>
          <w:p w14:paraId="0770A406" w14:textId="77777777" w:rsidR="00D56F7B" w:rsidRDefault="00D56F7B" w:rsidP="00D56F7B">
            <w:pPr>
              <w:adjustRightInd w:val="0"/>
              <w:snapToGrid w:val="0"/>
              <w:jc w:val="center"/>
              <w:rPr>
                <w:rFonts w:ascii="Times New Roman" w:hAnsi="Times New Roman"/>
                <w:sz w:val="18"/>
                <w:szCs w:val="18"/>
              </w:rPr>
            </w:pPr>
            <w:r>
              <w:rPr>
                <w:rFonts w:ascii="Times New Roman" w:hAnsi="Times New Roman"/>
                <w:sz w:val="18"/>
                <w:szCs w:val="18"/>
              </w:rPr>
              <w:t>创新性指标</w:t>
            </w:r>
          </w:p>
        </w:tc>
        <w:tc>
          <w:tcPr>
            <w:tcW w:w="1828" w:type="dxa"/>
            <w:gridSpan w:val="2"/>
            <w:vAlign w:val="center"/>
          </w:tcPr>
          <w:p w14:paraId="07513261" w14:textId="77777777" w:rsidR="00D56F7B" w:rsidRDefault="00D56F7B" w:rsidP="00D56F7B">
            <w:pPr>
              <w:adjustRightInd w:val="0"/>
              <w:snapToGrid w:val="0"/>
              <w:jc w:val="center"/>
              <w:rPr>
                <w:rFonts w:ascii="Times New Roman" w:hAnsi="Times New Roman"/>
                <w:sz w:val="18"/>
                <w:szCs w:val="18"/>
              </w:rPr>
            </w:pPr>
            <w:r>
              <w:rPr>
                <w:rFonts w:ascii="Times New Roman" w:hAnsi="Times New Roman"/>
                <w:sz w:val="18"/>
                <w:szCs w:val="18"/>
              </w:rPr>
              <w:t>牌号</w:t>
            </w:r>
            <w:r>
              <w:rPr>
                <w:rFonts w:ascii="Times New Roman" w:hAnsi="Times New Roman" w:hint="eastAsia"/>
                <w:sz w:val="18"/>
                <w:szCs w:val="18"/>
              </w:rPr>
              <w:t>和强度等级</w:t>
            </w:r>
          </w:p>
        </w:tc>
        <w:tc>
          <w:tcPr>
            <w:tcW w:w="5521" w:type="dxa"/>
            <w:gridSpan w:val="3"/>
            <w:vAlign w:val="center"/>
          </w:tcPr>
          <w:p w14:paraId="51066F8E" w14:textId="77777777" w:rsidR="00D56F7B" w:rsidRDefault="00D56F7B" w:rsidP="00D56F7B">
            <w:pPr>
              <w:adjustRightInd w:val="0"/>
              <w:snapToGrid w:val="0"/>
              <w:jc w:val="center"/>
              <w:rPr>
                <w:rFonts w:ascii="Times New Roman" w:hAnsi="Times New Roman"/>
                <w:sz w:val="18"/>
                <w:szCs w:val="18"/>
              </w:rPr>
            </w:pPr>
            <w:r>
              <w:rPr>
                <w:rFonts w:ascii="Times New Roman" w:hAnsi="Times New Roman"/>
                <w:sz w:val="18"/>
                <w:szCs w:val="18"/>
              </w:rPr>
              <w:t>新增</w:t>
            </w:r>
            <w:r>
              <w:rPr>
                <w:rFonts w:ascii="Times New Roman" w:hAnsi="Times New Roman"/>
                <w:color w:val="000000"/>
                <w:sz w:val="18"/>
                <w:szCs w:val="18"/>
              </w:rPr>
              <w:t>GB/T 20065-2016</w:t>
            </w:r>
            <w:r>
              <w:rPr>
                <w:rFonts w:ascii="Times New Roman" w:hAnsi="Times New Roman"/>
                <w:sz w:val="18"/>
                <w:szCs w:val="18"/>
              </w:rPr>
              <w:t>以外牌号</w:t>
            </w:r>
            <w:r>
              <w:rPr>
                <w:rFonts w:ascii="Times New Roman" w:hAnsi="Times New Roman" w:hint="eastAsia"/>
                <w:sz w:val="18"/>
                <w:szCs w:val="18"/>
              </w:rPr>
              <w:t>和强度等级</w:t>
            </w:r>
          </w:p>
        </w:tc>
        <w:tc>
          <w:tcPr>
            <w:tcW w:w="1308" w:type="dxa"/>
            <w:vAlign w:val="center"/>
          </w:tcPr>
          <w:p w14:paraId="7EF27CE3" w14:textId="5D1AA759" w:rsidR="00D56F7B" w:rsidRDefault="00D56F7B" w:rsidP="00D56F7B">
            <w:pPr>
              <w:adjustRightInd w:val="0"/>
              <w:snapToGrid w:val="0"/>
              <w:jc w:val="center"/>
              <w:rPr>
                <w:rFonts w:ascii="Times New Roman" w:hAnsi="Times New Roman"/>
                <w:sz w:val="18"/>
                <w:szCs w:val="18"/>
              </w:rPr>
            </w:pPr>
            <w:r>
              <w:rPr>
                <w:rFonts w:ascii="Times New Roman" w:hAnsi="Times New Roman"/>
                <w:color w:val="000000"/>
                <w:sz w:val="18"/>
                <w:szCs w:val="18"/>
              </w:rPr>
              <w:t>GB/T 10561</w:t>
            </w:r>
          </w:p>
        </w:tc>
      </w:tr>
      <w:tr w:rsidR="00D56F7B" w14:paraId="43839FB6" w14:textId="77777777" w:rsidTr="00D56F7B">
        <w:trPr>
          <w:trHeight w:val="340"/>
          <w:jc w:val="center"/>
        </w:trPr>
        <w:tc>
          <w:tcPr>
            <w:tcW w:w="661" w:type="dxa"/>
            <w:vMerge/>
            <w:vAlign w:val="center"/>
          </w:tcPr>
          <w:p w14:paraId="2D8E2D2D" w14:textId="77777777" w:rsidR="00D56F7B" w:rsidRDefault="00D56F7B" w:rsidP="00D56F7B">
            <w:pPr>
              <w:adjustRightInd w:val="0"/>
              <w:snapToGrid w:val="0"/>
              <w:jc w:val="center"/>
              <w:rPr>
                <w:rFonts w:ascii="Times New Roman" w:hAnsi="Times New Roman"/>
                <w:sz w:val="18"/>
                <w:szCs w:val="18"/>
              </w:rPr>
            </w:pPr>
          </w:p>
        </w:tc>
        <w:tc>
          <w:tcPr>
            <w:tcW w:w="1828" w:type="dxa"/>
            <w:gridSpan w:val="2"/>
            <w:vAlign w:val="center"/>
          </w:tcPr>
          <w:p w14:paraId="4267F083" w14:textId="77777777" w:rsidR="00D56F7B" w:rsidRDefault="00D56F7B" w:rsidP="00D56F7B">
            <w:pPr>
              <w:adjustRightInd w:val="0"/>
              <w:snapToGrid w:val="0"/>
              <w:jc w:val="center"/>
              <w:rPr>
                <w:rFonts w:ascii="Times New Roman" w:hAnsi="Times New Roman" w:hint="eastAsia"/>
                <w:sz w:val="18"/>
                <w:szCs w:val="18"/>
              </w:rPr>
            </w:pPr>
            <w:r>
              <w:rPr>
                <w:rFonts w:ascii="Times New Roman" w:hAnsi="Times New Roman" w:hint="eastAsia"/>
                <w:sz w:val="18"/>
                <w:szCs w:val="18"/>
              </w:rPr>
              <w:t>冲击性能</w:t>
            </w:r>
          </w:p>
        </w:tc>
        <w:tc>
          <w:tcPr>
            <w:tcW w:w="5521" w:type="dxa"/>
            <w:gridSpan w:val="3"/>
            <w:vAlign w:val="center"/>
          </w:tcPr>
          <w:p w14:paraId="2882B146" w14:textId="77777777" w:rsidR="00D56F7B" w:rsidRDefault="00D56F7B" w:rsidP="00D56F7B">
            <w:pPr>
              <w:adjustRightInd w:val="0"/>
              <w:snapToGrid w:val="0"/>
              <w:jc w:val="center"/>
              <w:rPr>
                <w:rFonts w:ascii="Times New Roman" w:hAnsi="Times New Roman"/>
                <w:sz w:val="18"/>
                <w:szCs w:val="18"/>
              </w:rPr>
            </w:pPr>
          </w:p>
        </w:tc>
        <w:tc>
          <w:tcPr>
            <w:tcW w:w="1308" w:type="dxa"/>
            <w:vAlign w:val="center"/>
          </w:tcPr>
          <w:p w14:paraId="38D7A28C" w14:textId="38E60520" w:rsidR="00D56F7B" w:rsidRDefault="00821ACD" w:rsidP="00D56F7B">
            <w:pPr>
              <w:adjustRightInd w:val="0"/>
              <w:snapToGrid w:val="0"/>
              <w:jc w:val="center"/>
              <w:rPr>
                <w:rFonts w:ascii="Times New Roman" w:hAnsi="Times New Roman" w:hint="eastAsia"/>
                <w:color w:val="000000"/>
                <w:sz w:val="18"/>
                <w:szCs w:val="18"/>
              </w:rPr>
            </w:pPr>
            <w:r>
              <w:rPr>
                <w:rFonts w:ascii="Times New Roman" w:hAnsi="Times New Roman"/>
                <w:color w:val="000000"/>
                <w:sz w:val="18"/>
                <w:szCs w:val="18"/>
              </w:rPr>
              <w:t xml:space="preserve">GB/T </w:t>
            </w:r>
            <w:r>
              <w:rPr>
                <w:rFonts w:ascii="Times New Roman" w:hAnsi="Times New Roman"/>
                <w:color w:val="000000"/>
                <w:sz w:val="18"/>
                <w:szCs w:val="18"/>
              </w:rPr>
              <w:t>229</w:t>
            </w:r>
          </w:p>
        </w:tc>
      </w:tr>
      <w:tr w:rsidR="00D56F7B" w14:paraId="006968D7" w14:textId="77777777" w:rsidTr="00D56F7B">
        <w:trPr>
          <w:trHeight w:val="340"/>
          <w:jc w:val="center"/>
        </w:trPr>
        <w:tc>
          <w:tcPr>
            <w:tcW w:w="661" w:type="dxa"/>
            <w:vMerge/>
            <w:vAlign w:val="center"/>
          </w:tcPr>
          <w:p w14:paraId="2B92F491" w14:textId="77777777" w:rsidR="00D56F7B" w:rsidRDefault="00D56F7B" w:rsidP="00D56F7B">
            <w:pPr>
              <w:adjustRightInd w:val="0"/>
              <w:snapToGrid w:val="0"/>
              <w:jc w:val="center"/>
              <w:rPr>
                <w:rFonts w:ascii="Times New Roman" w:hAnsi="Times New Roman"/>
                <w:sz w:val="18"/>
                <w:szCs w:val="18"/>
              </w:rPr>
            </w:pPr>
          </w:p>
        </w:tc>
        <w:tc>
          <w:tcPr>
            <w:tcW w:w="1828" w:type="dxa"/>
            <w:gridSpan w:val="2"/>
            <w:vAlign w:val="center"/>
          </w:tcPr>
          <w:p w14:paraId="3FBD2449" w14:textId="77777777" w:rsidR="00D56F7B" w:rsidRDefault="00D56F7B" w:rsidP="00D56F7B">
            <w:pPr>
              <w:adjustRightInd w:val="0"/>
              <w:snapToGrid w:val="0"/>
              <w:jc w:val="center"/>
              <w:rPr>
                <w:rFonts w:ascii="Times New Roman" w:hAnsi="Times New Roman" w:hint="eastAsia"/>
                <w:sz w:val="18"/>
                <w:szCs w:val="18"/>
              </w:rPr>
            </w:pPr>
            <w:r>
              <w:rPr>
                <w:rFonts w:ascii="Times New Roman" w:hAnsi="Times New Roman" w:hint="eastAsia"/>
                <w:sz w:val="18"/>
                <w:szCs w:val="18"/>
              </w:rPr>
              <w:t>疲劳试验</w:t>
            </w:r>
          </w:p>
        </w:tc>
        <w:tc>
          <w:tcPr>
            <w:tcW w:w="5521" w:type="dxa"/>
            <w:gridSpan w:val="3"/>
            <w:vAlign w:val="center"/>
          </w:tcPr>
          <w:p w14:paraId="5625D48B" w14:textId="77777777" w:rsidR="00D56F7B" w:rsidRDefault="00D56F7B" w:rsidP="00D56F7B">
            <w:pPr>
              <w:adjustRightInd w:val="0"/>
              <w:snapToGrid w:val="0"/>
              <w:jc w:val="center"/>
              <w:rPr>
                <w:rFonts w:ascii="Times New Roman" w:hAnsi="Times New Roman"/>
                <w:sz w:val="18"/>
                <w:szCs w:val="18"/>
              </w:rPr>
            </w:pPr>
          </w:p>
        </w:tc>
        <w:tc>
          <w:tcPr>
            <w:tcW w:w="1308" w:type="dxa"/>
            <w:vAlign w:val="center"/>
          </w:tcPr>
          <w:p w14:paraId="0457B20A" w14:textId="77777777" w:rsidR="00D56F7B" w:rsidRDefault="00D56F7B" w:rsidP="00D56F7B">
            <w:pPr>
              <w:adjustRightInd w:val="0"/>
              <w:snapToGrid w:val="0"/>
              <w:jc w:val="center"/>
              <w:rPr>
                <w:rFonts w:ascii="Times New Roman" w:hAnsi="Times New Roman"/>
                <w:color w:val="000000"/>
                <w:sz w:val="18"/>
                <w:szCs w:val="18"/>
              </w:rPr>
            </w:pPr>
            <w:r>
              <w:rPr>
                <w:rFonts w:ascii="Times New Roman" w:hAnsi="Times New Roman"/>
                <w:color w:val="000000"/>
                <w:sz w:val="18"/>
                <w:szCs w:val="18"/>
              </w:rPr>
              <w:t>GB/T 20065-2016</w:t>
            </w:r>
          </w:p>
          <w:p w14:paraId="3355DF6F" w14:textId="77777777" w:rsidR="00D56F7B" w:rsidRDefault="00D56F7B" w:rsidP="00D56F7B">
            <w:pPr>
              <w:adjustRightInd w:val="0"/>
              <w:snapToGrid w:val="0"/>
              <w:jc w:val="center"/>
              <w:rPr>
                <w:rFonts w:ascii="Times New Roman" w:hAnsi="Times New Roman" w:hint="eastAsia"/>
                <w:sz w:val="18"/>
                <w:szCs w:val="18"/>
              </w:rPr>
            </w:pPr>
            <w:r>
              <w:rPr>
                <w:rFonts w:ascii="Times New Roman" w:hAnsi="Times New Roman" w:hint="eastAsia"/>
                <w:color w:val="000000"/>
                <w:sz w:val="18"/>
                <w:szCs w:val="18"/>
              </w:rPr>
              <w:t>中规定的方法</w:t>
            </w:r>
          </w:p>
        </w:tc>
      </w:tr>
      <w:tr w:rsidR="00D56F7B" w14:paraId="3EBB0FC7" w14:textId="77777777" w:rsidTr="00D56F7B">
        <w:trPr>
          <w:trHeight w:val="340"/>
          <w:jc w:val="center"/>
        </w:trPr>
        <w:tc>
          <w:tcPr>
            <w:tcW w:w="661" w:type="dxa"/>
            <w:vMerge/>
            <w:vAlign w:val="center"/>
          </w:tcPr>
          <w:p w14:paraId="66E7A677" w14:textId="77777777" w:rsidR="00D56F7B" w:rsidRDefault="00D56F7B" w:rsidP="00D56F7B">
            <w:pPr>
              <w:adjustRightInd w:val="0"/>
              <w:snapToGrid w:val="0"/>
              <w:jc w:val="center"/>
              <w:rPr>
                <w:rFonts w:ascii="Times New Roman" w:hAnsi="Times New Roman"/>
                <w:sz w:val="18"/>
                <w:szCs w:val="18"/>
              </w:rPr>
            </w:pPr>
          </w:p>
        </w:tc>
        <w:tc>
          <w:tcPr>
            <w:tcW w:w="1828" w:type="dxa"/>
            <w:gridSpan w:val="2"/>
            <w:vAlign w:val="center"/>
          </w:tcPr>
          <w:p w14:paraId="5FEA236F" w14:textId="77777777" w:rsidR="00D56F7B" w:rsidRDefault="00D56F7B" w:rsidP="00D56F7B">
            <w:pPr>
              <w:adjustRightInd w:val="0"/>
              <w:snapToGrid w:val="0"/>
              <w:jc w:val="center"/>
              <w:rPr>
                <w:rFonts w:ascii="Times New Roman" w:hAnsi="Times New Roman" w:hint="eastAsia"/>
                <w:sz w:val="18"/>
                <w:szCs w:val="18"/>
              </w:rPr>
            </w:pPr>
            <w:r>
              <w:rPr>
                <w:rFonts w:ascii="Times New Roman" w:hAnsi="Times New Roman" w:hint="eastAsia"/>
                <w:sz w:val="18"/>
                <w:szCs w:val="18"/>
              </w:rPr>
              <w:t>晶粒度</w:t>
            </w:r>
          </w:p>
        </w:tc>
        <w:tc>
          <w:tcPr>
            <w:tcW w:w="5521" w:type="dxa"/>
            <w:gridSpan w:val="3"/>
            <w:vAlign w:val="center"/>
          </w:tcPr>
          <w:p w14:paraId="345E3962" w14:textId="77777777" w:rsidR="00D56F7B" w:rsidRDefault="00D56F7B" w:rsidP="00D56F7B">
            <w:pPr>
              <w:adjustRightInd w:val="0"/>
              <w:snapToGrid w:val="0"/>
              <w:jc w:val="center"/>
              <w:rPr>
                <w:rFonts w:ascii="Times New Roman" w:hAnsi="Times New Roman"/>
                <w:sz w:val="18"/>
                <w:szCs w:val="18"/>
              </w:rPr>
            </w:pPr>
          </w:p>
        </w:tc>
        <w:tc>
          <w:tcPr>
            <w:tcW w:w="1308" w:type="dxa"/>
            <w:vAlign w:val="center"/>
          </w:tcPr>
          <w:p w14:paraId="1DCC3933" w14:textId="4F7733F7" w:rsidR="00D56F7B" w:rsidRDefault="00D56F7B" w:rsidP="00D56F7B">
            <w:pPr>
              <w:adjustRightInd w:val="0"/>
              <w:snapToGrid w:val="0"/>
              <w:jc w:val="center"/>
              <w:rPr>
                <w:rFonts w:ascii="Times New Roman" w:hAnsi="Times New Roman" w:hint="eastAsia"/>
                <w:color w:val="000000"/>
                <w:sz w:val="18"/>
                <w:szCs w:val="18"/>
              </w:rPr>
            </w:pPr>
            <w:bookmarkStart w:id="1" w:name="_Hlk74167453"/>
            <w:r>
              <w:rPr>
                <w:rFonts w:ascii="Times New Roman" w:hAnsi="Times New Roman" w:hint="eastAsia"/>
                <w:color w:val="000000"/>
                <w:sz w:val="18"/>
                <w:szCs w:val="18"/>
              </w:rPr>
              <w:t>G</w:t>
            </w:r>
            <w:r>
              <w:rPr>
                <w:rFonts w:ascii="Times New Roman" w:hAnsi="Times New Roman"/>
                <w:color w:val="000000"/>
                <w:sz w:val="18"/>
                <w:szCs w:val="18"/>
              </w:rPr>
              <w:t>B</w:t>
            </w:r>
            <w:r>
              <w:rPr>
                <w:rFonts w:ascii="Times New Roman" w:hAnsi="Times New Roman" w:hint="eastAsia"/>
                <w:color w:val="000000"/>
                <w:sz w:val="18"/>
                <w:szCs w:val="18"/>
              </w:rPr>
              <w:t>/</w:t>
            </w:r>
            <w:r>
              <w:rPr>
                <w:rFonts w:ascii="Times New Roman" w:hAnsi="Times New Roman"/>
                <w:color w:val="000000"/>
                <w:sz w:val="18"/>
                <w:szCs w:val="18"/>
              </w:rPr>
              <w:t>T 6394</w:t>
            </w:r>
            <w:bookmarkEnd w:id="1"/>
          </w:p>
        </w:tc>
      </w:tr>
    </w:tbl>
    <w:p w14:paraId="276B57FC" w14:textId="77777777" w:rsidR="00892CEF" w:rsidRPr="008E634D" w:rsidRDefault="009F7981" w:rsidP="008E634D">
      <w:pPr>
        <w:spacing w:line="360" w:lineRule="auto"/>
        <w:ind w:firstLineChars="200" w:firstLine="560"/>
        <w:rPr>
          <w:rFonts w:ascii="仿宋_GB2312" w:eastAsia="仿宋_GB2312" w:hAnsi="仿宋" w:cs="Times New Roman"/>
          <w:sz w:val="28"/>
          <w:szCs w:val="28"/>
        </w:rPr>
      </w:pPr>
      <w:r>
        <w:rPr>
          <w:rFonts w:ascii="仿宋_GB2312" w:eastAsia="仿宋_GB2312" w:hAnsi="仿宋" w:cs="Times New Roman"/>
          <w:sz w:val="28"/>
          <w:szCs w:val="28"/>
        </w:rPr>
        <w:t>3</w:t>
      </w:r>
      <w:r w:rsidR="00F53827">
        <w:rPr>
          <w:rFonts w:ascii="仿宋_GB2312" w:eastAsia="仿宋_GB2312" w:hAnsi="仿宋" w:cs="Times New Roman" w:hint="eastAsia"/>
          <w:sz w:val="28"/>
          <w:szCs w:val="28"/>
        </w:rPr>
        <w:t>、指标选取原则</w:t>
      </w:r>
    </w:p>
    <w:p w14:paraId="5C1B28E0" w14:textId="77777777" w:rsidR="00BD6E98" w:rsidRDefault="00F53827"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6C0276">
        <w:rPr>
          <w:rFonts w:ascii="Times New Roman" w:eastAsia="仿宋_GB2312" w:hAnsi="Times New Roman" w:cs="Times New Roman" w:hint="eastAsia"/>
          <w:sz w:val="28"/>
          <w:szCs w:val="28"/>
        </w:rPr>
        <w:t>基础指标的选取</w:t>
      </w:r>
    </w:p>
    <w:p w14:paraId="18FBFA69" w14:textId="790E1A42" w:rsidR="00B63A2B" w:rsidRDefault="000008B8"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钢筋的尺寸</w:t>
      </w:r>
      <w:r w:rsidR="00821ACD">
        <w:rPr>
          <w:rFonts w:ascii="Times New Roman" w:eastAsia="仿宋_GB2312" w:hAnsi="Times New Roman" w:cs="Times New Roman" w:hint="eastAsia"/>
          <w:sz w:val="28"/>
          <w:szCs w:val="28"/>
        </w:rPr>
        <w:t>、外形、重量</w:t>
      </w:r>
      <w:r>
        <w:rPr>
          <w:rFonts w:ascii="Times New Roman" w:eastAsia="仿宋_GB2312" w:hAnsi="Times New Roman" w:cs="Times New Roman"/>
          <w:sz w:val="28"/>
          <w:szCs w:val="28"/>
        </w:rPr>
        <w:t>、表面质量</w:t>
      </w:r>
      <w:r w:rsidR="00821ACD">
        <w:rPr>
          <w:rFonts w:ascii="Times New Roman" w:eastAsia="仿宋_GB2312" w:hAnsi="Times New Roman" w:cs="Times New Roman" w:hint="eastAsia"/>
          <w:sz w:val="28"/>
          <w:szCs w:val="28"/>
        </w:rPr>
        <w:t>应力松弛性能</w:t>
      </w:r>
      <w:r>
        <w:rPr>
          <w:rFonts w:ascii="Times New Roman" w:eastAsia="仿宋_GB2312" w:hAnsi="Times New Roman" w:cs="Times New Roman" w:hint="eastAsia"/>
          <w:sz w:val="28"/>
          <w:szCs w:val="28"/>
        </w:rPr>
        <w:t>是</w:t>
      </w:r>
      <w:r>
        <w:rPr>
          <w:rFonts w:ascii="Times New Roman" w:eastAsia="仿宋_GB2312" w:hAnsi="Times New Roman" w:cs="Times New Roman"/>
          <w:sz w:val="28"/>
          <w:szCs w:val="28"/>
        </w:rPr>
        <w:t>生产</w:t>
      </w:r>
      <w:r>
        <w:rPr>
          <w:rFonts w:ascii="Times New Roman" w:eastAsia="仿宋_GB2312" w:hAnsi="Times New Roman" w:cs="Times New Roman" w:hint="eastAsia"/>
          <w:sz w:val="28"/>
          <w:szCs w:val="28"/>
        </w:rPr>
        <w:t>中</w:t>
      </w:r>
      <w:r>
        <w:rPr>
          <w:rFonts w:ascii="Times New Roman" w:eastAsia="仿宋_GB2312" w:hAnsi="Times New Roman" w:cs="Times New Roman"/>
          <w:sz w:val="28"/>
          <w:szCs w:val="28"/>
        </w:rPr>
        <w:t>应保证的基本指标</w:t>
      </w:r>
      <w:r w:rsidR="00AC674C">
        <w:rPr>
          <w:rFonts w:ascii="Times New Roman" w:eastAsia="仿宋_GB2312" w:hAnsi="Times New Roman" w:cs="Times New Roman" w:hint="eastAsia"/>
          <w:sz w:val="28"/>
          <w:szCs w:val="28"/>
        </w:rPr>
        <w:t>。</w:t>
      </w:r>
    </w:p>
    <w:p w14:paraId="15C24A3D" w14:textId="77777777" w:rsidR="00F53827" w:rsidRDefault="00F53827"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6C0276">
        <w:rPr>
          <w:rFonts w:ascii="Times New Roman" w:eastAsia="仿宋_GB2312" w:hAnsi="Times New Roman" w:cs="Times New Roman" w:hint="eastAsia"/>
          <w:sz w:val="28"/>
          <w:szCs w:val="28"/>
        </w:rPr>
        <w:t>核心指标的选取</w:t>
      </w:r>
    </w:p>
    <w:p w14:paraId="328F7F52" w14:textId="2296E705" w:rsidR="00821ACD" w:rsidRDefault="00AC674C" w:rsidP="005A6F0A">
      <w:pPr>
        <w:spacing w:line="360" w:lineRule="auto"/>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lastRenderedPageBreak/>
        <w:t>核心</w:t>
      </w:r>
      <w:r w:rsidR="000008B8">
        <w:rPr>
          <w:rFonts w:ascii="Times New Roman" w:eastAsia="仿宋_GB2312" w:hAnsi="Times New Roman" w:cs="Times New Roman" w:hint="eastAsia"/>
          <w:sz w:val="28"/>
          <w:szCs w:val="28"/>
        </w:rPr>
        <w:t>指标选取</w:t>
      </w:r>
      <w:r w:rsidR="000008B8">
        <w:rPr>
          <w:rFonts w:ascii="Times New Roman" w:eastAsia="仿宋_GB2312" w:hAnsi="Times New Roman" w:cs="Times New Roman"/>
          <w:sz w:val="28"/>
          <w:szCs w:val="28"/>
        </w:rPr>
        <w:t>了</w:t>
      </w:r>
      <w:r w:rsidR="00821ACD">
        <w:rPr>
          <w:rFonts w:ascii="Times New Roman" w:eastAsia="仿宋_GB2312" w:hAnsi="Times New Roman" w:cs="Times New Roman"/>
          <w:sz w:val="28"/>
          <w:szCs w:val="28"/>
        </w:rPr>
        <w:t>P</w:t>
      </w:r>
      <w:r w:rsidR="00821ACD">
        <w:rPr>
          <w:rFonts w:ascii="Times New Roman" w:eastAsia="仿宋_GB2312" w:hAnsi="Times New Roman" w:cs="Times New Roman" w:hint="eastAsia"/>
          <w:sz w:val="28"/>
          <w:szCs w:val="28"/>
        </w:rPr>
        <w:t>、</w:t>
      </w:r>
      <w:r w:rsidR="00821ACD">
        <w:rPr>
          <w:rFonts w:ascii="Times New Roman" w:eastAsia="仿宋_GB2312" w:hAnsi="Times New Roman" w:cs="Times New Roman"/>
          <w:sz w:val="28"/>
          <w:szCs w:val="28"/>
        </w:rPr>
        <w:t>S</w:t>
      </w:r>
      <w:r w:rsidR="00821ACD">
        <w:rPr>
          <w:rFonts w:ascii="Times New Roman" w:eastAsia="仿宋_GB2312" w:hAnsi="Times New Roman" w:cs="Times New Roman"/>
          <w:sz w:val="28"/>
          <w:szCs w:val="28"/>
        </w:rPr>
        <w:t>元素含量</w:t>
      </w:r>
      <w:r w:rsidR="004D09FB">
        <w:rPr>
          <w:rFonts w:ascii="Times New Roman" w:eastAsia="仿宋_GB2312" w:hAnsi="Times New Roman" w:cs="Times New Roman" w:hint="eastAsia"/>
          <w:sz w:val="28"/>
          <w:szCs w:val="28"/>
        </w:rPr>
        <w:t>和非金属夹杂物</w:t>
      </w:r>
      <w:r w:rsidR="00821ACD">
        <w:rPr>
          <w:rFonts w:ascii="Times New Roman" w:eastAsia="仿宋_GB2312" w:hAnsi="Times New Roman" w:cs="Times New Roman"/>
          <w:sz w:val="28"/>
          <w:szCs w:val="28"/>
        </w:rPr>
        <w:t>体现了冶炼</w:t>
      </w:r>
      <w:r w:rsidR="004D09FB">
        <w:rPr>
          <w:rFonts w:ascii="Times New Roman" w:eastAsia="仿宋_GB2312" w:hAnsi="Times New Roman" w:cs="Times New Roman" w:hint="eastAsia"/>
          <w:sz w:val="28"/>
          <w:szCs w:val="28"/>
        </w:rPr>
        <w:t>生产</w:t>
      </w:r>
      <w:r w:rsidR="00821ACD">
        <w:rPr>
          <w:rFonts w:ascii="Times New Roman" w:eastAsia="仿宋_GB2312" w:hAnsi="Times New Roman" w:cs="Times New Roman"/>
          <w:sz w:val="28"/>
          <w:szCs w:val="28"/>
        </w:rPr>
        <w:t>过程中的控制水平</w:t>
      </w:r>
      <w:r w:rsidR="00821ACD">
        <w:rPr>
          <w:rFonts w:ascii="Times New Roman" w:eastAsia="仿宋_GB2312" w:hAnsi="Times New Roman" w:cs="Times New Roman" w:hint="eastAsia"/>
          <w:sz w:val="28"/>
          <w:szCs w:val="28"/>
        </w:rPr>
        <w:t>、力学性能是钢筋的关键指标，屈服强度是钢筋抵抗变形的重要指标；抗拉强度是钢筋</w:t>
      </w:r>
      <w:r w:rsidR="004D09FB">
        <w:rPr>
          <w:rFonts w:ascii="Times New Roman" w:eastAsia="仿宋_GB2312" w:hAnsi="Times New Roman" w:cs="Times New Roman" w:hint="eastAsia"/>
          <w:sz w:val="28"/>
          <w:szCs w:val="28"/>
        </w:rPr>
        <w:t>抵抗拉伸破坏的能力；断后伸长率是钢筋断裂后延伸的长度，最大力总延伸率是钢筋抗拉能力的保证。弯曲度是针对市场上钢筋使用对于弯曲度提出了分级的要求。</w:t>
      </w:r>
    </w:p>
    <w:p w14:paraId="700F0723" w14:textId="77777777" w:rsidR="00965FA8" w:rsidRDefault="00965FA8"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）创新</w:t>
      </w:r>
      <w:r>
        <w:rPr>
          <w:rFonts w:ascii="Times New Roman" w:eastAsia="仿宋_GB2312" w:hAnsi="Times New Roman" w:cs="Times New Roman"/>
          <w:sz w:val="28"/>
          <w:szCs w:val="28"/>
        </w:rPr>
        <w:t>指标的</w:t>
      </w:r>
      <w:r>
        <w:rPr>
          <w:rFonts w:ascii="Times New Roman" w:eastAsia="仿宋_GB2312" w:hAnsi="Times New Roman" w:cs="Times New Roman" w:hint="eastAsia"/>
          <w:sz w:val="28"/>
          <w:szCs w:val="28"/>
        </w:rPr>
        <w:t>选取</w:t>
      </w:r>
    </w:p>
    <w:p w14:paraId="0B91C307" w14:textId="77777777" w:rsidR="00965FA8" w:rsidRDefault="00965FA8"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N</w:t>
      </w:r>
      <w:r>
        <w:rPr>
          <w:rFonts w:ascii="Times New Roman" w:eastAsia="仿宋_GB2312" w:hAnsi="Times New Roman" w:cs="Times New Roman"/>
          <w:sz w:val="28"/>
          <w:szCs w:val="28"/>
        </w:rPr>
        <w:t>含量、条带状组织</w:t>
      </w:r>
      <w:r>
        <w:rPr>
          <w:rFonts w:ascii="Times New Roman" w:eastAsia="仿宋_GB2312" w:hAnsi="Times New Roman" w:cs="Times New Roman" w:hint="eastAsia"/>
          <w:sz w:val="28"/>
          <w:szCs w:val="28"/>
        </w:rPr>
        <w:t>偏析</w:t>
      </w:r>
      <w:r>
        <w:rPr>
          <w:rFonts w:ascii="Times New Roman" w:eastAsia="仿宋_GB2312" w:hAnsi="Times New Roman" w:cs="Times New Roman"/>
          <w:sz w:val="28"/>
          <w:szCs w:val="28"/>
        </w:rPr>
        <w:t>、非金属夹杂物</w:t>
      </w:r>
      <w:r>
        <w:rPr>
          <w:rFonts w:ascii="Times New Roman" w:eastAsia="仿宋_GB2312" w:hAnsi="Times New Roman" w:cs="Times New Roman" w:hint="eastAsia"/>
          <w:sz w:val="28"/>
          <w:szCs w:val="28"/>
        </w:rPr>
        <w:t>均为对</w:t>
      </w:r>
      <w:r>
        <w:rPr>
          <w:rFonts w:ascii="Times New Roman" w:eastAsia="仿宋_GB2312" w:hAnsi="Times New Roman" w:cs="Times New Roman"/>
          <w:sz w:val="28"/>
          <w:szCs w:val="28"/>
        </w:rPr>
        <w:t>高质量产品</w:t>
      </w:r>
      <w:r>
        <w:rPr>
          <w:rFonts w:ascii="Times New Roman" w:eastAsia="仿宋_GB2312" w:hAnsi="Times New Roman" w:cs="Times New Roman" w:hint="eastAsia"/>
          <w:sz w:val="28"/>
          <w:szCs w:val="28"/>
        </w:rPr>
        <w:t>提出的</w:t>
      </w:r>
      <w:r>
        <w:rPr>
          <w:rFonts w:ascii="Times New Roman" w:eastAsia="仿宋_GB2312" w:hAnsi="Times New Roman" w:cs="Times New Roman"/>
          <w:sz w:val="28"/>
          <w:szCs w:val="28"/>
        </w:rPr>
        <w:t>特殊要求，</w:t>
      </w:r>
      <w:r>
        <w:rPr>
          <w:rFonts w:ascii="Times New Roman" w:eastAsia="仿宋_GB2312" w:hAnsi="Times New Roman" w:cs="Times New Roman"/>
          <w:sz w:val="28"/>
          <w:szCs w:val="28"/>
        </w:rPr>
        <w:t>GB/T 1499.2</w:t>
      </w:r>
      <w:r>
        <w:rPr>
          <w:rFonts w:ascii="Times New Roman" w:eastAsia="仿宋_GB2312" w:hAnsi="Times New Roman" w:cs="Times New Roman" w:hint="eastAsia"/>
          <w:sz w:val="28"/>
          <w:szCs w:val="28"/>
        </w:rPr>
        <w:t>中</w:t>
      </w:r>
      <w:r>
        <w:rPr>
          <w:rFonts w:ascii="Times New Roman" w:eastAsia="仿宋_GB2312" w:hAnsi="Times New Roman" w:cs="Times New Roman"/>
          <w:sz w:val="28"/>
          <w:szCs w:val="28"/>
        </w:rPr>
        <w:t>未</w:t>
      </w:r>
      <w:r>
        <w:rPr>
          <w:rFonts w:ascii="Times New Roman" w:eastAsia="仿宋_GB2312" w:hAnsi="Times New Roman" w:cs="Times New Roman" w:hint="eastAsia"/>
          <w:sz w:val="28"/>
          <w:szCs w:val="28"/>
        </w:rPr>
        <w:t>予</w:t>
      </w:r>
      <w:r>
        <w:rPr>
          <w:rFonts w:ascii="Times New Roman" w:eastAsia="仿宋_GB2312" w:hAnsi="Times New Roman" w:cs="Times New Roman"/>
          <w:sz w:val="28"/>
          <w:szCs w:val="28"/>
        </w:rPr>
        <w:t>规定。强屈比</w:t>
      </w:r>
      <w:r>
        <w:rPr>
          <w:rFonts w:ascii="Times New Roman" w:eastAsia="仿宋_GB2312" w:hAnsi="Times New Roman" w:cs="Times New Roman" w:hint="eastAsia"/>
          <w:sz w:val="28"/>
          <w:szCs w:val="28"/>
        </w:rPr>
        <w:t>是钢筋抗震性能</w:t>
      </w:r>
      <w:r>
        <w:rPr>
          <w:rFonts w:ascii="Times New Roman" w:eastAsia="仿宋_GB2312" w:hAnsi="Times New Roman" w:cs="Times New Roman"/>
          <w:sz w:val="28"/>
          <w:szCs w:val="28"/>
        </w:rPr>
        <w:t>的重要体现，因此也列作创新</w:t>
      </w:r>
      <w:r>
        <w:rPr>
          <w:rFonts w:ascii="Times New Roman" w:eastAsia="仿宋_GB2312" w:hAnsi="Times New Roman" w:cs="Times New Roman" w:hint="eastAsia"/>
          <w:sz w:val="28"/>
          <w:szCs w:val="28"/>
        </w:rPr>
        <w:t>指标</w:t>
      </w:r>
      <w:r>
        <w:rPr>
          <w:rFonts w:ascii="Times New Roman" w:eastAsia="仿宋_GB2312" w:hAnsi="Times New Roman" w:cs="Times New Roman"/>
          <w:sz w:val="28"/>
          <w:szCs w:val="28"/>
        </w:rPr>
        <w:t>。</w:t>
      </w:r>
    </w:p>
    <w:p w14:paraId="71F39A03" w14:textId="12297167" w:rsid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w:t>
      </w:r>
      <w:r w:rsidR="009F7981">
        <w:rPr>
          <w:rFonts w:ascii="Times New Roman" w:eastAsia="仿宋_GB2312" w:hAnsi="Times New Roman" w:cs="Times New Roman" w:hint="eastAsia"/>
          <w:sz w:val="28"/>
          <w:szCs w:val="28"/>
        </w:rPr>
        <w:t>五</w:t>
      </w:r>
      <w:r w:rsidRPr="005A6F0A">
        <w:rPr>
          <w:rFonts w:ascii="Times New Roman" w:eastAsia="仿宋_GB2312" w:hAnsi="Times New Roman" w:cs="Times New Roman" w:hint="eastAsia"/>
          <w:sz w:val="28"/>
          <w:szCs w:val="28"/>
        </w:rPr>
        <w:t>）</w:t>
      </w:r>
      <w:r w:rsidR="00C71381">
        <w:rPr>
          <w:rFonts w:ascii="Times New Roman" w:eastAsia="仿宋_GB2312" w:hAnsi="Times New Roman" w:cs="Times New Roman" w:hint="eastAsia"/>
          <w:sz w:val="28"/>
          <w:szCs w:val="28"/>
        </w:rPr>
        <w:t>关于</w:t>
      </w:r>
      <w:r w:rsidR="00BD6E98">
        <w:rPr>
          <w:rFonts w:ascii="Times New Roman" w:eastAsia="仿宋_GB2312" w:hAnsi="Times New Roman" w:cs="Times New Roman" w:hint="eastAsia"/>
          <w:sz w:val="28"/>
          <w:szCs w:val="28"/>
        </w:rPr>
        <w:t>评价</w:t>
      </w:r>
      <w:r w:rsidR="00775056">
        <w:rPr>
          <w:rFonts w:ascii="Times New Roman" w:eastAsia="仿宋_GB2312" w:hAnsi="Times New Roman" w:cs="Times New Roman" w:hint="eastAsia"/>
          <w:sz w:val="28"/>
          <w:szCs w:val="28"/>
        </w:rPr>
        <w:t>方法</w:t>
      </w:r>
    </w:p>
    <w:p w14:paraId="5AF033F0" w14:textId="47A0E4E1" w:rsidR="004D09FB" w:rsidRPr="005A6F0A" w:rsidRDefault="004D09FB" w:rsidP="005A6F0A">
      <w:pPr>
        <w:spacing w:line="360" w:lineRule="auto"/>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精轧螺纹钢筋“领跑者”标准应将评价结果划分为</w:t>
      </w:r>
      <w:r w:rsidRPr="004D09FB">
        <w:rPr>
          <w:rFonts w:ascii="Times New Roman" w:eastAsia="仿宋_GB2312" w:hAnsi="Times New Roman" w:cs="Times New Roman" w:hint="eastAsia"/>
          <w:sz w:val="28"/>
          <w:szCs w:val="28"/>
        </w:rPr>
        <w:t>一级、二级和三级</w:t>
      </w:r>
      <w:r>
        <w:rPr>
          <w:rFonts w:ascii="Times New Roman" w:eastAsia="仿宋_GB2312" w:hAnsi="Times New Roman" w:cs="Times New Roman" w:hint="eastAsia"/>
          <w:sz w:val="28"/>
          <w:szCs w:val="28"/>
        </w:rPr>
        <w:t>，</w:t>
      </w:r>
      <w:r w:rsidRPr="004D09FB">
        <w:rPr>
          <w:rFonts w:ascii="Times New Roman" w:eastAsia="仿宋_GB2312" w:hAnsi="Times New Roman" w:cs="Times New Roman" w:hint="eastAsia"/>
          <w:sz w:val="28"/>
          <w:szCs w:val="28"/>
        </w:rPr>
        <w:t>各等级所对应的划分依据见表。达到三级要求及以上的企业标准，按照有关要求进行自我声明公开后均可进入所对应的精轧螺纹钢筋企业标准排行榜。达到一级要求的企业标准，按照有关要求进行自我声明公开后，其标准和符合标准的产品可以直接进入精轧螺纹钢筋企业标准“领跑者”候选名单。</w:t>
      </w:r>
    </w:p>
    <w:p w14:paraId="18545432" w14:textId="77777777" w:rsidR="004D09FB" w:rsidRDefault="004D09FB" w:rsidP="004D09FB">
      <w:pPr>
        <w:pStyle w:val="a"/>
        <w:numPr>
          <w:ilvl w:val="0"/>
          <w:numId w:val="2"/>
        </w:numPr>
        <w:tabs>
          <w:tab w:val="left" w:pos="360"/>
        </w:tabs>
        <w:spacing w:before="156" w:after="156"/>
        <w:ind w:left="0"/>
        <w:rPr>
          <w:rFonts w:ascii="Times New Roman"/>
        </w:rPr>
      </w:pPr>
      <w:r>
        <w:rPr>
          <w:rFonts w:ascii="Times New Roman"/>
        </w:rPr>
        <w:t>指标评价要求及等级划分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951"/>
        <w:gridCol w:w="1345"/>
        <w:gridCol w:w="2136"/>
        <w:gridCol w:w="2136"/>
      </w:tblGrid>
      <w:tr w:rsidR="004D09FB" w14:paraId="4B7BE19D" w14:textId="77777777" w:rsidTr="001115D7">
        <w:trPr>
          <w:jc w:val="center"/>
        </w:trPr>
        <w:tc>
          <w:tcPr>
            <w:tcW w:w="1835" w:type="dxa"/>
          </w:tcPr>
          <w:p w14:paraId="762ECF1D" w14:textId="77777777" w:rsidR="004D09FB" w:rsidRDefault="004D09FB" w:rsidP="001115D7">
            <w:pPr>
              <w:pStyle w:val="ac"/>
              <w:ind w:firstLineChars="0" w:firstLine="0"/>
              <w:jc w:val="center"/>
              <w:rPr>
                <w:rFonts w:ascii="Times New Roman" w:cs="Times New Roman"/>
                <w:color w:val="000000"/>
                <w:sz w:val="18"/>
                <w:szCs w:val="18"/>
              </w:rPr>
            </w:pPr>
            <w:r>
              <w:rPr>
                <w:rFonts w:ascii="Times New Roman" w:cs="Times New Roman"/>
                <w:color w:val="000000"/>
                <w:sz w:val="18"/>
                <w:szCs w:val="18"/>
              </w:rPr>
              <w:t>评价等级</w:t>
            </w:r>
          </w:p>
        </w:tc>
        <w:tc>
          <w:tcPr>
            <w:tcW w:w="6946" w:type="dxa"/>
            <w:gridSpan w:val="4"/>
          </w:tcPr>
          <w:p w14:paraId="7CCC7A47"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color w:val="000000"/>
                <w:sz w:val="18"/>
                <w:szCs w:val="18"/>
              </w:rPr>
              <w:t>满足条件</w:t>
            </w:r>
          </w:p>
        </w:tc>
      </w:tr>
      <w:tr w:rsidR="004D09FB" w14:paraId="603E6198" w14:textId="77777777" w:rsidTr="001115D7">
        <w:trPr>
          <w:trHeight w:val="478"/>
          <w:jc w:val="center"/>
        </w:trPr>
        <w:tc>
          <w:tcPr>
            <w:tcW w:w="1835" w:type="dxa"/>
            <w:vAlign w:val="center"/>
          </w:tcPr>
          <w:p w14:paraId="6A8B2C8F"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一级应同时满足</w:t>
            </w:r>
          </w:p>
        </w:tc>
        <w:tc>
          <w:tcPr>
            <w:tcW w:w="993" w:type="dxa"/>
            <w:vMerge w:val="restart"/>
            <w:vAlign w:val="center"/>
          </w:tcPr>
          <w:p w14:paraId="783952B2"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基本要求</w:t>
            </w:r>
          </w:p>
        </w:tc>
        <w:tc>
          <w:tcPr>
            <w:tcW w:w="1417" w:type="dxa"/>
            <w:vMerge w:val="restart"/>
            <w:vAlign w:val="center"/>
          </w:tcPr>
          <w:p w14:paraId="4A267452"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基础指标要求</w:t>
            </w:r>
          </w:p>
        </w:tc>
        <w:tc>
          <w:tcPr>
            <w:tcW w:w="2268" w:type="dxa"/>
            <w:vAlign w:val="center"/>
          </w:tcPr>
          <w:p w14:paraId="404938CB"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核心指标先进水平要求</w:t>
            </w:r>
          </w:p>
        </w:tc>
        <w:tc>
          <w:tcPr>
            <w:tcW w:w="2268" w:type="dxa"/>
            <w:vAlign w:val="center"/>
          </w:tcPr>
          <w:p w14:paraId="34E8C0EF" w14:textId="20C2B088" w:rsidR="004D09FB" w:rsidRPr="004D09FB" w:rsidRDefault="004D09FB" w:rsidP="004D09FB">
            <w:pPr>
              <w:pStyle w:val="ac"/>
              <w:widowControl w:val="0"/>
              <w:ind w:firstLineChars="0" w:firstLine="0"/>
              <w:jc w:val="center"/>
              <w:rPr>
                <w:rFonts w:ascii="Times New Roman" w:cs="Times New Roman" w:hint="eastAsia"/>
                <w:bCs/>
                <w:color w:val="000000"/>
                <w:sz w:val="18"/>
                <w:szCs w:val="18"/>
              </w:rPr>
            </w:pPr>
            <w:r>
              <w:rPr>
                <w:rFonts w:ascii="Times New Roman" w:cs="Times New Roman"/>
                <w:bCs/>
                <w:color w:val="000000"/>
                <w:sz w:val="18"/>
                <w:szCs w:val="18"/>
              </w:rPr>
              <w:t>创新性指标要求</w:t>
            </w:r>
          </w:p>
        </w:tc>
      </w:tr>
      <w:tr w:rsidR="004D09FB" w14:paraId="1690A7A9" w14:textId="77777777" w:rsidTr="001115D7">
        <w:trPr>
          <w:trHeight w:val="70"/>
          <w:jc w:val="center"/>
        </w:trPr>
        <w:tc>
          <w:tcPr>
            <w:tcW w:w="1835" w:type="dxa"/>
            <w:vAlign w:val="center"/>
          </w:tcPr>
          <w:p w14:paraId="5432FD14"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二级应同时满足</w:t>
            </w:r>
          </w:p>
        </w:tc>
        <w:tc>
          <w:tcPr>
            <w:tcW w:w="993" w:type="dxa"/>
            <w:vMerge/>
            <w:vAlign w:val="center"/>
          </w:tcPr>
          <w:p w14:paraId="4323C195" w14:textId="77777777" w:rsidR="004D09FB" w:rsidRDefault="004D09FB" w:rsidP="001115D7">
            <w:pPr>
              <w:pStyle w:val="ac"/>
              <w:widowControl w:val="0"/>
              <w:ind w:firstLine="360"/>
              <w:jc w:val="center"/>
              <w:rPr>
                <w:rFonts w:ascii="Times New Roman" w:cs="Times New Roman"/>
                <w:color w:val="000000"/>
                <w:sz w:val="18"/>
                <w:szCs w:val="18"/>
              </w:rPr>
            </w:pPr>
          </w:p>
        </w:tc>
        <w:tc>
          <w:tcPr>
            <w:tcW w:w="1417" w:type="dxa"/>
            <w:vMerge/>
            <w:vAlign w:val="center"/>
          </w:tcPr>
          <w:p w14:paraId="4DC63863" w14:textId="77777777" w:rsidR="004D09FB" w:rsidRDefault="004D09FB" w:rsidP="001115D7">
            <w:pPr>
              <w:pStyle w:val="ac"/>
              <w:widowControl w:val="0"/>
              <w:ind w:firstLine="360"/>
              <w:jc w:val="center"/>
              <w:rPr>
                <w:rFonts w:ascii="Times New Roman" w:cs="Times New Roman"/>
                <w:color w:val="000000"/>
                <w:sz w:val="18"/>
                <w:szCs w:val="18"/>
              </w:rPr>
            </w:pPr>
          </w:p>
        </w:tc>
        <w:tc>
          <w:tcPr>
            <w:tcW w:w="2268" w:type="dxa"/>
            <w:vAlign w:val="center"/>
          </w:tcPr>
          <w:p w14:paraId="486DFDD7"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核心指标平均水平要求</w:t>
            </w:r>
          </w:p>
        </w:tc>
        <w:tc>
          <w:tcPr>
            <w:tcW w:w="2268" w:type="dxa"/>
            <w:vAlign w:val="center"/>
          </w:tcPr>
          <w:p w14:paraId="7E18C028" w14:textId="2766BC34" w:rsidR="004D09FB" w:rsidRDefault="004D09FB" w:rsidP="004D09FB">
            <w:pPr>
              <w:pStyle w:val="ac"/>
              <w:widowControl w:val="0"/>
              <w:ind w:firstLineChars="0" w:firstLine="0"/>
              <w:jc w:val="center"/>
              <w:rPr>
                <w:rFonts w:ascii="Times New Roman" w:cs="Times New Roman" w:hint="eastAsia"/>
                <w:bCs/>
                <w:color w:val="000000"/>
                <w:sz w:val="18"/>
                <w:szCs w:val="18"/>
              </w:rPr>
            </w:pPr>
            <w:r>
              <w:rPr>
                <w:rFonts w:ascii="Times New Roman" w:cs="Times New Roman"/>
                <w:bCs/>
                <w:color w:val="000000"/>
                <w:sz w:val="18"/>
                <w:szCs w:val="18"/>
              </w:rPr>
              <w:t>创新性指标要求</w:t>
            </w:r>
          </w:p>
        </w:tc>
      </w:tr>
      <w:tr w:rsidR="004D09FB" w14:paraId="16097BF1" w14:textId="77777777" w:rsidTr="001115D7">
        <w:trPr>
          <w:trHeight w:val="494"/>
          <w:jc w:val="center"/>
        </w:trPr>
        <w:tc>
          <w:tcPr>
            <w:tcW w:w="1835" w:type="dxa"/>
            <w:vAlign w:val="center"/>
          </w:tcPr>
          <w:p w14:paraId="467CABE0"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三级应同时满足</w:t>
            </w:r>
          </w:p>
        </w:tc>
        <w:tc>
          <w:tcPr>
            <w:tcW w:w="993" w:type="dxa"/>
            <w:vMerge/>
            <w:vAlign w:val="center"/>
          </w:tcPr>
          <w:p w14:paraId="37DA9408" w14:textId="77777777" w:rsidR="004D09FB" w:rsidRDefault="004D09FB" w:rsidP="001115D7">
            <w:pPr>
              <w:pStyle w:val="ac"/>
              <w:widowControl w:val="0"/>
              <w:ind w:firstLineChars="0" w:firstLine="0"/>
              <w:jc w:val="center"/>
              <w:rPr>
                <w:rFonts w:ascii="Times New Roman" w:cs="Times New Roman"/>
                <w:color w:val="000000"/>
                <w:sz w:val="18"/>
                <w:szCs w:val="18"/>
              </w:rPr>
            </w:pPr>
          </w:p>
        </w:tc>
        <w:tc>
          <w:tcPr>
            <w:tcW w:w="1417" w:type="dxa"/>
            <w:vMerge/>
            <w:vAlign w:val="center"/>
          </w:tcPr>
          <w:p w14:paraId="576DC0B6" w14:textId="77777777" w:rsidR="004D09FB" w:rsidRDefault="004D09FB" w:rsidP="001115D7">
            <w:pPr>
              <w:pStyle w:val="ac"/>
              <w:widowControl w:val="0"/>
              <w:ind w:firstLineChars="0" w:firstLine="0"/>
              <w:jc w:val="center"/>
              <w:rPr>
                <w:rFonts w:ascii="Times New Roman" w:cs="Times New Roman"/>
                <w:color w:val="000000"/>
                <w:sz w:val="18"/>
                <w:szCs w:val="18"/>
              </w:rPr>
            </w:pPr>
          </w:p>
        </w:tc>
        <w:tc>
          <w:tcPr>
            <w:tcW w:w="2268" w:type="dxa"/>
            <w:vAlign w:val="center"/>
          </w:tcPr>
          <w:p w14:paraId="2886DCBC"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核心指标基准水平要求</w:t>
            </w:r>
          </w:p>
        </w:tc>
        <w:tc>
          <w:tcPr>
            <w:tcW w:w="2268" w:type="dxa"/>
            <w:vAlign w:val="center"/>
          </w:tcPr>
          <w:p w14:paraId="58CEF13C" w14:textId="77777777" w:rsidR="004D09FB" w:rsidRDefault="004D09FB" w:rsidP="001115D7">
            <w:pPr>
              <w:pStyle w:val="ac"/>
              <w:widowControl w:val="0"/>
              <w:ind w:firstLineChars="0" w:firstLine="0"/>
              <w:jc w:val="center"/>
              <w:rPr>
                <w:rFonts w:ascii="Times New Roman" w:cs="Times New Roman"/>
                <w:color w:val="000000"/>
                <w:sz w:val="18"/>
                <w:szCs w:val="18"/>
              </w:rPr>
            </w:pPr>
            <w:r>
              <w:rPr>
                <w:rFonts w:ascii="Times New Roman" w:cs="Times New Roman"/>
                <w:bCs/>
                <w:color w:val="000000"/>
                <w:sz w:val="18"/>
                <w:szCs w:val="18"/>
              </w:rPr>
              <w:t>—</w:t>
            </w:r>
          </w:p>
        </w:tc>
      </w:tr>
    </w:tbl>
    <w:p w14:paraId="598B72B9" w14:textId="77777777" w:rsidR="00370DDE" w:rsidRPr="00156FFD" w:rsidRDefault="00156FFD"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指标评价要求及等级划分符合</w:t>
      </w:r>
      <w:r w:rsidRPr="00156FFD">
        <w:rPr>
          <w:rFonts w:ascii="Times New Roman" w:eastAsia="仿宋_GB2312" w:hAnsi="Times New Roman" w:cs="Times New Roman" w:hint="eastAsia"/>
          <w:sz w:val="28"/>
          <w:szCs w:val="28"/>
        </w:rPr>
        <w:t>T/CAQP 015 T/ESF 0001</w:t>
      </w:r>
      <w:r>
        <w:rPr>
          <w:rFonts w:ascii="Times New Roman" w:eastAsia="仿宋_GB2312" w:hAnsi="Times New Roman" w:cs="Times New Roman" w:hint="eastAsia"/>
          <w:sz w:val="28"/>
          <w:szCs w:val="28"/>
        </w:rPr>
        <w:t>《</w:t>
      </w:r>
      <w:r w:rsidRPr="00156FFD">
        <w:rPr>
          <w:rFonts w:ascii="Times New Roman" w:eastAsia="仿宋_GB2312" w:hAnsi="Times New Roman" w:cs="Times New Roman" w:hint="eastAsia"/>
          <w:sz w:val="28"/>
          <w:szCs w:val="28"/>
        </w:rPr>
        <w:t>“领跑者”标准编制通则</w:t>
      </w:r>
      <w:r>
        <w:rPr>
          <w:rFonts w:ascii="Times New Roman" w:eastAsia="仿宋_GB2312" w:hAnsi="Times New Roman" w:cs="Times New Roman" w:hint="eastAsia"/>
          <w:sz w:val="28"/>
          <w:szCs w:val="28"/>
        </w:rPr>
        <w:t>》要求，与其他具体“领跑者”标准的评价方法保</w:t>
      </w:r>
      <w:r>
        <w:rPr>
          <w:rFonts w:ascii="Times New Roman" w:eastAsia="仿宋_GB2312" w:hAnsi="Times New Roman" w:cs="Times New Roman" w:hint="eastAsia"/>
          <w:sz w:val="28"/>
          <w:szCs w:val="28"/>
        </w:rPr>
        <w:lastRenderedPageBreak/>
        <w:t>持一致。</w:t>
      </w:r>
    </w:p>
    <w:p w14:paraId="55BD09EF"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六</w:t>
      </w:r>
      <w:r w:rsidRPr="005A6F0A">
        <w:rPr>
          <w:rFonts w:ascii="Times New Roman" w:eastAsia="仿宋_GB2312" w:hAnsi="Times New Roman" w:cs="Times New Roman"/>
          <w:b/>
          <w:kern w:val="44"/>
          <w:sz w:val="28"/>
          <w:szCs w:val="28"/>
        </w:rPr>
        <w:t>、与国内其它法律、法规的关系</w:t>
      </w:r>
    </w:p>
    <w:p w14:paraId="5032F0C9" w14:textId="77777777"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sz w:val="28"/>
          <w:szCs w:val="28"/>
        </w:rPr>
        <w:t>制定</w:t>
      </w:r>
      <w:r w:rsidR="003716E2">
        <w:rPr>
          <w:rFonts w:ascii="Times New Roman" w:eastAsia="仿宋_GB2312" w:hAnsi="Times New Roman" w:cs="Times New Roman"/>
          <w:sz w:val="28"/>
          <w:szCs w:val="28"/>
        </w:rPr>
        <w:t>本文件</w:t>
      </w:r>
      <w:r w:rsidRPr="005A6F0A">
        <w:rPr>
          <w:rFonts w:ascii="Times New Roman" w:eastAsia="仿宋_GB2312" w:hAnsi="Times New Roman" w:cs="Times New Roman"/>
          <w:sz w:val="28"/>
          <w:szCs w:val="28"/>
        </w:rPr>
        <w:t>时依据并引用了国内有关现行有效的标准，也不违背国内其它行业标准、法律、法规及强制性标准的有关规定。</w:t>
      </w:r>
    </w:p>
    <w:p w14:paraId="4D4C3C7D"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七</w:t>
      </w:r>
      <w:r w:rsidRPr="005A6F0A">
        <w:rPr>
          <w:rFonts w:ascii="Times New Roman" w:eastAsia="仿宋_GB2312" w:hAnsi="Times New Roman" w:cs="Times New Roman"/>
          <w:b/>
          <w:kern w:val="44"/>
          <w:sz w:val="28"/>
          <w:szCs w:val="28"/>
        </w:rPr>
        <w:t>、标准属性</w:t>
      </w:r>
    </w:p>
    <w:p w14:paraId="00B96FB7" w14:textId="77777777" w:rsidR="005A6F0A" w:rsidRPr="005A6F0A" w:rsidRDefault="003716E2" w:rsidP="005A6F0A">
      <w:pPr>
        <w:spacing w:line="360" w:lineRule="auto"/>
        <w:ind w:firstLine="480"/>
        <w:rPr>
          <w:rFonts w:ascii="Times New Roman" w:eastAsia="仿宋" w:hAnsi="Times New Roman" w:cs="Times New Roman"/>
          <w:sz w:val="28"/>
          <w:szCs w:val="28"/>
        </w:rPr>
      </w:pPr>
      <w:r>
        <w:rPr>
          <w:rFonts w:ascii="Times New Roman" w:eastAsia="仿宋" w:hAnsi="Times New Roman" w:cs="Times New Roman"/>
          <w:sz w:val="28"/>
          <w:szCs w:val="28"/>
        </w:rPr>
        <w:t>本文件</w:t>
      </w:r>
      <w:r w:rsidR="005A6F0A" w:rsidRPr="005A6F0A">
        <w:rPr>
          <w:rFonts w:ascii="Times New Roman" w:eastAsia="仿宋" w:hAnsi="Times New Roman" w:cs="Times New Roman"/>
          <w:sz w:val="28"/>
          <w:szCs w:val="28"/>
        </w:rPr>
        <w:t>属于</w:t>
      </w:r>
      <w:r w:rsidR="005A6F0A" w:rsidRPr="005A6F0A">
        <w:rPr>
          <w:rFonts w:ascii="Times New Roman" w:eastAsia="仿宋" w:hAnsi="Times New Roman" w:cs="Times New Roman" w:hint="eastAsia"/>
          <w:sz w:val="28"/>
          <w:szCs w:val="28"/>
        </w:rPr>
        <w:t>中国</w:t>
      </w:r>
      <w:r w:rsidR="001351BC">
        <w:rPr>
          <w:rFonts w:ascii="Times New Roman" w:eastAsia="仿宋" w:hAnsi="Times New Roman" w:cs="Times New Roman" w:hint="eastAsia"/>
          <w:sz w:val="28"/>
          <w:szCs w:val="28"/>
        </w:rPr>
        <w:t>特钢企业</w:t>
      </w:r>
      <w:r w:rsidR="005A6F0A" w:rsidRPr="005A6F0A">
        <w:rPr>
          <w:rFonts w:ascii="Times New Roman" w:eastAsia="仿宋" w:hAnsi="Times New Roman" w:cs="Times New Roman" w:hint="eastAsia"/>
          <w:sz w:val="28"/>
          <w:szCs w:val="28"/>
        </w:rPr>
        <w:t>协会</w:t>
      </w:r>
      <w:r w:rsidR="005A6F0A" w:rsidRPr="005A6F0A">
        <w:rPr>
          <w:rFonts w:ascii="Times New Roman" w:eastAsia="仿宋" w:hAnsi="Times New Roman" w:cs="Times New Roman"/>
          <w:sz w:val="28"/>
          <w:szCs w:val="28"/>
        </w:rPr>
        <w:t>团体标准。</w:t>
      </w:r>
    </w:p>
    <w:p w14:paraId="64FF6CF6"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八</w:t>
      </w:r>
      <w:r w:rsidRPr="005A6F0A">
        <w:rPr>
          <w:rFonts w:ascii="Times New Roman" w:eastAsia="仿宋_GB2312" w:hAnsi="Times New Roman" w:cs="Times New Roman"/>
          <w:b/>
          <w:kern w:val="44"/>
          <w:sz w:val="28"/>
          <w:szCs w:val="28"/>
        </w:rPr>
        <w:t>、标准水平及预期效果</w:t>
      </w:r>
    </w:p>
    <w:p w14:paraId="3603FD06" w14:textId="77777777" w:rsidR="005A6F0A" w:rsidRPr="005A6F0A" w:rsidRDefault="00370DDE" w:rsidP="005A6F0A">
      <w:pPr>
        <w:spacing w:line="360" w:lineRule="auto"/>
        <w:ind w:firstLineChars="200" w:firstLine="560"/>
        <w:rPr>
          <w:rFonts w:ascii="Times New Roman" w:eastAsia="仿宋" w:hAnsi="Times New Roman" w:cs="Times New Roman"/>
          <w:sz w:val="28"/>
          <w:szCs w:val="28"/>
        </w:rPr>
      </w:pPr>
      <w:r w:rsidRPr="00370DDE">
        <w:rPr>
          <w:rFonts w:ascii="Times New Roman" w:eastAsia="仿宋" w:hAnsi="Times New Roman" w:cs="Times New Roman" w:hint="eastAsia"/>
          <w:sz w:val="28"/>
          <w:szCs w:val="28"/>
        </w:rPr>
        <w:t>在新型标准化体系中，企业标准定位为先进引领性的标准。但是企业的标准化工作缺乏参考与指导，因此很多企业标准存在编制格式不规范、指标未覆盖国家和行业标准相关要求、指标选取缺乏科学依据、指标水平不够先进等问题。该标准的制定一方面有利于指导企业编写企业标准，并可用于对企业标准的水平进行评价，另一方面可以指导第三方评估机构编制“排行榜”和</w:t>
      </w:r>
      <w:r w:rsidR="006B7301">
        <w:rPr>
          <w:rFonts w:ascii="Times New Roman" w:eastAsia="仿宋_GB2312" w:hAnsi="Times New Roman" w:cs="Times New Roman" w:hint="eastAsia"/>
          <w:sz w:val="28"/>
          <w:szCs w:val="28"/>
        </w:rPr>
        <w:t>“领跑者”</w:t>
      </w:r>
      <w:r w:rsidRPr="00370DDE">
        <w:rPr>
          <w:rFonts w:ascii="Times New Roman" w:eastAsia="仿宋" w:hAnsi="Times New Roman" w:cs="Times New Roman" w:hint="eastAsia"/>
          <w:sz w:val="28"/>
          <w:szCs w:val="28"/>
        </w:rPr>
        <w:t>评估方案并开展有关评估工作。</w:t>
      </w:r>
    </w:p>
    <w:p w14:paraId="520EA473"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九</w:t>
      </w:r>
      <w:r w:rsidRPr="005A6F0A">
        <w:rPr>
          <w:rFonts w:ascii="Times New Roman" w:eastAsia="仿宋_GB2312" w:hAnsi="Times New Roman" w:cs="Times New Roman"/>
          <w:b/>
          <w:kern w:val="44"/>
          <w:sz w:val="28"/>
          <w:szCs w:val="28"/>
        </w:rPr>
        <w:t>、贯彻要求及建议</w:t>
      </w:r>
    </w:p>
    <w:p w14:paraId="16C79E61" w14:textId="77777777" w:rsidR="005A6F0A" w:rsidRPr="005A6F0A" w:rsidRDefault="003716E2" w:rsidP="005A6F0A">
      <w:pPr>
        <w:spacing w:line="360" w:lineRule="auto"/>
        <w:ind w:firstLineChars="175" w:firstLine="490"/>
        <w:jc w:val="left"/>
        <w:rPr>
          <w:rFonts w:ascii="Times New Roman" w:eastAsia="仿宋" w:hAnsi="Times New Roman" w:cs="Times New Roman"/>
          <w:sz w:val="28"/>
          <w:szCs w:val="28"/>
        </w:rPr>
      </w:pPr>
      <w:r>
        <w:rPr>
          <w:rFonts w:ascii="Times New Roman" w:eastAsia="仿宋" w:hAnsi="Times New Roman" w:cs="Times New Roman"/>
          <w:sz w:val="28"/>
          <w:szCs w:val="28"/>
        </w:rPr>
        <w:t>本文件</w:t>
      </w:r>
      <w:r w:rsidR="005A6F0A" w:rsidRPr="005A6F0A">
        <w:rPr>
          <w:rFonts w:ascii="Times New Roman" w:eastAsia="仿宋" w:hAnsi="Times New Roman" w:cs="Times New Roman"/>
          <w:sz w:val="28"/>
          <w:szCs w:val="28"/>
        </w:rPr>
        <w:t>归口单位为中国</w:t>
      </w:r>
      <w:r w:rsidR="001351BC">
        <w:rPr>
          <w:rFonts w:ascii="Times New Roman" w:eastAsia="仿宋" w:hAnsi="Times New Roman" w:cs="Times New Roman" w:hint="eastAsia"/>
          <w:sz w:val="28"/>
          <w:szCs w:val="28"/>
        </w:rPr>
        <w:t>特钢企业</w:t>
      </w:r>
      <w:r w:rsidR="005A6F0A" w:rsidRPr="005A6F0A">
        <w:rPr>
          <w:rFonts w:ascii="Times New Roman" w:eastAsia="仿宋" w:hAnsi="Times New Roman" w:cs="Times New Roman" w:hint="eastAsia"/>
          <w:sz w:val="28"/>
          <w:szCs w:val="28"/>
        </w:rPr>
        <w:t>协会</w:t>
      </w:r>
      <w:r w:rsidR="005A6F0A" w:rsidRPr="005A6F0A">
        <w:rPr>
          <w:rFonts w:ascii="Times New Roman" w:eastAsia="仿宋" w:hAnsi="Times New Roman" w:cs="Times New Roman"/>
          <w:sz w:val="28"/>
          <w:szCs w:val="28"/>
        </w:rPr>
        <w:t>，经过审定报批后，</w:t>
      </w:r>
      <w:r w:rsidR="005A6F0A" w:rsidRPr="005A6F0A">
        <w:rPr>
          <w:rFonts w:ascii="Times New Roman" w:eastAsia="仿宋_GB2312" w:hAnsi="Times New Roman" w:cs="Times New Roman" w:hint="eastAsia"/>
          <w:sz w:val="28"/>
          <w:szCs w:val="28"/>
        </w:rPr>
        <w:t>由</w:t>
      </w:r>
      <w:r w:rsidR="001351BC" w:rsidRPr="001351BC">
        <w:rPr>
          <w:rFonts w:ascii="Times New Roman" w:eastAsia="仿宋_GB2312" w:hAnsi="Times New Roman" w:cs="Times New Roman" w:hint="eastAsia"/>
          <w:sz w:val="28"/>
          <w:szCs w:val="28"/>
        </w:rPr>
        <w:t>中国特钢企业协会</w:t>
      </w:r>
      <w:r w:rsidR="005A6F0A" w:rsidRPr="005A6F0A">
        <w:rPr>
          <w:rFonts w:ascii="Times New Roman" w:eastAsia="仿宋_GB2312" w:hAnsi="Times New Roman" w:cs="Times New Roman" w:hint="eastAsia"/>
          <w:sz w:val="28"/>
          <w:szCs w:val="28"/>
        </w:rPr>
        <w:t>发布</w:t>
      </w:r>
      <w:r w:rsidR="005A6F0A" w:rsidRPr="005A6F0A">
        <w:rPr>
          <w:rFonts w:ascii="Times New Roman" w:eastAsia="仿宋" w:hAnsi="Times New Roman" w:cs="Times New Roman"/>
          <w:sz w:val="28"/>
          <w:szCs w:val="28"/>
        </w:rPr>
        <w:t>。建议在</w:t>
      </w:r>
      <w:r w:rsidR="00370DDE">
        <w:rPr>
          <w:rFonts w:ascii="Times New Roman" w:eastAsia="仿宋" w:hAnsi="Times New Roman" w:cs="Times New Roman" w:hint="eastAsia"/>
          <w:sz w:val="28"/>
          <w:szCs w:val="28"/>
        </w:rPr>
        <w:t>“</w:t>
      </w:r>
      <w:r w:rsidR="0061121B">
        <w:rPr>
          <w:rFonts w:ascii="Times New Roman" w:eastAsia="仿宋" w:hAnsi="Times New Roman" w:cs="Times New Roman" w:hint="eastAsia"/>
          <w:sz w:val="28"/>
          <w:szCs w:val="28"/>
        </w:rPr>
        <w:t>领跑者”标准</w:t>
      </w:r>
      <w:r w:rsidR="00370DDE">
        <w:rPr>
          <w:rFonts w:ascii="Times New Roman" w:eastAsia="仿宋" w:hAnsi="Times New Roman" w:cs="Times New Roman" w:hint="eastAsia"/>
          <w:sz w:val="28"/>
          <w:szCs w:val="28"/>
        </w:rPr>
        <w:t>评价机构</w:t>
      </w:r>
      <w:r w:rsidR="003645CC">
        <w:rPr>
          <w:rFonts w:ascii="Times New Roman" w:eastAsia="仿宋" w:hAnsi="Times New Roman" w:cs="Times New Roman" w:hint="eastAsia"/>
          <w:sz w:val="28"/>
          <w:szCs w:val="28"/>
        </w:rPr>
        <w:t>、相关生产企业</w:t>
      </w:r>
      <w:r w:rsidR="005A6F0A" w:rsidRPr="005A6F0A">
        <w:rPr>
          <w:rFonts w:ascii="Times New Roman" w:eastAsia="仿宋" w:hAnsi="Times New Roman" w:cs="Times New Roman"/>
          <w:sz w:val="28"/>
          <w:szCs w:val="28"/>
        </w:rPr>
        <w:t>宣贯执行</w:t>
      </w:r>
      <w:r w:rsidR="00370DDE">
        <w:rPr>
          <w:rFonts w:ascii="Times New Roman" w:eastAsia="仿宋" w:hAnsi="Times New Roman" w:cs="Times New Roman" w:hint="eastAsia"/>
          <w:sz w:val="28"/>
          <w:szCs w:val="28"/>
        </w:rPr>
        <w:t>。</w:t>
      </w:r>
    </w:p>
    <w:p w14:paraId="0313B779" w14:textId="77777777" w:rsidR="00783E38" w:rsidRPr="005A6F0A" w:rsidRDefault="00783E38"/>
    <w:sectPr w:rsidR="00783E38" w:rsidRPr="005A6F0A" w:rsidSect="00C60ED6">
      <w:footerReference w:type="even" r:id="rId8"/>
      <w:footerReference w:type="default" r:id="rId9"/>
      <w:pgSz w:w="11907" w:h="16840"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8246" w14:textId="77777777" w:rsidR="00996512" w:rsidRDefault="00996512" w:rsidP="005A6F0A">
      <w:r>
        <w:separator/>
      </w:r>
    </w:p>
  </w:endnote>
  <w:endnote w:type="continuationSeparator" w:id="0">
    <w:p w14:paraId="607D67C9" w14:textId="77777777" w:rsidR="00996512" w:rsidRDefault="00996512" w:rsidP="005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675" w14:textId="77777777" w:rsidR="00715E2C" w:rsidRDefault="002635F3">
    <w:pPr>
      <w:pStyle w:val="a6"/>
      <w:jc w:val="center"/>
    </w:pPr>
    <w:r>
      <w:fldChar w:fldCharType="begin"/>
    </w:r>
    <w:r w:rsidR="00715E2C">
      <w:instrText>PAGE   \* MERGEFORMAT</w:instrText>
    </w:r>
    <w:r>
      <w:fldChar w:fldCharType="separate"/>
    </w:r>
    <w:r w:rsidR="00715E2C" w:rsidRPr="00310A8E">
      <w:rPr>
        <w:noProof/>
        <w:lang w:val="zh-CN"/>
      </w:rPr>
      <w:t>6</w:t>
    </w:r>
    <w:r>
      <w:fldChar w:fldCharType="end"/>
    </w:r>
  </w:p>
  <w:p w14:paraId="55D7F7A8" w14:textId="77777777" w:rsidR="00715E2C" w:rsidRDefault="00715E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4F57" w14:textId="77777777" w:rsidR="00715E2C" w:rsidRDefault="002635F3" w:rsidP="00C60ED6">
    <w:pPr>
      <w:pStyle w:val="a6"/>
      <w:jc w:val="center"/>
    </w:pPr>
    <w:r>
      <w:fldChar w:fldCharType="begin"/>
    </w:r>
    <w:r w:rsidR="00715E2C">
      <w:instrText>PAGE   \* MERGEFORMAT</w:instrText>
    </w:r>
    <w:r>
      <w:fldChar w:fldCharType="separate"/>
    </w:r>
    <w:r w:rsidR="00965FA8" w:rsidRPr="00965FA8">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131B" w14:textId="77777777" w:rsidR="00996512" w:rsidRDefault="00996512" w:rsidP="005A6F0A">
      <w:r>
        <w:separator/>
      </w:r>
    </w:p>
  </w:footnote>
  <w:footnote w:type="continuationSeparator" w:id="0">
    <w:p w14:paraId="36FED20F" w14:textId="77777777" w:rsidR="00996512" w:rsidRDefault="00996512" w:rsidP="005A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lvl w:ilvl="0">
      <w:start w:val="1"/>
      <w:numFmt w:val="decimal"/>
      <w:suff w:val="nothing"/>
      <w:lvlText w:val="表%1　"/>
      <w:lvlJc w:val="left"/>
      <w:pPr>
        <w:ind w:left="5387"/>
      </w:pPr>
      <w:rPr>
        <w:rFonts w:ascii="黑体" w:eastAsia="黑体" w:hAnsi="Times New Roman" w:cs="Times New Roman" w:hint="eastAsia"/>
        <w:b w:val="0"/>
        <w:bCs w:val="0"/>
        <w:i w:val="0"/>
        <w:iCs w:val="0"/>
        <w:sz w:val="21"/>
        <w:szCs w:val="21"/>
      </w:rPr>
    </w:lvl>
    <w:lvl w:ilvl="1">
      <w:start w:val="1"/>
      <w:numFmt w:val="decimal"/>
      <w:lvlText w:val="%1.%2"/>
      <w:lvlJc w:val="left"/>
      <w:pPr>
        <w:tabs>
          <w:tab w:val="num" w:pos="-2269"/>
        </w:tabs>
        <w:ind w:left="-2269" w:hanging="567"/>
      </w:pPr>
      <w:rPr>
        <w:rFonts w:cs="Times New Roman" w:hint="eastAsia"/>
      </w:rPr>
    </w:lvl>
    <w:lvl w:ilvl="2">
      <w:start w:val="1"/>
      <w:numFmt w:val="decimal"/>
      <w:lvlText w:val="%1.%2.%3"/>
      <w:lvlJc w:val="left"/>
      <w:pPr>
        <w:tabs>
          <w:tab w:val="num" w:pos="-1843"/>
        </w:tabs>
        <w:ind w:left="-1843" w:hanging="567"/>
      </w:pPr>
      <w:rPr>
        <w:rFonts w:cs="Times New Roman" w:hint="eastAsia"/>
      </w:rPr>
    </w:lvl>
    <w:lvl w:ilvl="3">
      <w:start w:val="1"/>
      <w:numFmt w:val="decimal"/>
      <w:lvlText w:val="%1.%2.%3.%4"/>
      <w:lvlJc w:val="left"/>
      <w:pPr>
        <w:tabs>
          <w:tab w:val="num" w:pos="-1277"/>
        </w:tabs>
        <w:ind w:left="-1277" w:hanging="708"/>
      </w:pPr>
      <w:rPr>
        <w:rFonts w:cs="Times New Roman" w:hint="eastAsia"/>
      </w:rPr>
    </w:lvl>
    <w:lvl w:ilvl="4">
      <w:start w:val="1"/>
      <w:numFmt w:val="decimal"/>
      <w:lvlText w:val="%1.%2.%3.%4.%5"/>
      <w:lvlJc w:val="left"/>
      <w:pPr>
        <w:tabs>
          <w:tab w:val="num" w:pos="-710"/>
        </w:tabs>
        <w:ind w:left="-710" w:hanging="850"/>
      </w:pPr>
      <w:rPr>
        <w:rFonts w:cs="Times New Roman" w:hint="eastAsia"/>
      </w:rPr>
    </w:lvl>
    <w:lvl w:ilvl="5">
      <w:start w:val="1"/>
      <w:numFmt w:val="decimal"/>
      <w:lvlText w:val="%1.%2.%3.%4.%5.%6"/>
      <w:lvlJc w:val="left"/>
      <w:pPr>
        <w:tabs>
          <w:tab w:val="num" w:pos="-1"/>
        </w:tabs>
        <w:ind w:left="-1" w:hanging="1134"/>
      </w:pPr>
      <w:rPr>
        <w:rFonts w:cs="Times New Roman" w:hint="eastAsia"/>
      </w:rPr>
    </w:lvl>
    <w:lvl w:ilvl="6">
      <w:start w:val="1"/>
      <w:numFmt w:val="decimal"/>
      <w:lvlText w:val="%1.%2.%3.%4.%5.%6.%7"/>
      <w:lvlJc w:val="left"/>
      <w:pPr>
        <w:tabs>
          <w:tab w:val="num" w:pos="566"/>
        </w:tabs>
        <w:ind w:left="566" w:hanging="1276"/>
      </w:pPr>
      <w:rPr>
        <w:rFonts w:cs="Times New Roman" w:hint="eastAsia"/>
      </w:rPr>
    </w:lvl>
    <w:lvl w:ilvl="7">
      <w:start w:val="1"/>
      <w:numFmt w:val="decimal"/>
      <w:lvlText w:val="%1.%2.%3.%4.%5.%6.%7.%8"/>
      <w:lvlJc w:val="left"/>
      <w:pPr>
        <w:tabs>
          <w:tab w:val="num" w:pos="1133"/>
        </w:tabs>
        <w:ind w:left="1133" w:hanging="1418"/>
      </w:pPr>
      <w:rPr>
        <w:rFonts w:cs="Times New Roman" w:hint="eastAsia"/>
      </w:rPr>
    </w:lvl>
    <w:lvl w:ilvl="8">
      <w:start w:val="1"/>
      <w:numFmt w:val="decimal"/>
      <w:lvlText w:val="%1.%2.%3.%4.%5.%6.%7.%8.%9"/>
      <w:lvlJc w:val="left"/>
      <w:pPr>
        <w:tabs>
          <w:tab w:val="num" w:pos="1841"/>
        </w:tabs>
        <w:ind w:left="1841" w:hanging="1700"/>
      </w:pPr>
      <w:rPr>
        <w:rFonts w:cs="Times New Roman" w:hint="eastAsia"/>
      </w:rPr>
    </w:lvl>
  </w:abstractNum>
  <w:abstractNum w:abstractNumId="1" w15:restartNumberingAfterBreak="0">
    <w:nsid w:val="646260FA"/>
    <w:multiLevelType w:val="multilevel"/>
    <w:tmpl w:val="4F2011E8"/>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69"/>
    <w:rsid w:val="000008B8"/>
    <w:rsid w:val="00011BB4"/>
    <w:rsid w:val="00015BDD"/>
    <w:rsid w:val="00024B87"/>
    <w:rsid w:val="00027A9C"/>
    <w:rsid w:val="00027AD3"/>
    <w:rsid w:val="00037379"/>
    <w:rsid w:val="00037AD9"/>
    <w:rsid w:val="000541E0"/>
    <w:rsid w:val="00061866"/>
    <w:rsid w:val="00063603"/>
    <w:rsid w:val="000847CA"/>
    <w:rsid w:val="000A239E"/>
    <w:rsid w:val="000B3CC5"/>
    <w:rsid w:val="000C2E6C"/>
    <w:rsid w:val="000D0A5B"/>
    <w:rsid w:val="000E4DB8"/>
    <w:rsid w:val="000F0D86"/>
    <w:rsid w:val="000F3A7F"/>
    <w:rsid w:val="000F4EDD"/>
    <w:rsid w:val="000F5183"/>
    <w:rsid w:val="0010039C"/>
    <w:rsid w:val="00104825"/>
    <w:rsid w:val="0011017E"/>
    <w:rsid w:val="00113B29"/>
    <w:rsid w:val="00117113"/>
    <w:rsid w:val="001267A4"/>
    <w:rsid w:val="0013393F"/>
    <w:rsid w:val="001350E9"/>
    <w:rsid w:val="001351BC"/>
    <w:rsid w:val="001414E1"/>
    <w:rsid w:val="001512FC"/>
    <w:rsid w:val="00156FFD"/>
    <w:rsid w:val="00157247"/>
    <w:rsid w:val="00157468"/>
    <w:rsid w:val="0016019F"/>
    <w:rsid w:val="00163E34"/>
    <w:rsid w:val="00167428"/>
    <w:rsid w:val="00176600"/>
    <w:rsid w:val="00190C23"/>
    <w:rsid w:val="001A30AD"/>
    <w:rsid w:val="001A5B6F"/>
    <w:rsid w:val="001C0C28"/>
    <w:rsid w:val="001C3C21"/>
    <w:rsid w:val="001C74DE"/>
    <w:rsid w:val="001D02F9"/>
    <w:rsid w:val="001D1C23"/>
    <w:rsid w:val="001D27B7"/>
    <w:rsid w:val="001E77D9"/>
    <w:rsid w:val="001F7509"/>
    <w:rsid w:val="00200450"/>
    <w:rsid w:val="00204AEE"/>
    <w:rsid w:val="00206D72"/>
    <w:rsid w:val="00207A30"/>
    <w:rsid w:val="002102F0"/>
    <w:rsid w:val="00217630"/>
    <w:rsid w:val="00217F97"/>
    <w:rsid w:val="00230D0B"/>
    <w:rsid w:val="00230D70"/>
    <w:rsid w:val="002359F9"/>
    <w:rsid w:val="002635F3"/>
    <w:rsid w:val="00264EC4"/>
    <w:rsid w:val="00272E87"/>
    <w:rsid w:val="0027403F"/>
    <w:rsid w:val="002764BC"/>
    <w:rsid w:val="00286581"/>
    <w:rsid w:val="002871AE"/>
    <w:rsid w:val="0029654A"/>
    <w:rsid w:val="00297AF2"/>
    <w:rsid w:val="002A4627"/>
    <w:rsid w:val="002B256C"/>
    <w:rsid w:val="002B5927"/>
    <w:rsid w:val="002C565F"/>
    <w:rsid w:val="002D04C9"/>
    <w:rsid w:val="002D147D"/>
    <w:rsid w:val="002D6E47"/>
    <w:rsid w:val="002D7653"/>
    <w:rsid w:val="002D7B20"/>
    <w:rsid w:val="002E0001"/>
    <w:rsid w:val="002E2F94"/>
    <w:rsid w:val="00320B80"/>
    <w:rsid w:val="00332A10"/>
    <w:rsid w:val="00341005"/>
    <w:rsid w:val="00343C70"/>
    <w:rsid w:val="00354D21"/>
    <w:rsid w:val="00362AEA"/>
    <w:rsid w:val="003645CC"/>
    <w:rsid w:val="00370591"/>
    <w:rsid w:val="00370DDE"/>
    <w:rsid w:val="003716E2"/>
    <w:rsid w:val="00374538"/>
    <w:rsid w:val="00381178"/>
    <w:rsid w:val="0038138A"/>
    <w:rsid w:val="00381AC6"/>
    <w:rsid w:val="003831CF"/>
    <w:rsid w:val="003962B8"/>
    <w:rsid w:val="003B0C4D"/>
    <w:rsid w:val="003E3B6A"/>
    <w:rsid w:val="003E5EB2"/>
    <w:rsid w:val="003E6D0E"/>
    <w:rsid w:val="003E78E6"/>
    <w:rsid w:val="004221BC"/>
    <w:rsid w:val="0042287E"/>
    <w:rsid w:val="004276C7"/>
    <w:rsid w:val="004341FE"/>
    <w:rsid w:val="004469DF"/>
    <w:rsid w:val="004529F8"/>
    <w:rsid w:val="004547E8"/>
    <w:rsid w:val="00497F32"/>
    <w:rsid w:val="004A069D"/>
    <w:rsid w:val="004A1539"/>
    <w:rsid w:val="004A2E49"/>
    <w:rsid w:val="004A4388"/>
    <w:rsid w:val="004C34B4"/>
    <w:rsid w:val="004C38D8"/>
    <w:rsid w:val="004C4969"/>
    <w:rsid w:val="004C7B0D"/>
    <w:rsid w:val="004D06CE"/>
    <w:rsid w:val="004D09FB"/>
    <w:rsid w:val="004D44F2"/>
    <w:rsid w:val="004E3EE1"/>
    <w:rsid w:val="004F0CD3"/>
    <w:rsid w:val="004F75C1"/>
    <w:rsid w:val="00504213"/>
    <w:rsid w:val="0050569C"/>
    <w:rsid w:val="00510D8D"/>
    <w:rsid w:val="005118B6"/>
    <w:rsid w:val="00523DF2"/>
    <w:rsid w:val="00524246"/>
    <w:rsid w:val="00531783"/>
    <w:rsid w:val="00540783"/>
    <w:rsid w:val="00543C4F"/>
    <w:rsid w:val="00553213"/>
    <w:rsid w:val="00560781"/>
    <w:rsid w:val="005616F1"/>
    <w:rsid w:val="00566B35"/>
    <w:rsid w:val="0059157E"/>
    <w:rsid w:val="00592096"/>
    <w:rsid w:val="005924C1"/>
    <w:rsid w:val="005932D2"/>
    <w:rsid w:val="0059671A"/>
    <w:rsid w:val="005A0566"/>
    <w:rsid w:val="005A1A10"/>
    <w:rsid w:val="005A6B4E"/>
    <w:rsid w:val="005A6F0A"/>
    <w:rsid w:val="005C3EF8"/>
    <w:rsid w:val="005D3296"/>
    <w:rsid w:val="005D6C11"/>
    <w:rsid w:val="005E60A6"/>
    <w:rsid w:val="005F13EC"/>
    <w:rsid w:val="005F5102"/>
    <w:rsid w:val="0061121B"/>
    <w:rsid w:val="006173C4"/>
    <w:rsid w:val="00617908"/>
    <w:rsid w:val="00620B9B"/>
    <w:rsid w:val="00624FCE"/>
    <w:rsid w:val="00643006"/>
    <w:rsid w:val="0064582B"/>
    <w:rsid w:val="00662968"/>
    <w:rsid w:val="0066361E"/>
    <w:rsid w:val="0066540B"/>
    <w:rsid w:val="00666CED"/>
    <w:rsid w:val="006730B5"/>
    <w:rsid w:val="00673FFD"/>
    <w:rsid w:val="00685CCF"/>
    <w:rsid w:val="006B7301"/>
    <w:rsid w:val="006B7A2D"/>
    <w:rsid w:val="006C0100"/>
    <w:rsid w:val="006C0276"/>
    <w:rsid w:val="006C2C1A"/>
    <w:rsid w:val="006C3E62"/>
    <w:rsid w:val="006C69EF"/>
    <w:rsid w:val="006D4DD3"/>
    <w:rsid w:val="006E2C58"/>
    <w:rsid w:val="00703493"/>
    <w:rsid w:val="0070513F"/>
    <w:rsid w:val="007052B3"/>
    <w:rsid w:val="007117FA"/>
    <w:rsid w:val="0071432D"/>
    <w:rsid w:val="007153E8"/>
    <w:rsid w:val="00715E2C"/>
    <w:rsid w:val="00716B03"/>
    <w:rsid w:val="0072201A"/>
    <w:rsid w:val="00733FB2"/>
    <w:rsid w:val="0073464D"/>
    <w:rsid w:val="00740D1B"/>
    <w:rsid w:val="007566CD"/>
    <w:rsid w:val="0076167B"/>
    <w:rsid w:val="00766C0E"/>
    <w:rsid w:val="00770CE4"/>
    <w:rsid w:val="00775056"/>
    <w:rsid w:val="00775A47"/>
    <w:rsid w:val="00783E38"/>
    <w:rsid w:val="00785AEC"/>
    <w:rsid w:val="00796549"/>
    <w:rsid w:val="007A1C24"/>
    <w:rsid w:val="007B2F39"/>
    <w:rsid w:val="007B377E"/>
    <w:rsid w:val="007B56D5"/>
    <w:rsid w:val="007B695D"/>
    <w:rsid w:val="007E35B3"/>
    <w:rsid w:val="007F7ADD"/>
    <w:rsid w:val="00802637"/>
    <w:rsid w:val="00810015"/>
    <w:rsid w:val="00816E04"/>
    <w:rsid w:val="00821ACD"/>
    <w:rsid w:val="008309FE"/>
    <w:rsid w:val="008355DF"/>
    <w:rsid w:val="00840DDC"/>
    <w:rsid w:val="008446C6"/>
    <w:rsid w:val="00844B6B"/>
    <w:rsid w:val="008458F0"/>
    <w:rsid w:val="00851310"/>
    <w:rsid w:val="00863427"/>
    <w:rsid w:val="0087775E"/>
    <w:rsid w:val="00883663"/>
    <w:rsid w:val="00892CEF"/>
    <w:rsid w:val="00892D4F"/>
    <w:rsid w:val="008B5D9D"/>
    <w:rsid w:val="008B6643"/>
    <w:rsid w:val="008C3087"/>
    <w:rsid w:val="008C3578"/>
    <w:rsid w:val="008E323F"/>
    <w:rsid w:val="008E566C"/>
    <w:rsid w:val="008E634D"/>
    <w:rsid w:val="0090333F"/>
    <w:rsid w:val="009041E9"/>
    <w:rsid w:val="00913D39"/>
    <w:rsid w:val="009158CB"/>
    <w:rsid w:val="00916418"/>
    <w:rsid w:val="0091769D"/>
    <w:rsid w:val="0092577F"/>
    <w:rsid w:val="00926006"/>
    <w:rsid w:val="009278B1"/>
    <w:rsid w:val="00934DD2"/>
    <w:rsid w:val="00940E50"/>
    <w:rsid w:val="009453A1"/>
    <w:rsid w:val="0094698D"/>
    <w:rsid w:val="009474B1"/>
    <w:rsid w:val="009554C8"/>
    <w:rsid w:val="00964F99"/>
    <w:rsid w:val="00965FA8"/>
    <w:rsid w:val="009677C3"/>
    <w:rsid w:val="009912DE"/>
    <w:rsid w:val="00991D36"/>
    <w:rsid w:val="00996512"/>
    <w:rsid w:val="009A16CE"/>
    <w:rsid w:val="009A60E4"/>
    <w:rsid w:val="009A6CFB"/>
    <w:rsid w:val="009B1E3A"/>
    <w:rsid w:val="009B31CB"/>
    <w:rsid w:val="009B7D4F"/>
    <w:rsid w:val="009C0B83"/>
    <w:rsid w:val="009C356E"/>
    <w:rsid w:val="009D7EAA"/>
    <w:rsid w:val="009F1BB0"/>
    <w:rsid w:val="009F53C0"/>
    <w:rsid w:val="009F7981"/>
    <w:rsid w:val="00A02C9D"/>
    <w:rsid w:val="00A140CB"/>
    <w:rsid w:val="00A14585"/>
    <w:rsid w:val="00A220CE"/>
    <w:rsid w:val="00A4214F"/>
    <w:rsid w:val="00A43D13"/>
    <w:rsid w:val="00A45A94"/>
    <w:rsid w:val="00A54778"/>
    <w:rsid w:val="00A6585D"/>
    <w:rsid w:val="00A7643F"/>
    <w:rsid w:val="00A77429"/>
    <w:rsid w:val="00A81A96"/>
    <w:rsid w:val="00A83D18"/>
    <w:rsid w:val="00A939F5"/>
    <w:rsid w:val="00AA2F75"/>
    <w:rsid w:val="00AA603E"/>
    <w:rsid w:val="00AC2F36"/>
    <w:rsid w:val="00AC535E"/>
    <w:rsid w:val="00AC674C"/>
    <w:rsid w:val="00AC6A32"/>
    <w:rsid w:val="00AD5381"/>
    <w:rsid w:val="00AE3BEE"/>
    <w:rsid w:val="00AE730C"/>
    <w:rsid w:val="00AF361A"/>
    <w:rsid w:val="00AF3CE2"/>
    <w:rsid w:val="00B00731"/>
    <w:rsid w:val="00B05C26"/>
    <w:rsid w:val="00B12577"/>
    <w:rsid w:val="00B13967"/>
    <w:rsid w:val="00B1546B"/>
    <w:rsid w:val="00B1689B"/>
    <w:rsid w:val="00B24AE1"/>
    <w:rsid w:val="00B27A3B"/>
    <w:rsid w:val="00B32BC4"/>
    <w:rsid w:val="00B41D7F"/>
    <w:rsid w:val="00B55E6F"/>
    <w:rsid w:val="00B63A2B"/>
    <w:rsid w:val="00B70E46"/>
    <w:rsid w:val="00B75598"/>
    <w:rsid w:val="00B80073"/>
    <w:rsid w:val="00B9762F"/>
    <w:rsid w:val="00BA0A80"/>
    <w:rsid w:val="00BB4D4F"/>
    <w:rsid w:val="00BC20E2"/>
    <w:rsid w:val="00BC665E"/>
    <w:rsid w:val="00BC6980"/>
    <w:rsid w:val="00BC7C74"/>
    <w:rsid w:val="00BD36E8"/>
    <w:rsid w:val="00BD5812"/>
    <w:rsid w:val="00BD6E98"/>
    <w:rsid w:val="00BF0FBD"/>
    <w:rsid w:val="00BF4624"/>
    <w:rsid w:val="00BF6EB4"/>
    <w:rsid w:val="00C20241"/>
    <w:rsid w:val="00C23A0D"/>
    <w:rsid w:val="00C242FF"/>
    <w:rsid w:val="00C47479"/>
    <w:rsid w:val="00C565D8"/>
    <w:rsid w:val="00C60ED6"/>
    <w:rsid w:val="00C61F01"/>
    <w:rsid w:val="00C67CCB"/>
    <w:rsid w:val="00C71381"/>
    <w:rsid w:val="00C773F5"/>
    <w:rsid w:val="00C77D8B"/>
    <w:rsid w:val="00C85D4F"/>
    <w:rsid w:val="00C906A3"/>
    <w:rsid w:val="00CB793F"/>
    <w:rsid w:val="00CD01B7"/>
    <w:rsid w:val="00CD0987"/>
    <w:rsid w:val="00CE0042"/>
    <w:rsid w:val="00CE4AFE"/>
    <w:rsid w:val="00D004DE"/>
    <w:rsid w:val="00D07D75"/>
    <w:rsid w:val="00D16E4F"/>
    <w:rsid w:val="00D261BE"/>
    <w:rsid w:val="00D31E2E"/>
    <w:rsid w:val="00D3454F"/>
    <w:rsid w:val="00D35BD8"/>
    <w:rsid w:val="00D42AE3"/>
    <w:rsid w:val="00D43D6E"/>
    <w:rsid w:val="00D44BBC"/>
    <w:rsid w:val="00D47E5C"/>
    <w:rsid w:val="00D5312D"/>
    <w:rsid w:val="00D56F7B"/>
    <w:rsid w:val="00D614AB"/>
    <w:rsid w:val="00D61CB4"/>
    <w:rsid w:val="00D65E94"/>
    <w:rsid w:val="00D6724F"/>
    <w:rsid w:val="00D72EBE"/>
    <w:rsid w:val="00D8029F"/>
    <w:rsid w:val="00D83446"/>
    <w:rsid w:val="00D85DFE"/>
    <w:rsid w:val="00DA02B8"/>
    <w:rsid w:val="00DA1A9B"/>
    <w:rsid w:val="00DA440F"/>
    <w:rsid w:val="00DB4495"/>
    <w:rsid w:val="00DB4E09"/>
    <w:rsid w:val="00DC5FC2"/>
    <w:rsid w:val="00DC638D"/>
    <w:rsid w:val="00DE3871"/>
    <w:rsid w:val="00DF433D"/>
    <w:rsid w:val="00E020DA"/>
    <w:rsid w:val="00E03783"/>
    <w:rsid w:val="00E12DF0"/>
    <w:rsid w:val="00E202AF"/>
    <w:rsid w:val="00E510BE"/>
    <w:rsid w:val="00E539AD"/>
    <w:rsid w:val="00E5496F"/>
    <w:rsid w:val="00E560E4"/>
    <w:rsid w:val="00E71BC2"/>
    <w:rsid w:val="00E82A08"/>
    <w:rsid w:val="00EA0015"/>
    <w:rsid w:val="00EA061C"/>
    <w:rsid w:val="00EA69E4"/>
    <w:rsid w:val="00EB2A2C"/>
    <w:rsid w:val="00EC28C5"/>
    <w:rsid w:val="00EC6840"/>
    <w:rsid w:val="00EC746F"/>
    <w:rsid w:val="00ED3972"/>
    <w:rsid w:val="00ED3DDD"/>
    <w:rsid w:val="00ED6661"/>
    <w:rsid w:val="00EE0705"/>
    <w:rsid w:val="00EE64D6"/>
    <w:rsid w:val="00F00ED0"/>
    <w:rsid w:val="00F0504B"/>
    <w:rsid w:val="00F21BEE"/>
    <w:rsid w:val="00F4171F"/>
    <w:rsid w:val="00F44811"/>
    <w:rsid w:val="00F46795"/>
    <w:rsid w:val="00F53827"/>
    <w:rsid w:val="00F629D2"/>
    <w:rsid w:val="00F64A58"/>
    <w:rsid w:val="00F720F5"/>
    <w:rsid w:val="00F73E3F"/>
    <w:rsid w:val="00F95750"/>
    <w:rsid w:val="00FA2863"/>
    <w:rsid w:val="00FA38DD"/>
    <w:rsid w:val="00FA3AAD"/>
    <w:rsid w:val="00FB00AD"/>
    <w:rsid w:val="00FB0ADF"/>
    <w:rsid w:val="00FB602E"/>
    <w:rsid w:val="00FB758B"/>
    <w:rsid w:val="00FC2AAE"/>
    <w:rsid w:val="00FC4879"/>
    <w:rsid w:val="00FD140A"/>
    <w:rsid w:val="00FE04C8"/>
    <w:rsid w:val="00FE0A22"/>
    <w:rsid w:val="00FE0FBF"/>
    <w:rsid w:val="00FE1412"/>
    <w:rsid w:val="00FE1547"/>
    <w:rsid w:val="00FE6CB7"/>
    <w:rsid w:val="00FF072A"/>
    <w:rsid w:val="00FF3736"/>
    <w:rsid w:val="00FF54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A1CF9"/>
  <w15:docId w15:val="{4D0E91F2-458B-4EE6-81FF-59121376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654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A6F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5A6F0A"/>
    <w:rPr>
      <w:sz w:val="18"/>
      <w:szCs w:val="18"/>
    </w:rPr>
  </w:style>
  <w:style w:type="paragraph" w:styleId="a6">
    <w:name w:val="footer"/>
    <w:basedOn w:val="a0"/>
    <w:link w:val="a7"/>
    <w:uiPriority w:val="99"/>
    <w:unhideWhenUsed/>
    <w:rsid w:val="005A6F0A"/>
    <w:pPr>
      <w:tabs>
        <w:tab w:val="center" w:pos="4153"/>
        <w:tab w:val="right" w:pos="8306"/>
      </w:tabs>
      <w:snapToGrid w:val="0"/>
      <w:jc w:val="left"/>
    </w:pPr>
    <w:rPr>
      <w:sz w:val="18"/>
      <w:szCs w:val="18"/>
    </w:rPr>
  </w:style>
  <w:style w:type="character" w:customStyle="1" w:styleId="a7">
    <w:name w:val="页脚 字符"/>
    <w:basedOn w:val="a1"/>
    <w:link w:val="a6"/>
    <w:uiPriority w:val="99"/>
    <w:rsid w:val="005A6F0A"/>
    <w:rPr>
      <w:sz w:val="18"/>
      <w:szCs w:val="18"/>
    </w:rPr>
  </w:style>
  <w:style w:type="table" w:customStyle="1" w:styleId="1">
    <w:name w:val="网格型1"/>
    <w:basedOn w:val="a2"/>
    <w:next w:val="a8"/>
    <w:uiPriority w:val="59"/>
    <w:qFormat/>
    <w:rsid w:val="00B00731"/>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qFormat/>
    <w:rsid w:val="00B0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2"/>
    <w:next w:val="a8"/>
    <w:uiPriority w:val="59"/>
    <w:qFormat/>
    <w:locked/>
    <w:rsid w:val="00B00731"/>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2"/>
    <w:next w:val="a8"/>
    <w:uiPriority w:val="59"/>
    <w:qFormat/>
    <w:rsid w:val="00840DDC"/>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F21BEE"/>
    <w:rPr>
      <w:sz w:val="18"/>
      <w:szCs w:val="18"/>
    </w:rPr>
  </w:style>
  <w:style w:type="character" w:customStyle="1" w:styleId="aa">
    <w:name w:val="批注框文本 字符"/>
    <w:basedOn w:val="a1"/>
    <w:link w:val="a9"/>
    <w:uiPriority w:val="99"/>
    <w:semiHidden/>
    <w:rsid w:val="00F21BEE"/>
    <w:rPr>
      <w:sz w:val="18"/>
      <w:szCs w:val="18"/>
    </w:rPr>
  </w:style>
  <w:style w:type="paragraph" w:styleId="ab">
    <w:name w:val="List Paragraph"/>
    <w:basedOn w:val="a0"/>
    <w:uiPriority w:val="34"/>
    <w:qFormat/>
    <w:rsid w:val="00EA061C"/>
    <w:pPr>
      <w:ind w:firstLineChars="200" w:firstLine="420"/>
    </w:pPr>
    <w:rPr>
      <w:rFonts w:ascii="Calibri" w:eastAsia="宋体" w:hAnsi="Calibri" w:cs="Times New Roman"/>
    </w:rPr>
  </w:style>
  <w:style w:type="paragraph" w:customStyle="1" w:styleId="a">
    <w:name w:val="正文表标题"/>
    <w:next w:val="a0"/>
    <w:qFormat/>
    <w:rsid w:val="00D65E94"/>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20">
    <w:name w:val="封面标准号2"/>
    <w:uiPriority w:val="99"/>
    <w:qFormat/>
    <w:rsid w:val="00C7138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c">
    <w:name w:val="段"/>
    <w:link w:val="Char"/>
    <w:qFormat/>
    <w:rsid w:val="00176600"/>
    <w:pPr>
      <w:tabs>
        <w:tab w:val="center" w:pos="4201"/>
        <w:tab w:val="right" w:leader="dot" w:pos="9298"/>
      </w:tabs>
      <w:autoSpaceDE w:val="0"/>
      <w:autoSpaceDN w:val="0"/>
      <w:ind w:firstLineChars="200" w:firstLine="420"/>
      <w:jc w:val="both"/>
    </w:pPr>
    <w:rPr>
      <w:rFonts w:ascii="宋体" w:eastAsia="宋体" w:hAnsi="Times New Roman" w:cs="宋体"/>
      <w:kern w:val="0"/>
      <w:szCs w:val="21"/>
    </w:rPr>
  </w:style>
  <w:style w:type="character" w:customStyle="1" w:styleId="Char">
    <w:name w:val="段 Char"/>
    <w:basedOn w:val="a1"/>
    <w:link w:val="ac"/>
    <w:qFormat/>
    <w:locked/>
    <w:rsid w:val="00176600"/>
    <w:rPr>
      <w:rFonts w:ascii="宋体" w:eastAsia="宋体" w:hAnsi="Times New Roman" w:cs="宋体"/>
      <w:kern w:val="0"/>
      <w:szCs w:val="21"/>
    </w:rPr>
  </w:style>
  <w:style w:type="table" w:customStyle="1" w:styleId="4">
    <w:name w:val="网格型4"/>
    <w:basedOn w:val="a2"/>
    <w:next w:val="a8"/>
    <w:qFormat/>
    <w:rsid w:val="007153E8"/>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2"/>
    <w:next w:val="a8"/>
    <w:qFormat/>
    <w:rsid w:val="009F1BB0"/>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2"/>
    <w:next w:val="a8"/>
    <w:qFormat/>
    <w:rsid w:val="00916418"/>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88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6F2F-D8C4-45DD-8A78-CC29449C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wangzequn</dc:creator>
  <cp:keywords/>
  <dc:description/>
  <cp:lastModifiedBy>王 超</cp:lastModifiedBy>
  <cp:revision>3</cp:revision>
  <dcterms:created xsi:type="dcterms:W3CDTF">2021-06-09T13:31:00Z</dcterms:created>
  <dcterms:modified xsi:type="dcterms:W3CDTF">2021-06-09T14:10:00Z</dcterms:modified>
</cp:coreProperties>
</file>