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468" w:rsidRDefault="005A6F0A" w:rsidP="0061121B">
      <w:pPr>
        <w:adjustRightInd w:val="0"/>
        <w:snapToGrid w:val="0"/>
        <w:spacing w:line="500" w:lineRule="exact"/>
        <w:jc w:val="center"/>
        <w:rPr>
          <w:rFonts w:ascii="Times New Roman" w:eastAsia="仿宋_GB2312" w:hAnsi="Times New Roman" w:cs="仿宋_GB2312"/>
          <w:b/>
          <w:bCs/>
          <w:kern w:val="0"/>
          <w:sz w:val="32"/>
          <w:szCs w:val="32"/>
        </w:rPr>
      </w:pPr>
      <w:bookmarkStart w:id="0" w:name="_Toc481651147"/>
      <w:r w:rsidRPr="0061121B">
        <w:rPr>
          <w:rFonts w:ascii="Times New Roman" w:eastAsia="仿宋_GB2312" w:hAnsi="Times New Roman" w:cs="仿宋_GB2312"/>
          <w:b/>
          <w:bCs/>
          <w:kern w:val="0"/>
          <w:sz w:val="32"/>
          <w:szCs w:val="32"/>
        </w:rPr>
        <w:t>《</w:t>
      </w:r>
      <w:r w:rsidR="0059157E">
        <w:rPr>
          <w:rFonts w:ascii="Times New Roman" w:eastAsia="仿宋_GB2312" w:hAnsi="Times New Roman" w:cs="仿宋_GB2312" w:hint="eastAsia"/>
          <w:b/>
          <w:bCs/>
          <w:kern w:val="0"/>
          <w:sz w:val="32"/>
          <w:szCs w:val="32"/>
        </w:rPr>
        <w:t>”领跑者”标准评价要求</w:t>
      </w:r>
      <w:r w:rsidR="0059157E">
        <w:rPr>
          <w:rFonts w:ascii="Times New Roman" w:eastAsia="仿宋_GB2312" w:hAnsi="Times New Roman" w:cs="仿宋_GB2312" w:hint="eastAsia"/>
          <w:b/>
          <w:bCs/>
          <w:kern w:val="0"/>
          <w:sz w:val="32"/>
          <w:szCs w:val="32"/>
        </w:rPr>
        <w:t xml:space="preserve"> 600MPa</w:t>
      </w:r>
      <w:r w:rsidR="0059157E">
        <w:rPr>
          <w:rFonts w:ascii="Times New Roman" w:eastAsia="仿宋_GB2312" w:hAnsi="Times New Roman" w:cs="仿宋_GB2312" w:hint="eastAsia"/>
          <w:b/>
          <w:bCs/>
          <w:kern w:val="0"/>
          <w:sz w:val="32"/>
          <w:szCs w:val="32"/>
        </w:rPr>
        <w:t>级抗震热轧带肋钢筋</w:t>
      </w:r>
      <w:r w:rsidRPr="0061121B">
        <w:rPr>
          <w:rFonts w:ascii="Times New Roman" w:eastAsia="仿宋_GB2312" w:hAnsi="Times New Roman" w:cs="仿宋_GB2312"/>
          <w:b/>
          <w:bCs/>
          <w:kern w:val="0"/>
          <w:sz w:val="32"/>
          <w:szCs w:val="32"/>
        </w:rPr>
        <w:t>》</w:t>
      </w:r>
    </w:p>
    <w:p w:rsidR="005A6F0A" w:rsidRPr="0061121B" w:rsidRDefault="005A6F0A" w:rsidP="0061121B">
      <w:pPr>
        <w:adjustRightInd w:val="0"/>
        <w:snapToGrid w:val="0"/>
        <w:spacing w:line="500" w:lineRule="exact"/>
        <w:jc w:val="center"/>
        <w:rPr>
          <w:rFonts w:ascii="Times New Roman" w:eastAsia="仿宋_GB2312" w:hAnsi="Times New Roman" w:cs="仿宋_GB2312"/>
          <w:b/>
          <w:bCs/>
          <w:kern w:val="0"/>
          <w:sz w:val="32"/>
          <w:szCs w:val="32"/>
        </w:rPr>
      </w:pPr>
      <w:r w:rsidRPr="0061121B">
        <w:rPr>
          <w:rFonts w:ascii="Times New Roman" w:eastAsia="仿宋_GB2312" w:hAnsi="Times New Roman" w:cs="仿宋_GB2312"/>
          <w:b/>
          <w:bCs/>
          <w:kern w:val="0"/>
          <w:sz w:val="32"/>
          <w:szCs w:val="32"/>
        </w:rPr>
        <w:t>团体标准编制说明</w:t>
      </w:r>
    </w:p>
    <w:p w:rsidR="00061866" w:rsidRPr="00061866" w:rsidRDefault="00061866" w:rsidP="00027A9C">
      <w:pPr>
        <w:jc w:val="center"/>
        <w:rPr>
          <w:rFonts w:ascii="Times New Roman" w:eastAsia="黑体" w:hAnsi="Times New Roman" w:cs="Times New Roman"/>
          <w:b/>
          <w:bCs/>
          <w:sz w:val="32"/>
          <w:szCs w:val="32"/>
        </w:rPr>
      </w:pPr>
    </w:p>
    <w:bookmarkEnd w:id="0"/>
    <w:p w:rsidR="005A6F0A" w:rsidRPr="005A6F0A" w:rsidRDefault="005A6F0A" w:rsidP="005A6F0A">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b/>
          <w:kern w:val="44"/>
          <w:sz w:val="28"/>
          <w:szCs w:val="28"/>
        </w:rPr>
        <w:t>一、任务来源</w:t>
      </w:r>
    </w:p>
    <w:p w:rsidR="005A6F0A" w:rsidRPr="005A6F0A" w:rsidRDefault="003716E2" w:rsidP="005A6F0A">
      <w:pPr>
        <w:spacing w:line="360" w:lineRule="auto"/>
        <w:ind w:firstLineChars="200" w:firstLine="560"/>
        <w:rPr>
          <w:rFonts w:ascii="Times New Roman" w:eastAsia="仿宋" w:hAnsi="Times New Roman" w:cs="Times New Roman"/>
          <w:sz w:val="28"/>
          <w:szCs w:val="28"/>
        </w:rPr>
      </w:pPr>
      <w:r>
        <w:rPr>
          <w:rFonts w:ascii="Times New Roman" w:eastAsia="仿宋_GB2312" w:hAnsi="Times New Roman" w:cs="仿宋_GB2312" w:hint="eastAsia"/>
          <w:sz w:val="28"/>
          <w:szCs w:val="28"/>
        </w:rPr>
        <w:t>本文件</w:t>
      </w:r>
      <w:r w:rsidR="0061121B" w:rsidRPr="00694208">
        <w:rPr>
          <w:rFonts w:ascii="Times New Roman" w:eastAsia="仿宋_GB2312" w:hAnsi="Times New Roman" w:cs="仿宋_GB2312" w:hint="eastAsia"/>
          <w:sz w:val="28"/>
          <w:szCs w:val="28"/>
        </w:rPr>
        <w:t>由</w:t>
      </w:r>
      <w:r w:rsidR="0061121B" w:rsidRPr="00694208">
        <w:rPr>
          <w:rFonts w:ascii="Times New Roman" w:eastAsia="仿宋_GB2312" w:hAnsi="Times New Roman" w:cs="仿宋_GB2312" w:hint="eastAsia"/>
          <w:kern w:val="0"/>
          <w:sz w:val="28"/>
          <w:szCs w:val="28"/>
        </w:rPr>
        <w:t>中国特钢企业协会</w:t>
      </w:r>
      <w:r w:rsidR="0061121B" w:rsidRPr="00694208">
        <w:rPr>
          <w:rFonts w:ascii="Times New Roman" w:eastAsia="仿宋_GB2312" w:hAnsi="Times New Roman" w:cs="仿宋_GB2312" w:hint="eastAsia"/>
          <w:sz w:val="28"/>
          <w:szCs w:val="28"/>
        </w:rPr>
        <w:t>提出并归口，冶金工业规划研究院作为标准组织协调单位。</w:t>
      </w:r>
      <w:r w:rsidR="0061121B" w:rsidRPr="00694208">
        <w:rPr>
          <w:rFonts w:ascii="Times New Roman" w:eastAsia="仿宋_GB2312" w:hAnsi="Times New Roman" w:cs="仿宋_GB2312" w:hint="eastAsia"/>
          <w:kern w:val="0"/>
          <w:sz w:val="28"/>
          <w:szCs w:val="28"/>
        </w:rPr>
        <w:t>根据中国特钢企业协会团体标准化工作委员会</w:t>
      </w:r>
      <w:r w:rsidR="0061121B" w:rsidRPr="00694208">
        <w:rPr>
          <w:rFonts w:ascii="Times New Roman" w:eastAsia="仿宋_GB2312" w:hAnsi="Times New Roman" w:cs="Times New Roman"/>
          <w:kern w:val="0"/>
          <w:sz w:val="28"/>
          <w:szCs w:val="28"/>
        </w:rPr>
        <w:t>20</w:t>
      </w:r>
      <w:r w:rsidR="0061121B">
        <w:rPr>
          <w:rFonts w:ascii="Times New Roman" w:eastAsia="仿宋_GB2312" w:hAnsi="Times New Roman" w:cs="Times New Roman"/>
          <w:kern w:val="0"/>
          <w:sz w:val="28"/>
          <w:szCs w:val="28"/>
        </w:rPr>
        <w:t>2</w:t>
      </w:r>
      <w:r w:rsidR="0059157E">
        <w:rPr>
          <w:rFonts w:ascii="Times New Roman" w:eastAsia="仿宋_GB2312" w:hAnsi="Times New Roman" w:cs="Times New Roman"/>
          <w:kern w:val="0"/>
          <w:sz w:val="28"/>
          <w:szCs w:val="28"/>
        </w:rPr>
        <w:t>1</w:t>
      </w:r>
      <w:r w:rsidR="0061121B" w:rsidRPr="00694208">
        <w:rPr>
          <w:rFonts w:ascii="Times New Roman" w:eastAsia="仿宋_GB2312" w:hAnsi="Times New Roman" w:cs="仿宋_GB2312" w:hint="eastAsia"/>
          <w:kern w:val="0"/>
          <w:sz w:val="28"/>
          <w:szCs w:val="28"/>
        </w:rPr>
        <w:t>年第</w:t>
      </w:r>
      <w:r w:rsidR="0059157E">
        <w:rPr>
          <w:rFonts w:ascii="Times New Roman" w:eastAsia="仿宋_GB2312" w:hAnsi="Times New Roman" w:cs="仿宋_GB2312" w:hint="eastAsia"/>
          <w:kern w:val="0"/>
          <w:sz w:val="28"/>
          <w:szCs w:val="28"/>
        </w:rPr>
        <w:t>三</w:t>
      </w:r>
      <w:r w:rsidR="0061121B" w:rsidRPr="00694208">
        <w:rPr>
          <w:rFonts w:ascii="Times New Roman" w:eastAsia="仿宋_GB2312" w:hAnsi="Times New Roman" w:cs="仿宋_GB2312" w:hint="eastAsia"/>
          <w:kern w:val="0"/>
          <w:sz w:val="28"/>
          <w:szCs w:val="28"/>
        </w:rPr>
        <w:t>批团体标准制修订计划，由冶金工业规划研究</w:t>
      </w:r>
      <w:r w:rsidR="0061121B">
        <w:rPr>
          <w:rFonts w:ascii="Times New Roman" w:eastAsia="仿宋_GB2312" w:hAnsi="Times New Roman" w:cs="仿宋_GB2312" w:hint="eastAsia"/>
          <w:kern w:val="0"/>
          <w:sz w:val="28"/>
          <w:szCs w:val="28"/>
        </w:rPr>
        <w:t>院</w:t>
      </w:r>
      <w:r w:rsidR="0061121B" w:rsidRPr="00694208">
        <w:rPr>
          <w:rFonts w:ascii="Times New Roman" w:eastAsia="仿宋_GB2312" w:hAnsi="Times New Roman" w:cs="仿宋_GB2312" w:hint="eastAsia"/>
          <w:kern w:val="0"/>
          <w:sz w:val="28"/>
          <w:szCs w:val="28"/>
        </w:rPr>
        <w:t>起草</w:t>
      </w:r>
      <w:r w:rsidR="0061121B" w:rsidRPr="00694208">
        <w:rPr>
          <w:rFonts w:ascii="Times New Roman" w:eastAsia="仿宋_GB2312" w:hAnsi="Times New Roman" w:cs="仿宋_GB2312" w:hint="eastAsia"/>
          <w:sz w:val="28"/>
          <w:szCs w:val="28"/>
        </w:rPr>
        <w:t>，计划于</w:t>
      </w:r>
      <w:r w:rsidR="0061121B" w:rsidRPr="00694208">
        <w:rPr>
          <w:rFonts w:ascii="Times New Roman" w:eastAsia="仿宋_GB2312" w:hAnsi="Times New Roman" w:cs="Times New Roman"/>
          <w:sz w:val="28"/>
          <w:szCs w:val="28"/>
        </w:rPr>
        <w:t>20</w:t>
      </w:r>
      <w:r w:rsidR="0061121B">
        <w:rPr>
          <w:rFonts w:ascii="Times New Roman" w:eastAsia="仿宋_GB2312" w:hAnsi="Times New Roman" w:cs="Times New Roman"/>
          <w:sz w:val="28"/>
          <w:szCs w:val="28"/>
        </w:rPr>
        <w:t>2</w:t>
      </w:r>
      <w:r w:rsidR="0059157E">
        <w:rPr>
          <w:rFonts w:ascii="Times New Roman" w:eastAsia="仿宋_GB2312" w:hAnsi="Times New Roman" w:cs="Times New Roman"/>
          <w:sz w:val="28"/>
          <w:szCs w:val="28"/>
        </w:rPr>
        <w:t>1</w:t>
      </w:r>
      <w:r w:rsidR="0061121B" w:rsidRPr="00694208">
        <w:rPr>
          <w:rFonts w:ascii="Times New Roman" w:eastAsia="仿宋_GB2312" w:hAnsi="Times New Roman" w:cs="仿宋_GB2312" w:hint="eastAsia"/>
          <w:sz w:val="28"/>
          <w:szCs w:val="28"/>
        </w:rPr>
        <w:t>年完成《</w:t>
      </w:r>
      <w:r w:rsidR="0059157E">
        <w:rPr>
          <w:rFonts w:ascii="Times New Roman" w:eastAsia="仿宋_GB2312" w:hAnsi="Times New Roman" w:cs="仿宋_GB2312" w:hint="eastAsia"/>
          <w:bCs/>
          <w:kern w:val="0"/>
          <w:sz w:val="28"/>
          <w:szCs w:val="28"/>
        </w:rPr>
        <w:t>”领跑者”标准评价要求</w:t>
      </w:r>
      <w:r w:rsidR="0059157E">
        <w:rPr>
          <w:rFonts w:ascii="Times New Roman" w:eastAsia="仿宋_GB2312" w:hAnsi="Times New Roman" w:cs="仿宋_GB2312" w:hint="eastAsia"/>
          <w:bCs/>
          <w:kern w:val="0"/>
          <w:sz w:val="28"/>
          <w:szCs w:val="28"/>
        </w:rPr>
        <w:t xml:space="preserve"> 600MPa</w:t>
      </w:r>
      <w:r w:rsidR="0059157E">
        <w:rPr>
          <w:rFonts w:ascii="Times New Roman" w:eastAsia="仿宋_GB2312" w:hAnsi="Times New Roman" w:cs="仿宋_GB2312" w:hint="eastAsia"/>
          <w:bCs/>
          <w:kern w:val="0"/>
          <w:sz w:val="28"/>
          <w:szCs w:val="28"/>
        </w:rPr>
        <w:t>级抗震热轧带肋钢筋</w:t>
      </w:r>
      <w:r w:rsidR="0061121B" w:rsidRPr="00694208">
        <w:rPr>
          <w:rFonts w:ascii="Times New Roman" w:eastAsia="仿宋_GB2312" w:hAnsi="Times New Roman" w:cs="仿宋_GB2312" w:hint="eastAsia"/>
          <w:sz w:val="28"/>
          <w:szCs w:val="28"/>
        </w:rPr>
        <w:t>》标准的制定工作。</w:t>
      </w:r>
    </w:p>
    <w:p w:rsidR="005A6F0A" w:rsidRPr="00553213" w:rsidRDefault="005A6F0A" w:rsidP="005A6F0A">
      <w:pPr>
        <w:keepNext/>
        <w:keepLines/>
        <w:spacing w:line="360" w:lineRule="auto"/>
        <w:outlineLvl w:val="0"/>
        <w:rPr>
          <w:rFonts w:ascii="Times New Roman" w:eastAsia="仿宋_GB2312" w:hAnsi="Times New Roman" w:cs="Times New Roman"/>
          <w:b/>
          <w:kern w:val="44"/>
          <w:sz w:val="28"/>
          <w:szCs w:val="28"/>
        </w:rPr>
      </w:pPr>
      <w:r w:rsidRPr="00553213">
        <w:rPr>
          <w:rFonts w:ascii="Times New Roman" w:eastAsia="仿宋_GB2312" w:hAnsi="Times New Roman" w:cs="Times New Roman"/>
          <w:b/>
          <w:kern w:val="44"/>
          <w:sz w:val="28"/>
          <w:szCs w:val="28"/>
        </w:rPr>
        <w:t>二、制定</w:t>
      </w:r>
      <w:r w:rsidR="003716E2">
        <w:rPr>
          <w:rFonts w:ascii="Times New Roman" w:eastAsia="仿宋_GB2312" w:hAnsi="Times New Roman" w:cs="Times New Roman"/>
          <w:b/>
          <w:kern w:val="44"/>
          <w:sz w:val="28"/>
          <w:szCs w:val="28"/>
        </w:rPr>
        <w:t>本文件</w:t>
      </w:r>
      <w:r w:rsidRPr="00553213">
        <w:rPr>
          <w:rFonts w:ascii="Times New Roman" w:eastAsia="仿宋_GB2312" w:hAnsi="Times New Roman" w:cs="Times New Roman"/>
          <w:b/>
          <w:kern w:val="44"/>
          <w:sz w:val="28"/>
          <w:szCs w:val="28"/>
        </w:rPr>
        <w:t>的目的和意义</w:t>
      </w:r>
    </w:p>
    <w:p w:rsidR="0059157E" w:rsidRPr="0059157E" w:rsidRDefault="0059157E" w:rsidP="0059157E">
      <w:pPr>
        <w:spacing w:line="360" w:lineRule="auto"/>
        <w:ind w:firstLineChars="200" w:firstLine="560"/>
        <w:rPr>
          <w:rFonts w:ascii="Times New Roman" w:eastAsia="仿宋" w:hAnsi="Times New Roman" w:cs="Times New Roman" w:hint="eastAsia"/>
          <w:sz w:val="28"/>
          <w:szCs w:val="28"/>
        </w:rPr>
      </w:pPr>
      <w:r w:rsidRPr="0059157E">
        <w:rPr>
          <w:rFonts w:ascii="Times New Roman" w:eastAsia="仿宋" w:hAnsi="Times New Roman" w:cs="Times New Roman" w:hint="eastAsia"/>
          <w:sz w:val="28"/>
          <w:szCs w:val="28"/>
        </w:rPr>
        <w:t>我国钢筋占钢铁总产量的</w:t>
      </w:r>
      <w:r w:rsidRPr="0059157E">
        <w:rPr>
          <w:rFonts w:ascii="Times New Roman" w:eastAsia="仿宋" w:hAnsi="Times New Roman" w:cs="Times New Roman" w:hint="eastAsia"/>
          <w:sz w:val="28"/>
          <w:szCs w:val="28"/>
        </w:rPr>
        <w:t>25%</w:t>
      </w:r>
      <w:r w:rsidRPr="0059157E">
        <w:rPr>
          <w:rFonts w:ascii="Times New Roman" w:eastAsia="仿宋" w:hAnsi="Times New Roman" w:cs="Times New Roman" w:hint="eastAsia"/>
          <w:sz w:val="28"/>
          <w:szCs w:val="28"/>
        </w:rPr>
        <w:t>左右，提高钢筋的档次、质量和稳定性，将推动钢铁“减量化”应用，支撑建筑业的转型升级；同时，缓解钢铁生产的资源、能源和环境制约，对我国钢铁工业的加快实现由注重规模扩张项注重品质质量效益转变具有十分重要意义。</w:t>
      </w:r>
      <w:r w:rsidRPr="0059157E">
        <w:rPr>
          <w:rFonts w:ascii="Times New Roman" w:eastAsia="仿宋" w:hAnsi="Times New Roman" w:cs="Times New Roman" w:hint="eastAsia"/>
          <w:sz w:val="28"/>
          <w:szCs w:val="28"/>
        </w:rPr>
        <w:t>600MPa</w:t>
      </w:r>
      <w:r w:rsidRPr="0059157E">
        <w:rPr>
          <w:rFonts w:ascii="Times New Roman" w:eastAsia="仿宋" w:hAnsi="Times New Roman" w:cs="Times New Roman" w:hint="eastAsia"/>
          <w:sz w:val="28"/>
          <w:szCs w:val="28"/>
        </w:rPr>
        <w:t>级抗震钢筋作为节材节能环保产品，在建筑工程中推广应用，是加快转变经济发展方式的有效途径，是建设资源节约型、环境友好型社会的重要举措，对推动钢铁工业和建筑业结构调整、转型升级具有重大意义。目前国内先进的钢筋企业均开发生产了</w:t>
      </w:r>
      <w:r>
        <w:rPr>
          <w:rFonts w:ascii="Times New Roman" w:eastAsia="仿宋" w:hAnsi="Times New Roman" w:cs="Times New Roman" w:hint="eastAsia"/>
          <w:sz w:val="28"/>
          <w:szCs w:val="28"/>
        </w:rPr>
        <w:t>600MPa</w:t>
      </w:r>
      <w:r>
        <w:rPr>
          <w:rFonts w:ascii="Times New Roman" w:eastAsia="仿宋" w:hAnsi="Times New Roman" w:cs="Times New Roman" w:hint="eastAsia"/>
          <w:sz w:val="28"/>
          <w:szCs w:val="28"/>
        </w:rPr>
        <w:t>级抗震热轧带肋钢筋</w:t>
      </w:r>
      <w:r w:rsidRPr="0059157E">
        <w:rPr>
          <w:rFonts w:ascii="Times New Roman" w:eastAsia="仿宋" w:hAnsi="Times New Roman" w:cs="Times New Roman" w:hint="eastAsia"/>
          <w:sz w:val="28"/>
          <w:szCs w:val="28"/>
        </w:rPr>
        <w:t>产品，但由于目前国家标准</w:t>
      </w:r>
      <w:r w:rsidRPr="0059157E">
        <w:rPr>
          <w:rFonts w:ascii="Times New Roman" w:eastAsia="仿宋" w:hAnsi="Times New Roman" w:cs="Times New Roman" w:hint="eastAsia"/>
          <w:sz w:val="28"/>
          <w:szCs w:val="28"/>
        </w:rPr>
        <w:t>GB/T 1499.2-2018</w:t>
      </w:r>
      <w:r w:rsidRPr="0059157E">
        <w:rPr>
          <w:rFonts w:ascii="Times New Roman" w:eastAsia="仿宋" w:hAnsi="Times New Roman" w:cs="Times New Roman" w:hint="eastAsia"/>
          <w:sz w:val="28"/>
          <w:szCs w:val="28"/>
        </w:rPr>
        <w:t>中未包括抗震级别</w:t>
      </w:r>
      <w:r w:rsidRPr="0059157E">
        <w:rPr>
          <w:rFonts w:ascii="Times New Roman" w:eastAsia="仿宋" w:hAnsi="Times New Roman" w:cs="Times New Roman" w:hint="eastAsia"/>
          <w:sz w:val="28"/>
          <w:szCs w:val="28"/>
        </w:rPr>
        <w:t>HRB600E</w:t>
      </w:r>
      <w:r w:rsidRPr="0059157E">
        <w:rPr>
          <w:rFonts w:ascii="Times New Roman" w:eastAsia="仿宋" w:hAnsi="Times New Roman" w:cs="Times New Roman" w:hint="eastAsia"/>
          <w:sz w:val="28"/>
          <w:szCs w:val="28"/>
        </w:rPr>
        <w:t>牌号，企业根据自身技术特点和不同下游用户要求，对该产品制定各自的企业标准。为规范</w:t>
      </w:r>
      <w:r>
        <w:rPr>
          <w:rFonts w:ascii="Times New Roman" w:eastAsia="仿宋" w:hAnsi="Times New Roman" w:cs="Times New Roman" w:hint="eastAsia"/>
          <w:sz w:val="28"/>
          <w:szCs w:val="28"/>
        </w:rPr>
        <w:t>600MPa</w:t>
      </w:r>
      <w:r>
        <w:rPr>
          <w:rFonts w:ascii="Times New Roman" w:eastAsia="仿宋" w:hAnsi="Times New Roman" w:cs="Times New Roman" w:hint="eastAsia"/>
          <w:sz w:val="28"/>
          <w:szCs w:val="28"/>
        </w:rPr>
        <w:t>级抗震热轧带肋钢筋</w:t>
      </w:r>
      <w:r w:rsidRPr="0059157E">
        <w:rPr>
          <w:rFonts w:ascii="Times New Roman" w:eastAsia="仿宋" w:hAnsi="Times New Roman" w:cs="Times New Roman" w:hint="eastAsia"/>
          <w:sz w:val="28"/>
          <w:szCs w:val="28"/>
        </w:rPr>
        <w:t>的产品质量，有必要对该产品的企业标准进行对比</w:t>
      </w:r>
      <w:r w:rsidRPr="0059157E">
        <w:rPr>
          <w:rFonts w:ascii="Times New Roman" w:eastAsia="仿宋" w:hAnsi="Times New Roman" w:cs="Times New Roman" w:hint="eastAsia"/>
          <w:sz w:val="28"/>
          <w:szCs w:val="28"/>
        </w:rPr>
        <w:lastRenderedPageBreak/>
        <w:t>分析和评价，通过企业标准的评价引领该产品的质量提升。</w:t>
      </w:r>
    </w:p>
    <w:p w:rsidR="0059157E" w:rsidRPr="0059157E" w:rsidRDefault="0059157E" w:rsidP="0059157E">
      <w:pPr>
        <w:spacing w:line="360" w:lineRule="auto"/>
        <w:ind w:firstLineChars="200" w:firstLine="560"/>
        <w:rPr>
          <w:rFonts w:ascii="Times New Roman" w:eastAsia="仿宋" w:hAnsi="Times New Roman" w:cs="Times New Roman"/>
          <w:sz w:val="28"/>
          <w:szCs w:val="28"/>
        </w:rPr>
      </w:pPr>
      <w:r w:rsidRPr="0059157E">
        <w:rPr>
          <w:rFonts w:ascii="Times New Roman" w:eastAsia="仿宋" w:hAnsi="Times New Roman" w:cs="Times New Roman" w:hint="eastAsia"/>
          <w:sz w:val="28"/>
          <w:szCs w:val="28"/>
        </w:rPr>
        <w:t>放开搞活企业标准是标准化改革的重大举措。《标准化法》要求企业标准不得低于强制性标准，鼓励企业制定高于推荐性标准的企业标准，并提出支持利用自主创新技术制定企业标准。</w:t>
      </w:r>
      <w:r w:rsidRPr="0059157E">
        <w:rPr>
          <w:rFonts w:ascii="Times New Roman" w:eastAsia="仿宋" w:hAnsi="Times New Roman" w:cs="Times New Roman" w:hint="eastAsia"/>
          <w:sz w:val="28"/>
          <w:szCs w:val="28"/>
        </w:rPr>
        <w:t>2018</w:t>
      </w:r>
      <w:r w:rsidRPr="0059157E">
        <w:rPr>
          <w:rFonts w:ascii="Times New Roman" w:eastAsia="仿宋" w:hAnsi="Times New Roman" w:cs="Times New Roman" w:hint="eastAsia"/>
          <w:sz w:val="28"/>
          <w:szCs w:val="28"/>
        </w:rPr>
        <w:t>年，市场监管总局等八部委发布《关于实施企业标准“领跑者”制度的意见》（国市监标准〔</w:t>
      </w:r>
      <w:r w:rsidRPr="0059157E">
        <w:rPr>
          <w:rFonts w:ascii="Times New Roman" w:eastAsia="仿宋" w:hAnsi="Times New Roman" w:cs="Times New Roman" w:hint="eastAsia"/>
          <w:sz w:val="28"/>
          <w:szCs w:val="28"/>
        </w:rPr>
        <w:t>2018</w:t>
      </w:r>
      <w:r w:rsidRPr="0059157E">
        <w:rPr>
          <w:rFonts w:ascii="Times New Roman" w:eastAsia="仿宋" w:hAnsi="Times New Roman" w:cs="Times New Roman" w:hint="eastAsia"/>
          <w:sz w:val="28"/>
          <w:szCs w:val="28"/>
        </w:rPr>
        <w:t>〕</w:t>
      </w:r>
      <w:r w:rsidRPr="0059157E">
        <w:rPr>
          <w:rFonts w:ascii="Times New Roman" w:eastAsia="仿宋" w:hAnsi="Times New Roman" w:cs="Times New Roman" w:hint="eastAsia"/>
          <w:sz w:val="28"/>
          <w:szCs w:val="28"/>
        </w:rPr>
        <w:t>84</w:t>
      </w:r>
      <w:r w:rsidRPr="0059157E">
        <w:rPr>
          <w:rFonts w:ascii="Times New Roman" w:eastAsia="仿宋" w:hAnsi="Times New Roman" w:cs="Times New Roman" w:hint="eastAsia"/>
          <w:sz w:val="28"/>
          <w:szCs w:val="28"/>
        </w:rPr>
        <w:t>号）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w:t>
      </w:r>
    </w:p>
    <w:p w:rsidR="005A6F0A" w:rsidRPr="00104825" w:rsidRDefault="0059157E" w:rsidP="0059157E">
      <w:pPr>
        <w:spacing w:line="360" w:lineRule="auto"/>
        <w:ind w:firstLineChars="200" w:firstLine="560"/>
        <w:rPr>
          <w:rFonts w:ascii="Times New Roman" w:eastAsia="仿宋" w:hAnsi="Times New Roman" w:cs="Times New Roman"/>
          <w:sz w:val="28"/>
          <w:szCs w:val="28"/>
          <w:highlight w:val="yellow"/>
        </w:rPr>
      </w:pPr>
      <w:r w:rsidRPr="0059157E">
        <w:rPr>
          <w:rFonts w:ascii="Times New Roman" w:eastAsia="仿宋" w:hAnsi="Times New Roman" w:cs="Times New Roman" w:hint="eastAsia"/>
          <w:sz w:val="28"/>
          <w:szCs w:val="28"/>
        </w:rPr>
        <w:t>为切实发挥企业标准对质量提升的引领作用，本项目制定</w:t>
      </w:r>
      <w:r>
        <w:rPr>
          <w:rFonts w:ascii="Times New Roman" w:eastAsia="仿宋" w:hAnsi="Times New Roman" w:cs="Times New Roman" w:hint="eastAsia"/>
          <w:sz w:val="28"/>
          <w:szCs w:val="28"/>
        </w:rPr>
        <w:t>600MPa</w:t>
      </w:r>
      <w:r>
        <w:rPr>
          <w:rFonts w:ascii="Times New Roman" w:eastAsia="仿宋" w:hAnsi="Times New Roman" w:cs="Times New Roman" w:hint="eastAsia"/>
          <w:sz w:val="28"/>
          <w:szCs w:val="28"/>
        </w:rPr>
        <w:t>级抗震热轧带肋钢筋</w:t>
      </w:r>
      <w:r w:rsidRPr="0059157E">
        <w:rPr>
          <w:rFonts w:ascii="Times New Roman" w:eastAsia="仿宋" w:hAnsi="Times New Roman" w:cs="Times New Roman" w:hint="eastAsia"/>
          <w:sz w:val="28"/>
          <w:szCs w:val="28"/>
        </w:rPr>
        <w:t>产品领跑者标准评价技术要求，用以指导相关机构制定企业标准“领跑者”评估方案，促进相关企业关注企业标准，并对其提升企业标准形成有效指导，引领</w:t>
      </w:r>
      <w:r>
        <w:rPr>
          <w:rFonts w:ascii="Times New Roman" w:eastAsia="仿宋" w:hAnsi="Times New Roman" w:cs="Times New Roman" w:hint="eastAsia"/>
          <w:sz w:val="28"/>
          <w:szCs w:val="28"/>
        </w:rPr>
        <w:t>600MPa</w:t>
      </w:r>
      <w:r>
        <w:rPr>
          <w:rFonts w:ascii="Times New Roman" w:eastAsia="仿宋" w:hAnsi="Times New Roman" w:cs="Times New Roman" w:hint="eastAsia"/>
          <w:sz w:val="28"/>
          <w:szCs w:val="28"/>
        </w:rPr>
        <w:t>级抗震热轧带肋钢筋</w:t>
      </w:r>
      <w:r w:rsidRPr="0059157E">
        <w:rPr>
          <w:rFonts w:ascii="Times New Roman" w:eastAsia="仿宋" w:hAnsi="Times New Roman" w:cs="Times New Roman" w:hint="eastAsia"/>
          <w:sz w:val="28"/>
          <w:szCs w:val="28"/>
        </w:rPr>
        <w:t>产品的质量升级</w:t>
      </w:r>
      <w:r w:rsidR="0092577F" w:rsidRPr="0092577F">
        <w:rPr>
          <w:rFonts w:ascii="Times New Roman" w:eastAsia="仿宋" w:hAnsi="Times New Roman" w:cs="Times New Roman" w:hint="eastAsia"/>
          <w:sz w:val="28"/>
          <w:szCs w:val="28"/>
        </w:rPr>
        <w:t>。</w:t>
      </w:r>
    </w:p>
    <w:p w:rsidR="005A6F0A" w:rsidRPr="004276C7" w:rsidRDefault="005A6F0A" w:rsidP="005A6F0A">
      <w:pPr>
        <w:keepNext/>
        <w:keepLines/>
        <w:spacing w:line="360" w:lineRule="auto"/>
        <w:outlineLvl w:val="0"/>
        <w:rPr>
          <w:rFonts w:ascii="Times New Roman" w:eastAsia="仿宋_GB2312" w:hAnsi="Times New Roman" w:cs="Times New Roman"/>
          <w:b/>
          <w:kern w:val="44"/>
          <w:sz w:val="28"/>
          <w:szCs w:val="28"/>
        </w:rPr>
      </w:pPr>
      <w:r w:rsidRPr="004276C7">
        <w:rPr>
          <w:rFonts w:ascii="Times New Roman" w:eastAsia="仿宋_GB2312" w:hAnsi="Times New Roman" w:cs="Times New Roman"/>
          <w:b/>
          <w:kern w:val="44"/>
          <w:sz w:val="28"/>
          <w:szCs w:val="28"/>
        </w:rPr>
        <w:t>三、标准编制过程</w:t>
      </w:r>
    </w:p>
    <w:p w:rsidR="005A6F0A" w:rsidRPr="004276C7" w:rsidRDefault="003B0C4D" w:rsidP="005A6F0A">
      <w:pPr>
        <w:spacing w:line="360" w:lineRule="auto"/>
        <w:ind w:firstLineChars="200" w:firstLine="560"/>
        <w:rPr>
          <w:rFonts w:ascii="Times New Roman" w:eastAsia="仿宋_GB2312" w:hAnsi="Times New Roman" w:cs="Times New Roman"/>
          <w:sz w:val="28"/>
          <w:szCs w:val="28"/>
        </w:rPr>
      </w:pPr>
      <w:r w:rsidRPr="005A6F0A">
        <w:rPr>
          <w:rFonts w:ascii="Times New Roman" w:eastAsia="仿宋" w:hAnsi="Times New Roman" w:cs="Times New Roman" w:hint="eastAsia"/>
          <w:sz w:val="28"/>
          <w:szCs w:val="28"/>
        </w:rPr>
        <w:t>冶金工业规划研究院</w:t>
      </w:r>
      <w:r w:rsidR="005A6F0A" w:rsidRPr="004276C7">
        <w:rPr>
          <w:rFonts w:ascii="Times New Roman" w:eastAsia="仿宋_GB2312" w:hAnsi="Times New Roman" w:cs="Times New Roman"/>
          <w:sz w:val="28"/>
          <w:szCs w:val="28"/>
        </w:rPr>
        <w:t>承担了《</w:t>
      </w:r>
      <w:r w:rsidR="006B7301">
        <w:rPr>
          <w:rFonts w:ascii="Times New Roman" w:eastAsia="仿宋_GB2312" w:hAnsi="Times New Roman" w:cs="Times New Roman" w:hint="eastAsia"/>
          <w:sz w:val="28"/>
          <w:szCs w:val="28"/>
        </w:rPr>
        <w:t>“</w:t>
      </w:r>
      <w:r w:rsidR="0061121B">
        <w:rPr>
          <w:rFonts w:ascii="Times New Roman" w:eastAsia="仿宋_GB2312" w:hAnsi="Times New Roman" w:cs="Times New Roman" w:hint="eastAsia"/>
          <w:sz w:val="28"/>
          <w:szCs w:val="28"/>
        </w:rPr>
        <w:t>领跑者”标准</w:t>
      </w:r>
      <w:r w:rsidR="009D7EAA" w:rsidRPr="009D7EAA">
        <w:rPr>
          <w:rFonts w:ascii="Times New Roman" w:eastAsia="仿宋_GB2312" w:hAnsi="Times New Roman" w:cs="Times New Roman" w:hint="eastAsia"/>
          <w:sz w:val="28"/>
          <w:szCs w:val="28"/>
        </w:rPr>
        <w:t>评价要求</w:t>
      </w:r>
      <w:r w:rsidR="0059157E" w:rsidRPr="0059157E">
        <w:rPr>
          <w:rFonts w:ascii="Times New Roman" w:eastAsia="仿宋_GB2312" w:hAnsi="Times New Roman" w:cs="Times New Roman" w:hint="eastAsia"/>
          <w:sz w:val="28"/>
          <w:szCs w:val="28"/>
        </w:rPr>
        <w:t>600MPa</w:t>
      </w:r>
      <w:r w:rsidR="0059157E" w:rsidRPr="0059157E">
        <w:rPr>
          <w:rFonts w:ascii="Times New Roman" w:eastAsia="仿宋_GB2312" w:hAnsi="Times New Roman" w:cs="Times New Roman" w:hint="eastAsia"/>
          <w:sz w:val="28"/>
          <w:szCs w:val="28"/>
        </w:rPr>
        <w:t>级抗震热轧带肋钢筋</w:t>
      </w:r>
      <w:r w:rsidR="005A6F0A" w:rsidRPr="004276C7">
        <w:rPr>
          <w:rFonts w:ascii="Times New Roman" w:eastAsia="仿宋_GB2312" w:hAnsi="Times New Roman" w:cs="Times New Roman"/>
          <w:sz w:val="28"/>
          <w:szCs w:val="28"/>
        </w:rPr>
        <w:t>》团体标准的编制工作，组建了该团体标准起草小组并开展工作。在《</w:t>
      </w:r>
      <w:r w:rsidR="006B7301">
        <w:rPr>
          <w:rFonts w:ascii="Times New Roman" w:eastAsia="仿宋_GB2312" w:hAnsi="Times New Roman" w:cs="Times New Roman" w:hint="eastAsia"/>
          <w:sz w:val="28"/>
          <w:szCs w:val="28"/>
        </w:rPr>
        <w:t>“领跑者”</w:t>
      </w:r>
      <w:r w:rsidR="009D7EAA">
        <w:rPr>
          <w:rFonts w:ascii="Times New Roman" w:eastAsia="仿宋_GB2312" w:hAnsi="Times New Roman" w:cs="Times New Roman" w:hint="eastAsia"/>
          <w:sz w:val="28"/>
          <w:szCs w:val="28"/>
        </w:rPr>
        <w:t>标准</w:t>
      </w:r>
      <w:r w:rsidR="009D7EAA" w:rsidRPr="009D7EAA">
        <w:rPr>
          <w:rFonts w:ascii="Times New Roman" w:eastAsia="仿宋_GB2312" w:hAnsi="Times New Roman" w:cs="Times New Roman" w:hint="eastAsia"/>
          <w:sz w:val="28"/>
          <w:szCs w:val="28"/>
        </w:rPr>
        <w:t>评价要求</w:t>
      </w:r>
      <w:r w:rsidR="0059157E" w:rsidRPr="0059157E">
        <w:rPr>
          <w:rFonts w:ascii="Times New Roman" w:eastAsia="仿宋_GB2312" w:hAnsi="Times New Roman" w:cs="Times New Roman" w:hint="eastAsia"/>
          <w:sz w:val="28"/>
          <w:szCs w:val="28"/>
        </w:rPr>
        <w:t>600MPa</w:t>
      </w:r>
      <w:r w:rsidR="0059157E" w:rsidRPr="0059157E">
        <w:rPr>
          <w:rFonts w:ascii="Times New Roman" w:eastAsia="仿宋_GB2312" w:hAnsi="Times New Roman" w:cs="Times New Roman" w:hint="eastAsia"/>
          <w:sz w:val="28"/>
          <w:szCs w:val="28"/>
        </w:rPr>
        <w:t>级抗震热轧带肋钢筋</w:t>
      </w:r>
      <w:r w:rsidR="005A6F0A" w:rsidRPr="004276C7">
        <w:rPr>
          <w:rFonts w:ascii="Times New Roman" w:eastAsia="仿宋_GB2312" w:hAnsi="Times New Roman" w:cs="Times New Roman"/>
          <w:sz w:val="28"/>
          <w:szCs w:val="28"/>
        </w:rPr>
        <w:t>》标准制定过程中，起草小组认真查阅有关资料</w:t>
      </w:r>
      <w:r w:rsidR="005A6F0A" w:rsidRPr="004276C7">
        <w:rPr>
          <w:rFonts w:ascii="Times New Roman" w:eastAsia="仿宋_GB2312" w:hAnsi="Times New Roman" w:cs="Times New Roman" w:hint="eastAsia"/>
          <w:sz w:val="28"/>
          <w:szCs w:val="28"/>
        </w:rPr>
        <w:t>、</w:t>
      </w:r>
      <w:r w:rsidR="005A6F0A" w:rsidRPr="004276C7">
        <w:rPr>
          <w:rFonts w:ascii="Times New Roman" w:eastAsia="仿宋_GB2312" w:hAnsi="Times New Roman" w:cs="Times New Roman"/>
          <w:sz w:val="28"/>
          <w:szCs w:val="28"/>
        </w:rPr>
        <w:t>收集相关数据信息，</w:t>
      </w:r>
      <w:r w:rsidR="0092577F">
        <w:rPr>
          <w:rFonts w:ascii="Times New Roman" w:eastAsia="仿宋_GB2312" w:hAnsi="Times New Roman" w:cs="Times New Roman" w:hint="eastAsia"/>
          <w:sz w:val="28"/>
          <w:szCs w:val="28"/>
        </w:rPr>
        <w:t>调研行业内生产技术水平和企业标准指标</w:t>
      </w:r>
      <w:r w:rsidR="005A6F0A" w:rsidRPr="004276C7">
        <w:rPr>
          <w:rFonts w:ascii="Times New Roman" w:eastAsia="仿宋_GB2312" w:hAnsi="Times New Roman" w:cs="Times New Roman"/>
          <w:sz w:val="28"/>
          <w:szCs w:val="28"/>
        </w:rPr>
        <w:t>，进行本团体标准的编制</w:t>
      </w:r>
      <w:r w:rsidR="005A6F0A" w:rsidRPr="004276C7">
        <w:rPr>
          <w:rFonts w:ascii="Times New Roman" w:eastAsia="仿宋_GB2312" w:hAnsi="Times New Roman" w:cs="Times New Roman" w:hint="eastAsia"/>
          <w:sz w:val="28"/>
          <w:szCs w:val="28"/>
        </w:rPr>
        <w:t>工作</w:t>
      </w:r>
      <w:r w:rsidR="005A6F0A" w:rsidRPr="004276C7">
        <w:rPr>
          <w:rFonts w:ascii="Times New Roman" w:eastAsia="仿宋_GB2312" w:hAnsi="Times New Roman" w:cs="Times New Roman"/>
          <w:sz w:val="28"/>
          <w:szCs w:val="28"/>
        </w:rPr>
        <w:t>。</w:t>
      </w:r>
    </w:p>
    <w:p w:rsidR="005A6F0A" w:rsidRPr="004276C7" w:rsidRDefault="005A6F0A" w:rsidP="005A6F0A">
      <w:pPr>
        <w:spacing w:line="360" w:lineRule="auto"/>
        <w:ind w:firstLineChars="200" w:firstLine="560"/>
        <w:rPr>
          <w:rFonts w:ascii="Times New Roman" w:eastAsia="仿宋_GB2312" w:hAnsi="Times New Roman" w:cs="Times New Roman"/>
          <w:sz w:val="28"/>
          <w:szCs w:val="28"/>
        </w:rPr>
      </w:pPr>
      <w:r w:rsidRPr="004276C7">
        <w:rPr>
          <w:rFonts w:ascii="Times New Roman" w:eastAsia="仿宋_GB2312" w:hAnsi="Times New Roman" w:cs="Times New Roman"/>
          <w:sz w:val="28"/>
          <w:szCs w:val="28"/>
        </w:rPr>
        <w:lastRenderedPageBreak/>
        <w:t>主要编制过程如下：</w:t>
      </w:r>
    </w:p>
    <w:p w:rsidR="000F4EDD" w:rsidRPr="004276C7" w:rsidRDefault="000F4EDD" w:rsidP="000F4EDD">
      <w:pPr>
        <w:spacing w:line="360" w:lineRule="auto"/>
        <w:ind w:firstLineChars="200" w:firstLine="560"/>
        <w:rPr>
          <w:rFonts w:ascii="Times New Roman" w:eastAsia="仿宋_GB2312" w:hAnsi="Times New Roman" w:cs="Times New Roman"/>
          <w:sz w:val="28"/>
          <w:szCs w:val="28"/>
        </w:rPr>
      </w:pPr>
      <w:r w:rsidRPr="004276C7">
        <w:rPr>
          <w:rFonts w:ascii="Times New Roman" w:eastAsia="仿宋_GB2312" w:hAnsi="Times New Roman" w:cs="Times New Roman" w:hint="eastAsia"/>
          <w:sz w:val="28"/>
          <w:szCs w:val="28"/>
        </w:rPr>
        <w:t>20</w:t>
      </w:r>
      <w:r w:rsidR="002D6E47">
        <w:rPr>
          <w:rFonts w:ascii="Times New Roman" w:eastAsia="仿宋_GB2312" w:hAnsi="Times New Roman" w:cs="Times New Roman"/>
          <w:sz w:val="28"/>
          <w:szCs w:val="28"/>
        </w:rPr>
        <w:t>2</w:t>
      </w:r>
      <w:r w:rsidR="0059157E">
        <w:rPr>
          <w:rFonts w:ascii="Times New Roman" w:eastAsia="仿宋_GB2312" w:hAnsi="Times New Roman" w:cs="Times New Roman"/>
          <w:sz w:val="28"/>
          <w:szCs w:val="28"/>
        </w:rPr>
        <w:t>1</w:t>
      </w:r>
      <w:r w:rsidRPr="004276C7">
        <w:rPr>
          <w:rFonts w:ascii="Times New Roman" w:eastAsia="仿宋_GB2312" w:hAnsi="Times New Roman" w:cs="Times New Roman" w:hint="eastAsia"/>
          <w:sz w:val="28"/>
          <w:szCs w:val="28"/>
        </w:rPr>
        <w:t>年</w:t>
      </w:r>
      <w:r w:rsidR="0059157E">
        <w:rPr>
          <w:rFonts w:ascii="Times New Roman" w:eastAsia="仿宋_GB2312" w:hAnsi="Times New Roman" w:cs="Times New Roman"/>
          <w:sz w:val="28"/>
          <w:szCs w:val="28"/>
        </w:rPr>
        <w:t>4</w:t>
      </w:r>
      <w:r w:rsidRPr="004276C7">
        <w:rPr>
          <w:rFonts w:ascii="Times New Roman" w:eastAsia="仿宋_GB2312" w:hAnsi="Times New Roman" w:cs="Times New Roman" w:hint="eastAsia"/>
          <w:sz w:val="28"/>
          <w:szCs w:val="28"/>
        </w:rPr>
        <w:t>月，中国特钢企业协会团体标准化工作委员会（以下简称团标委）秘书处给各位委员发出团体标准立项函审单。到立项函审截止日期，没有委员提出不同意见。</w:t>
      </w:r>
    </w:p>
    <w:p w:rsidR="000F4EDD" w:rsidRPr="004276C7" w:rsidRDefault="000F4EDD" w:rsidP="000F4EDD">
      <w:pPr>
        <w:spacing w:line="360" w:lineRule="auto"/>
        <w:ind w:firstLineChars="200" w:firstLine="560"/>
        <w:rPr>
          <w:rFonts w:ascii="Times New Roman" w:eastAsia="仿宋_GB2312" w:hAnsi="Times New Roman" w:cs="Times New Roman"/>
          <w:sz w:val="28"/>
          <w:szCs w:val="28"/>
        </w:rPr>
      </w:pPr>
      <w:r w:rsidRPr="004276C7">
        <w:rPr>
          <w:rFonts w:ascii="Times New Roman" w:eastAsia="仿宋_GB2312" w:hAnsi="Times New Roman" w:cs="Times New Roman" w:hint="eastAsia"/>
          <w:sz w:val="28"/>
          <w:szCs w:val="28"/>
        </w:rPr>
        <w:t>20</w:t>
      </w:r>
      <w:r w:rsidR="002D6E47">
        <w:rPr>
          <w:rFonts w:ascii="Times New Roman" w:eastAsia="仿宋_GB2312" w:hAnsi="Times New Roman" w:cs="Times New Roman"/>
          <w:sz w:val="28"/>
          <w:szCs w:val="28"/>
        </w:rPr>
        <w:t>2</w:t>
      </w:r>
      <w:r w:rsidR="0059157E">
        <w:rPr>
          <w:rFonts w:ascii="Times New Roman" w:eastAsia="仿宋_GB2312" w:hAnsi="Times New Roman" w:cs="Times New Roman"/>
          <w:sz w:val="28"/>
          <w:szCs w:val="28"/>
        </w:rPr>
        <w:t>1</w:t>
      </w:r>
      <w:r w:rsidRPr="004276C7">
        <w:rPr>
          <w:rFonts w:ascii="Times New Roman" w:eastAsia="仿宋_GB2312" w:hAnsi="Times New Roman" w:cs="Times New Roman" w:hint="eastAsia"/>
          <w:sz w:val="28"/>
          <w:szCs w:val="28"/>
        </w:rPr>
        <w:t>年</w:t>
      </w:r>
      <w:r w:rsidR="0059157E">
        <w:rPr>
          <w:rFonts w:ascii="Times New Roman" w:eastAsia="仿宋_GB2312" w:hAnsi="Times New Roman" w:cs="Times New Roman"/>
          <w:sz w:val="28"/>
          <w:szCs w:val="28"/>
        </w:rPr>
        <w:t>5</w:t>
      </w:r>
      <w:r w:rsidRPr="004276C7">
        <w:rPr>
          <w:rFonts w:ascii="Times New Roman" w:eastAsia="仿宋_GB2312" w:hAnsi="Times New Roman" w:cs="Times New Roman" w:hint="eastAsia"/>
          <w:sz w:val="28"/>
          <w:szCs w:val="28"/>
        </w:rPr>
        <w:t>月，团标委正式下达《</w:t>
      </w:r>
      <w:r w:rsidR="006B7301">
        <w:rPr>
          <w:rFonts w:ascii="Times New Roman" w:eastAsia="仿宋_GB2312" w:hAnsi="Times New Roman" w:cs="Times New Roman" w:hint="eastAsia"/>
          <w:sz w:val="28"/>
          <w:szCs w:val="28"/>
        </w:rPr>
        <w:t>“领跑者”</w:t>
      </w:r>
      <w:r w:rsidR="009D7EAA">
        <w:rPr>
          <w:rFonts w:ascii="Times New Roman" w:eastAsia="仿宋_GB2312" w:hAnsi="Times New Roman" w:cs="Times New Roman" w:hint="eastAsia"/>
          <w:sz w:val="28"/>
          <w:szCs w:val="28"/>
        </w:rPr>
        <w:t>标准</w:t>
      </w:r>
      <w:r w:rsidR="009D7EAA" w:rsidRPr="009D7EAA">
        <w:rPr>
          <w:rFonts w:ascii="Times New Roman" w:eastAsia="仿宋_GB2312" w:hAnsi="Times New Roman" w:cs="Times New Roman" w:hint="eastAsia"/>
          <w:sz w:val="28"/>
          <w:szCs w:val="28"/>
        </w:rPr>
        <w:t>评价要求</w:t>
      </w:r>
      <w:r w:rsidR="0059157E">
        <w:rPr>
          <w:rFonts w:ascii="Times New Roman" w:eastAsia="仿宋_GB2312" w:hAnsi="Times New Roman" w:cs="Times New Roman" w:hint="eastAsia"/>
          <w:sz w:val="28"/>
          <w:szCs w:val="28"/>
        </w:rPr>
        <w:t xml:space="preserve"> </w:t>
      </w:r>
      <w:r w:rsidR="0059157E" w:rsidRPr="0059157E">
        <w:rPr>
          <w:rFonts w:ascii="Times New Roman" w:eastAsia="仿宋_GB2312" w:hAnsi="Times New Roman" w:cs="Times New Roman" w:hint="eastAsia"/>
          <w:sz w:val="28"/>
          <w:szCs w:val="28"/>
        </w:rPr>
        <w:t>600MPa</w:t>
      </w:r>
      <w:r w:rsidR="0059157E" w:rsidRPr="0059157E">
        <w:rPr>
          <w:rFonts w:ascii="Times New Roman" w:eastAsia="仿宋_GB2312" w:hAnsi="Times New Roman" w:cs="Times New Roman" w:hint="eastAsia"/>
          <w:sz w:val="28"/>
          <w:szCs w:val="28"/>
        </w:rPr>
        <w:t>级抗震热轧带肋钢筋</w:t>
      </w:r>
      <w:r w:rsidRPr="004276C7">
        <w:rPr>
          <w:rFonts w:ascii="Times New Roman" w:eastAsia="仿宋_GB2312" w:hAnsi="Times New Roman" w:cs="Times New Roman" w:hint="eastAsia"/>
          <w:sz w:val="28"/>
          <w:szCs w:val="28"/>
        </w:rPr>
        <w:t>》团体标准立项计划</w:t>
      </w:r>
      <w:r w:rsidR="00320B80">
        <w:rPr>
          <w:rFonts w:ascii="Times New Roman" w:eastAsia="仿宋_GB2312" w:hAnsi="Times New Roman" w:cs="Times New Roman" w:hint="eastAsia"/>
          <w:sz w:val="28"/>
          <w:szCs w:val="28"/>
        </w:rPr>
        <w:t>（</w:t>
      </w:r>
      <w:r w:rsidR="00320B80">
        <w:rPr>
          <w:rFonts w:ascii="Times New Roman" w:eastAsia="仿宋_GB2312" w:hAnsi="Times New Roman" w:cs="Times New Roman" w:hint="eastAsia"/>
          <w:sz w:val="28"/>
          <w:szCs w:val="28"/>
        </w:rPr>
        <w:t>202</w:t>
      </w:r>
      <w:r w:rsidR="0059157E">
        <w:rPr>
          <w:rFonts w:ascii="Times New Roman" w:eastAsia="仿宋_GB2312" w:hAnsi="Times New Roman" w:cs="Times New Roman"/>
          <w:sz w:val="28"/>
          <w:szCs w:val="28"/>
        </w:rPr>
        <w:t>1</w:t>
      </w:r>
      <w:r w:rsidR="00320B80">
        <w:rPr>
          <w:rFonts w:ascii="Times New Roman" w:eastAsia="仿宋_GB2312" w:hAnsi="Times New Roman" w:cs="Times New Roman" w:hint="eastAsia"/>
          <w:sz w:val="28"/>
          <w:szCs w:val="28"/>
        </w:rPr>
        <w:t>年</w:t>
      </w:r>
      <w:r w:rsidR="00320B80">
        <w:rPr>
          <w:rFonts w:ascii="Times New Roman" w:eastAsia="仿宋_GB2312" w:hAnsi="Times New Roman" w:cs="Times New Roman"/>
          <w:sz w:val="28"/>
          <w:szCs w:val="28"/>
        </w:rPr>
        <w:t>第</w:t>
      </w:r>
      <w:r w:rsidR="0059157E">
        <w:rPr>
          <w:rFonts w:ascii="Times New Roman" w:eastAsia="仿宋_GB2312" w:hAnsi="Times New Roman" w:cs="Times New Roman" w:hint="eastAsia"/>
          <w:sz w:val="28"/>
          <w:szCs w:val="28"/>
        </w:rPr>
        <w:t>三</w:t>
      </w:r>
      <w:r w:rsidR="00320B80">
        <w:rPr>
          <w:rFonts w:ascii="Times New Roman" w:eastAsia="仿宋_GB2312" w:hAnsi="Times New Roman" w:cs="Times New Roman"/>
          <w:sz w:val="28"/>
          <w:szCs w:val="28"/>
        </w:rPr>
        <w:t>批</w:t>
      </w:r>
      <w:r w:rsidR="00320B80">
        <w:rPr>
          <w:rFonts w:ascii="Times New Roman" w:eastAsia="仿宋_GB2312" w:hAnsi="Times New Roman" w:cs="Times New Roman" w:hint="eastAsia"/>
          <w:sz w:val="28"/>
          <w:szCs w:val="28"/>
        </w:rPr>
        <w:t>）</w:t>
      </w:r>
      <w:r w:rsidRPr="004276C7">
        <w:rPr>
          <w:rFonts w:ascii="Times New Roman" w:eastAsia="仿宋_GB2312" w:hAnsi="Times New Roman" w:cs="Times New Roman" w:hint="eastAsia"/>
          <w:sz w:val="28"/>
          <w:szCs w:val="28"/>
        </w:rPr>
        <w:t>。团体标准立项后，</w:t>
      </w:r>
      <w:r w:rsidR="00B1546B" w:rsidRPr="00D31E2E">
        <w:rPr>
          <w:rFonts w:ascii="Times New Roman" w:eastAsia="仿宋" w:hAnsi="Times New Roman" w:cs="Times New Roman" w:hint="eastAsia"/>
          <w:sz w:val="28"/>
          <w:szCs w:val="28"/>
        </w:rPr>
        <w:t>冶金工业规划研究院</w:t>
      </w:r>
      <w:r w:rsidRPr="004276C7">
        <w:rPr>
          <w:rFonts w:ascii="Times New Roman" w:eastAsia="仿宋_GB2312" w:hAnsi="Times New Roman" w:cs="Times New Roman" w:hint="eastAsia"/>
          <w:sz w:val="28"/>
          <w:szCs w:val="28"/>
        </w:rPr>
        <w:t>相关人员组成标准起草组，提出了标准编制计划和任务分工，并开始标准编制工作。</w:t>
      </w:r>
    </w:p>
    <w:p w:rsidR="00EE64D6" w:rsidRDefault="002D6E47" w:rsidP="00104825">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202</w:t>
      </w:r>
      <w:r w:rsidR="0059157E">
        <w:rPr>
          <w:rFonts w:ascii="Times New Roman" w:eastAsia="仿宋_GB2312" w:hAnsi="Times New Roman" w:cs="Times New Roman"/>
          <w:sz w:val="28"/>
          <w:szCs w:val="28"/>
        </w:rPr>
        <w:t>1</w:t>
      </w:r>
      <w:r w:rsidR="00EE64D6" w:rsidRPr="004276C7">
        <w:rPr>
          <w:rFonts w:ascii="Times New Roman" w:eastAsia="仿宋_GB2312" w:hAnsi="Times New Roman" w:cs="Times New Roman"/>
          <w:sz w:val="28"/>
          <w:szCs w:val="28"/>
        </w:rPr>
        <w:t>年</w:t>
      </w:r>
      <w:r w:rsidR="0059157E">
        <w:rPr>
          <w:rFonts w:ascii="Times New Roman" w:eastAsia="仿宋_GB2312" w:hAnsi="Times New Roman" w:cs="Times New Roman"/>
          <w:sz w:val="28"/>
          <w:szCs w:val="28"/>
        </w:rPr>
        <w:t xml:space="preserve">  </w:t>
      </w:r>
      <w:r w:rsidR="00EE64D6" w:rsidRPr="004276C7">
        <w:rPr>
          <w:rFonts w:ascii="Times New Roman" w:eastAsia="仿宋_GB2312" w:hAnsi="Times New Roman" w:cs="Times New Roman"/>
          <w:sz w:val="28"/>
          <w:szCs w:val="28"/>
        </w:rPr>
        <w:t>月：形成征求意见稿并发出征求意见。</w:t>
      </w:r>
    </w:p>
    <w:p w:rsidR="007117FA" w:rsidRPr="007B7A9A" w:rsidRDefault="007117FA" w:rsidP="007117FA">
      <w:pPr>
        <w:spacing w:line="560" w:lineRule="exact"/>
        <w:ind w:firstLine="560"/>
        <w:contextualSpacing/>
        <w:rPr>
          <w:rFonts w:ascii="Times New Roman" w:eastAsia="仿宋_GB2312" w:hAnsi="Times New Roman" w:cs="Times New Roman"/>
          <w:sz w:val="28"/>
          <w:szCs w:val="28"/>
        </w:rPr>
      </w:pPr>
      <w:r w:rsidRPr="007B7A9A">
        <w:rPr>
          <w:rFonts w:ascii="Times New Roman" w:eastAsia="仿宋_GB2312" w:hAnsi="Times New Roman" w:cs="Times New Roman"/>
          <w:sz w:val="28"/>
          <w:szCs w:val="28"/>
        </w:rPr>
        <w:t>20</w:t>
      </w:r>
      <w:r w:rsidR="00B1546B">
        <w:rPr>
          <w:rFonts w:ascii="Times New Roman" w:eastAsia="仿宋_GB2312" w:hAnsi="Times New Roman" w:cs="Times New Roman"/>
          <w:sz w:val="28"/>
          <w:szCs w:val="28"/>
        </w:rPr>
        <w:t>2</w:t>
      </w:r>
      <w:r w:rsidR="0059157E">
        <w:rPr>
          <w:rFonts w:ascii="Times New Roman" w:eastAsia="仿宋_GB2312" w:hAnsi="Times New Roman" w:cs="Times New Roman"/>
          <w:sz w:val="28"/>
          <w:szCs w:val="28"/>
        </w:rPr>
        <w:t>1</w:t>
      </w:r>
      <w:r w:rsidRPr="007B7A9A">
        <w:rPr>
          <w:rFonts w:ascii="Times New Roman" w:eastAsia="仿宋_GB2312" w:hAnsi="Times New Roman" w:cs="Times New Roman"/>
          <w:sz w:val="28"/>
          <w:szCs w:val="28"/>
        </w:rPr>
        <w:t>年</w:t>
      </w:r>
      <w:r w:rsidR="0059157E">
        <w:rPr>
          <w:rFonts w:ascii="Times New Roman" w:eastAsia="仿宋_GB2312" w:hAnsi="Times New Roman" w:cs="Times New Roman"/>
          <w:sz w:val="28"/>
          <w:szCs w:val="28"/>
        </w:rPr>
        <w:t xml:space="preserve">  </w:t>
      </w:r>
      <w:r w:rsidRPr="007B7A9A">
        <w:rPr>
          <w:rFonts w:ascii="Times New Roman" w:eastAsia="仿宋_GB2312" w:hAnsi="Times New Roman" w:cs="Times New Roman"/>
          <w:sz w:val="28"/>
          <w:szCs w:val="28"/>
        </w:rPr>
        <w:t>月：完成征求意见处理、形成标准送审稿</w:t>
      </w:r>
      <w:r>
        <w:rPr>
          <w:rFonts w:ascii="Times New Roman" w:eastAsia="仿宋_GB2312" w:hAnsi="Times New Roman" w:cs="Times New Roman" w:hint="eastAsia"/>
          <w:sz w:val="28"/>
          <w:szCs w:val="28"/>
        </w:rPr>
        <w:t>。</w:t>
      </w:r>
    </w:p>
    <w:p w:rsidR="007117FA" w:rsidRPr="007B7A9A" w:rsidRDefault="007117FA" w:rsidP="007117FA">
      <w:pPr>
        <w:spacing w:line="560" w:lineRule="exact"/>
        <w:ind w:firstLine="560"/>
        <w:contextualSpacing/>
        <w:rPr>
          <w:rFonts w:ascii="Times New Roman" w:eastAsia="仿宋_GB2312" w:hAnsi="Times New Roman" w:cs="Times New Roman"/>
          <w:sz w:val="28"/>
          <w:szCs w:val="28"/>
        </w:rPr>
      </w:pPr>
      <w:r w:rsidRPr="007B7A9A">
        <w:rPr>
          <w:rFonts w:ascii="Times New Roman" w:eastAsia="仿宋_GB2312" w:hAnsi="Times New Roman" w:cs="Times New Roman"/>
          <w:sz w:val="28"/>
          <w:szCs w:val="28"/>
        </w:rPr>
        <w:t>20</w:t>
      </w:r>
      <w:r w:rsidR="00B1546B">
        <w:rPr>
          <w:rFonts w:ascii="Times New Roman" w:eastAsia="仿宋_GB2312" w:hAnsi="Times New Roman" w:cs="Times New Roman"/>
          <w:sz w:val="28"/>
          <w:szCs w:val="28"/>
        </w:rPr>
        <w:t>2</w:t>
      </w:r>
      <w:r w:rsidR="0059157E">
        <w:rPr>
          <w:rFonts w:ascii="Times New Roman" w:eastAsia="仿宋_GB2312" w:hAnsi="Times New Roman" w:cs="Times New Roman"/>
          <w:sz w:val="28"/>
          <w:szCs w:val="28"/>
        </w:rPr>
        <w:t>1</w:t>
      </w:r>
      <w:r w:rsidRPr="007B7A9A">
        <w:rPr>
          <w:rFonts w:ascii="Times New Roman" w:eastAsia="仿宋_GB2312" w:hAnsi="Times New Roman" w:cs="Times New Roman"/>
          <w:sz w:val="28"/>
          <w:szCs w:val="28"/>
        </w:rPr>
        <w:t>年</w:t>
      </w:r>
      <w:r w:rsidR="0059157E">
        <w:rPr>
          <w:rFonts w:ascii="Times New Roman" w:eastAsia="仿宋_GB2312" w:hAnsi="Times New Roman" w:cs="Times New Roman"/>
          <w:sz w:val="28"/>
          <w:szCs w:val="28"/>
        </w:rPr>
        <w:t xml:space="preserve">  </w:t>
      </w:r>
      <w:r w:rsidRPr="007B7A9A">
        <w:rPr>
          <w:rFonts w:ascii="Times New Roman" w:eastAsia="仿宋_GB2312" w:hAnsi="Times New Roman" w:cs="Times New Roman"/>
          <w:sz w:val="28"/>
          <w:szCs w:val="28"/>
        </w:rPr>
        <w:t>月：完成该标准审定会和标准报批稿，上报</w:t>
      </w:r>
      <w:r w:rsidRPr="007B7A9A">
        <w:rPr>
          <w:rFonts w:ascii="Times New Roman" w:eastAsia="仿宋_GB2312" w:hAnsi="Times New Roman" w:cs="Times New Roman" w:hint="eastAsia"/>
          <w:sz w:val="28"/>
          <w:szCs w:val="28"/>
        </w:rPr>
        <w:t>中国特钢企业协会</w:t>
      </w:r>
      <w:r w:rsidRPr="007B7A9A">
        <w:rPr>
          <w:rFonts w:ascii="Times New Roman" w:eastAsia="仿宋_GB2312" w:hAnsi="Times New Roman" w:cs="Times New Roman"/>
          <w:sz w:val="28"/>
          <w:szCs w:val="28"/>
        </w:rPr>
        <w:t>审批</w:t>
      </w:r>
      <w:r>
        <w:rPr>
          <w:rFonts w:ascii="Times New Roman" w:eastAsia="仿宋_GB2312" w:hAnsi="Times New Roman" w:cs="Times New Roman" w:hint="eastAsia"/>
          <w:sz w:val="28"/>
          <w:szCs w:val="28"/>
        </w:rPr>
        <w:t>。</w:t>
      </w:r>
    </w:p>
    <w:p w:rsidR="007117FA" w:rsidRPr="007117FA" w:rsidRDefault="007117FA" w:rsidP="007117FA">
      <w:pPr>
        <w:spacing w:line="560" w:lineRule="exact"/>
        <w:ind w:firstLine="560"/>
        <w:contextualSpacing/>
        <w:rPr>
          <w:rFonts w:ascii="Times New Roman" w:eastAsia="仿宋_GB2312" w:hAnsi="Times New Roman" w:cs="Times New Roman"/>
          <w:sz w:val="28"/>
          <w:szCs w:val="28"/>
        </w:rPr>
      </w:pPr>
      <w:r w:rsidRPr="007B7A9A">
        <w:rPr>
          <w:rFonts w:ascii="Times New Roman" w:eastAsia="仿宋_GB2312" w:hAnsi="Times New Roman" w:cs="Times New Roman"/>
          <w:sz w:val="28"/>
          <w:szCs w:val="28"/>
        </w:rPr>
        <w:t>20</w:t>
      </w:r>
      <w:r w:rsidR="006C2C1A">
        <w:rPr>
          <w:rFonts w:ascii="Times New Roman" w:eastAsia="仿宋_GB2312" w:hAnsi="Times New Roman" w:cs="Times New Roman"/>
          <w:sz w:val="28"/>
          <w:szCs w:val="28"/>
        </w:rPr>
        <w:t>2</w:t>
      </w:r>
      <w:r w:rsidR="0059157E">
        <w:rPr>
          <w:rFonts w:ascii="Times New Roman" w:eastAsia="仿宋_GB2312" w:hAnsi="Times New Roman" w:cs="Times New Roman"/>
          <w:sz w:val="28"/>
          <w:szCs w:val="28"/>
        </w:rPr>
        <w:t>1</w:t>
      </w:r>
      <w:r w:rsidRPr="007B7A9A">
        <w:rPr>
          <w:rFonts w:ascii="Times New Roman" w:eastAsia="仿宋_GB2312" w:hAnsi="Times New Roman" w:cs="Times New Roman"/>
          <w:sz w:val="28"/>
          <w:szCs w:val="28"/>
        </w:rPr>
        <w:t>年</w:t>
      </w:r>
      <w:r w:rsidR="0059157E">
        <w:rPr>
          <w:rFonts w:ascii="Times New Roman" w:eastAsia="仿宋_GB2312" w:hAnsi="Times New Roman" w:cs="Times New Roman"/>
          <w:sz w:val="28"/>
          <w:szCs w:val="28"/>
        </w:rPr>
        <w:t xml:space="preserve">  </w:t>
      </w:r>
      <w:r w:rsidRPr="007B7A9A">
        <w:rPr>
          <w:rFonts w:ascii="Times New Roman" w:eastAsia="仿宋_GB2312" w:hAnsi="Times New Roman" w:cs="Times New Roman"/>
          <w:sz w:val="28"/>
          <w:szCs w:val="28"/>
        </w:rPr>
        <w:t>月：完成该标准发布、实施。</w:t>
      </w:r>
    </w:p>
    <w:p w:rsidR="005A6F0A" w:rsidRPr="005A6F0A" w:rsidRDefault="005A6F0A" w:rsidP="005A6F0A">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hint="eastAsia"/>
          <w:b/>
          <w:kern w:val="44"/>
          <w:sz w:val="28"/>
          <w:szCs w:val="28"/>
        </w:rPr>
        <w:t>四</w:t>
      </w:r>
      <w:r w:rsidRPr="005A6F0A">
        <w:rPr>
          <w:rFonts w:ascii="Times New Roman" w:eastAsia="仿宋_GB2312" w:hAnsi="Times New Roman" w:cs="Times New Roman"/>
          <w:b/>
          <w:kern w:val="44"/>
          <w:sz w:val="28"/>
          <w:szCs w:val="28"/>
        </w:rPr>
        <w:t>、标准编制原则</w:t>
      </w:r>
    </w:p>
    <w:p w:rsidR="00543C4F" w:rsidRPr="00543C4F" w:rsidRDefault="003716E2" w:rsidP="00543C4F">
      <w:pPr>
        <w:spacing w:line="560" w:lineRule="exact"/>
        <w:ind w:firstLine="560"/>
        <w:contextualSpacing/>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本文件</w:t>
      </w:r>
      <w:r w:rsidR="00543C4F" w:rsidRPr="00543C4F">
        <w:rPr>
          <w:rFonts w:ascii="Times New Roman" w:eastAsia="仿宋_GB2312" w:hAnsi="Times New Roman" w:cs="Times New Roman" w:hint="eastAsia"/>
          <w:sz w:val="28"/>
          <w:szCs w:val="28"/>
        </w:rPr>
        <w:t>根据</w:t>
      </w:r>
      <w:r w:rsidR="00A6585D" w:rsidRPr="00A6585D">
        <w:rPr>
          <w:rFonts w:ascii="Times New Roman" w:eastAsia="仿宋_GB2312" w:hAnsi="Times New Roman" w:cs="Times New Roman"/>
          <w:sz w:val="28"/>
          <w:szCs w:val="28"/>
        </w:rPr>
        <w:t>T/CAQP 015 T/ESF 0001</w:t>
      </w:r>
      <w:r w:rsidR="00A6585D">
        <w:rPr>
          <w:rFonts w:ascii="Times New Roman" w:eastAsia="仿宋_GB2312" w:hAnsi="Times New Roman" w:cs="Times New Roman" w:hint="eastAsia"/>
          <w:sz w:val="28"/>
          <w:szCs w:val="28"/>
        </w:rPr>
        <w:t>《</w:t>
      </w:r>
      <w:r w:rsidR="00A6585D" w:rsidRPr="00543C4F">
        <w:rPr>
          <w:rFonts w:ascii="Times New Roman" w:eastAsia="仿宋_GB2312" w:hAnsi="Times New Roman" w:cs="Times New Roman" w:hint="eastAsia"/>
          <w:sz w:val="28"/>
          <w:szCs w:val="28"/>
        </w:rPr>
        <w:t>“领跑者”标准编制通则</w:t>
      </w:r>
      <w:r w:rsidR="00A6585D">
        <w:rPr>
          <w:rFonts w:ascii="Times New Roman" w:eastAsia="仿宋_GB2312" w:hAnsi="Times New Roman" w:cs="Times New Roman" w:hint="eastAsia"/>
          <w:sz w:val="28"/>
          <w:szCs w:val="28"/>
        </w:rPr>
        <w:t>》</w:t>
      </w:r>
      <w:r w:rsidR="00543C4F" w:rsidRPr="00543C4F">
        <w:rPr>
          <w:rFonts w:ascii="Times New Roman" w:eastAsia="仿宋_GB2312" w:hAnsi="Times New Roman" w:cs="Times New Roman" w:hint="eastAsia"/>
          <w:sz w:val="28"/>
          <w:szCs w:val="28"/>
        </w:rPr>
        <w:t>进行编制。</w:t>
      </w:r>
    </w:p>
    <w:p w:rsidR="00543C4F" w:rsidRDefault="00543C4F" w:rsidP="00543C4F">
      <w:pPr>
        <w:spacing w:line="560" w:lineRule="exact"/>
        <w:ind w:firstLine="560"/>
        <w:contextualSpacing/>
        <w:rPr>
          <w:rFonts w:ascii="Times New Roman" w:eastAsia="仿宋_GB2312" w:hAnsi="Times New Roman" w:cs="Times New Roman"/>
          <w:sz w:val="28"/>
          <w:szCs w:val="28"/>
        </w:rPr>
      </w:pPr>
      <w:r w:rsidRPr="00543C4F">
        <w:rPr>
          <w:rFonts w:ascii="Times New Roman" w:eastAsia="仿宋_GB2312" w:hAnsi="Times New Roman" w:cs="Times New Roman" w:hint="eastAsia"/>
          <w:sz w:val="28"/>
          <w:szCs w:val="28"/>
        </w:rPr>
        <w:t>《</w:t>
      </w:r>
      <w:r w:rsidR="0059157E">
        <w:rPr>
          <w:rFonts w:ascii="Times New Roman" w:eastAsia="仿宋_GB2312" w:hAnsi="Times New Roman" w:cs="Times New Roman" w:hint="eastAsia"/>
          <w:sz w:val="28"/>
          <w:szCs w:val="28"/>
        </w:rPr>
        <w:t>“</w:t>
      </w:r>
      <w:r w:rsidR="0059157E">
        <w:rPr>
          <w:rFonts w:ascii="Times New Roman" w:eastAsia="仿宋_GB2312" w:hAnsi="Times New Roman" w:cs="Times New Roman" w:hint="eastAsia"/>
          <w:sz w:val="28"/>
          <w:szCs w:val="28"/>
        </w:rPr>
        <w:t>领跑者</w:t>
      </w:r>
      <w:r w:rsidR="0059157E">
        <w:rPr>
          <w:rFonts w:ascii="Times New Roman" w:eastAsia="仿宋_GB2312" w:hAnsi="Times New Roman" w:cs="Times New Roman" w:hint="eastAsia"/>
          <w:sz w:val="28"/>
          <w:szCs w:val="28"/>
        </w:rPr>
        <w:t>”标准评价要求</w:t>
      </w:r>
      <w:r w:rsidR="0059157E">
        <w:rPr>
          <w:rFonts w:ascii="Times New Roman" w:eastAsia="仿宋_GB2312" w:hAnsi="Times New Roman" w:cs="Times New Roman" w:hint="eastAsia"/>
          <w:sz w:val="28"/>
          <w:szCs w:val="28"/>
        </w:rPr>
        <w:t xml:space="preserve"> 600MPa</w:t>
      </w:r>
      <w:r w:rsidR="0059157E">
        <w:rPr>
          <w:rFonts w:ascii="Times New Roman" w:eastAsia="仿宋_GB2312" w:hAnsi="Times New Roman" w:cs="Times New Roman" w:hint="eastAsia"/>
          <w:sz w:val="28"/>
          <w:szCs w:val="28"/>
        </w:rPr>
        <w:t>级抗震热轧带肋钢筋</w:t>
      </w:r>
      <w:r w:rsidRPr="00543C4F">
        <w:rPr>
          <w:rFonts w:ascii="Times New Roman" w:eastAsia="仿宋_GB2312" w:hAnsi="Times New Roman" w:cs="Times New Roman" w:hint="eastAsia"/>
          <w:sz w:val="28"/>
          <w:szCs w:val="28"/>
        </w:rPr>
        <w:t>》标准编制所参考的依据为国家有关法律法规以及强制性标准要求、国家及行业产品或服务标准、国内或国际先进产品标准等。</w:t>
      </w:r>
    </w:p>
    <w:p w:rsidR="005A6F0A" w:rsidRPr="005A6F0A" w:rsidRDefault="005A6F0A" w:rsidP="00543C4F">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hint="eastAsia"/>
          <w:b/>
          <w:kern w:val="44"/>
          <w:sz w:val="28"/>
          <w:szCs w:val="28"/>
        </w:rPr>
        <w:t>五、</w:t>
      </w:r>
      <w:r w:rsidRPr="005A6F0A">
        <w:rPr>
          <w:rFonts w:ascii="Times New Roman" w:eastAsia="仿宋_GB2312" w:hAnsi="Times New Roman" w:cs="Times New Roman"/>
          <w:b/>
          <w:kern w:val="44"/>
          <w:sz w:val="28"/>
          <w:szCs w:val="28"/>
        </w:rPr>
        <w:t>主要技术内容</w:t>
      </w:r>
    </w:p>
    <w:p w:rsidR="005A6F0A" w:rsidRPr="005A6F0A" w:rsidRDefault="005A6F0A" w:rsidP="005A6F0A">
      <w:pPr>
        <w:spacing w:line="360" w:lineRule="auto"/>
        <w:ind w:firstLineChars="200" w:firstLine="560"/>
        <w:rPr>
          <w:rFonts w:ascii="Times New Roman" w:eastAsia="仿宋_GB2312" w:hAnsi="Times New Roman" w:cs="Times New Roman"/>
          <w:sz w:val="28"/>
          <w:szCs w:val="28"/>
        </w:rPr>
      </w:pPr>
      <w:r w:rsidRPr="005A6F0A">
        <w:rPr>
          <w:rFonts w:ascii="Times New Roman" w:eastAsia="仿宋_GB2312" w:hAnsi="Times New Roman" w:cs="Times New Roman" w:hint="eastAsia"/>
          <w:sz w:val="28"/>
          <w:szCs w:val="28"/>
        </w:rPr>
        <w:t>（一）</w:t>
      </w:r>
      <w:r w:rsidRPr="005A6F0A">
        <w:rPr>
          <w:rFonts w:ascii="Times New Roman" w:eastAsia="仿宋_GB2312" w:hAnsi="Times New Roman" w:cs="Times New Roman"/>
          <w:sz w:val="28"/>
          <w:szCs w:val="28"/>
        </w:rPr>
        <w:t>标准编写格式</w:t>
      </w:r>
    </w:p>
    <w:p w:rsidR="00230D0B" w:rsidRDefault="00230D0B" w:rsidP="005A6F0A">
      <w:pPr>
        <w:spacing w:line="360" w:lineRule="auto"/>
        <w:ind w:firstLineChars="200" w:firstLine="560"/>
        <w:rPr>
          <w:rFonts w:ascii="Times New Roman" w:eastAsia="仿宋_GB2312" w:hAnsi="Times New Roman" w:cs="Times New Roman"/>
          <w:sz w:val="28"/>
          <w:szCs w:val="28"/>
        </w:rPr>
      </w:pPr>
      <w:r w:rsidRPr="00230D0B">
        <w:rPr>
          <w:rFonts w:ascii="Times New Roman" w:eastAsia="仿宋_GB2312" w:hAnsi="Times New Roman" w:cs="Times New Roman" w:hint="eastAsia"/>
          <w:sz w:val="28"/>
          <w:szCs w:val="28"/>
        </w:rPr>
        <w:t>标准内容符合</w:t>
      </w:r>
      <w:r w:rsidRPr="00230D0B">
        <w:rPr>
          <w:rFonts w:ascii="Times New Roman" w:eastAsia="仿宋_GB2312" w:hAnsi="Times New Roman" w:cs="Times New Roman" w:hint="eastAsia"/>
          <w:sz w:val="28"/>
          <w:szCs w:val="28"/>
        </w:rPr>
        <w:t>GB/T 1.1</w:t>
      </w:r>
      <w:r w:rsidR="00011BB4">
        <w:rPr>
          <w:rFonts w:ascii="Times New Roman" w:eastAsia="仿宋_GB2312" w:hAnsi="Times New Roman" w:cs="Times New Roman"/>
          <w:sz w:val="28"/>
          <w:szCs w:val="28"/>
        </w:rPr>
        <w:t>-2</w:t>
      </w:r>
      <w:r w:rsidR="00B1689B">
        <w:rPr>
          <w:rFonts w:ascii="Times New Roman" w:eastAsia="仿宋_GB2312" w:hAnsi="Times New Roman" w:cs="Times New Roman"/>
          <w:sz w:val="28"/>
          <w:szCs w:val="28"/>
        </w:rPr>
        <w:t>0</w:t>
      </w:r>
      <w:r w:rsidR="00AA2F75">
        <w:rPr>
          <w:rFonts w:ascii="Times New Roman" w:eastAsia="仿宋_GB2312" w:hAnsi="Times New Roman" w:cs="Times New Roman"/>
          <w:sz w:val="28"/>
          <w:szCs w:val="28"/>
        </w:rPr>
        <w:t>20</w:t>
      </w:r>
      <w:r w:rsidRPr="00230D0B">
        <w:rPr>
          <w:rFonts w:ascii="Times New Roman" w:eastAsia="仿宋_GB2312" w:hAnsi="Times New Roman" w:cs="Times New Roman" w:hint="eastAsia"/>
          <w:sz w:val="28"/>
          <w:szCs w:val="28"/>
        </w:rPr>
        <w:t>的规定。</w:t>
      </w:r>
    </w:p>
    <w:p w:rsidR="000008B8" w:rsidRPr="000008B8" w:rsidRDefault="000008B8" w:rsidP="000008B8">
      <w:pPr>
        <w:spacing w:line="360" w:lineRule="auto"/>
        <w:ind w:firstLineChars="200" w:firstLine="560"/>
        <w:rPr>
          <w:rFonts w:ascii="Times New Roman" w:eastAsia="仿宋_GB2312" w:hAnsi="Times New Roman" w:cs="Times New Roman" w:hint="eastAsia"/>
          <w:sz w:val="28"/>
          <w:szCs w:val="28"/>
        </w:rPr>
      </w:pPr>
      <w:r w:rsidRPr="000008B8">
        <w:rPr>
          <w:rFonts w:ascii="Times New Roman" w:eastAsia="仿宋_GB2312" w:hAnsi="Times New Roman" w:cs="Times New Roman" w:hint="eastAsia"/>
          <w:sz w:val="28"/>
          <w:szCs w:val="28"/>
        </w:rPr>
        <w:t>本文件规定了</w:t>
      </w:r>
      <w:r w:rsidRPr="000008B8">
        <w:rPr>
          <w:rFonts w:ascii="Times New Roman" w:eastAsia="仿宋_GB2312" w:hAnsi="Times New Roman" w:cs="Times New Roman" w:hint="eastAsia"/>
          <w:sz w:val="28"/>
          <w:szCs w:val="28"/>
        </w:rPr>
        <w:t>600MPa</w:t>
      </w:r>
      <w:r w:rsidRPr="000008B8">
        <w:rPr>
          <w:rFonts w:ascii="Times New Roman" w:eastAsia="仿宋_GB2312" w:hAnsi="Times New Roman" w:cs="Times New Roman" w:hint="eastAsia"/>
          <w:sz w:val="28"/>
          <w:szCs w:val="28"/>
        </w:rPr>
        <w:t>级抗震热轧带肋钢筋（以下简称钢筋）“领</w:t>
      </w:r>
      <w:r w:rsidRPr="000008B8">
        <w:rPr>
          <w:rFonts w:ascii="Times New Roman" w:eastAsia="仿宋_GB2312" w:hAnsi="Times New Roman" w:cs="Times New Roman" w:hint="eastAsia"/>
          <w:sz w:val="28"/>
          <w:szCs w:val="28"/>
        </w:rPr>
        <w:lastRenderedPageBreak/>
        <w:t>跑者”标准的评价指标体系、评价方法及等级划分。</w:t>
      </w:r>
    </w:p>
    <w:p w:rsidR="005A6F0A" w:rsidRPr="005A6F0A" w:rsidRDefault="005A6F0A" w:rsidP="005A6F0A">
      <w:pPr>
        <w:spacing w:line="360" w:lineRule="auto"/>
        <w:ind w:firstLineChars="200" w:firstLine="560"/>
        <w:rPr>
          <w:rFonts w:ascii="Times New Roman" w:eastAsia="仿宋_GB2312" w:hAnsi="Times New Roman" w:cs="Times New Roman"/>
          <w:sz w:val="28"/>
          <w:szCs w:val="28"/>
        </w:rPr>
      </w:pPr>
      <w:r w:rsidRPr="005A6F0A">
        <w:rPr>
          <w:rFonts w:ascii="Times New Roman" w:eastAsia="仿宋_GB2312" w:hAnsi="Times New Roman" w:cs="Times New Roman" w:hint="eastAsia"/>
          <w:sz w:val="28"/>
          <w:szCs w:val="28"/>
        </w:rPr>
        <w:t>（二）</w:t>
      </w:r>
      <w:r w:rsidRPr="005A6F0A">
        <w:rPr>
          <w:rFonts w:ascii="Times New Roman" w:eastAsia="仿宋_GB2312" w:hAnsi="Times New Roman" w:cs="Times New Roman"/>
          <w:sz w:val="28"/>
          <w:szCs w:val="28"/>
        </w:rPr>
        <w:t>关于适用范围</w:t>
      </w:r>
    </w:p>
    <w:p w:rsidR="00AA2F75" w:rsidRDefault="000008B8" w:rsidP="003E5EB2">
      <w:pPr>
        <w:spacing w:line="360" w:lineRule="auto"/>
        <w:ind w:firstLineChars="200" w:firstLine="560"/>
        <w:rPr>
          <w:rFonts w:ascii="Times New Roman" w:eastAsia="仿宋_GB2312" w:hAnsi="Times New Roman" w:cs="Times New Roman"/>
          <w:sz w:val="28"/>
          <w:szCs w:val="28"/>
        </w:rPr>
      </w:pPr>
      <w:r w:rsidRPr="000008B8">
        <w:rPr>
          <w:rFonts w:ascii="Times New Roman" w:eastAsia="仿宋_GB2312" w:hAnsi="Times New Roman" w:cs="Times New Roman" w:hint="eastAsia"/>
          <w:sz w:val="28"/>
          <w:szCs w:val="28"/>
        </w:rPr>
        <w:t>本文件适用于</w:t>
      </w:r>
      <w:r w:rsidRPr="000008B8">
        <w:rPr>
          <w:rFonts w:ascii="Times New Roman" w:eastAsia="仿宋_GB2312" w:hAnsi="Times New Roman" w:cs="Times New Roman" w:hint="eastAsia"/>
          <w:sz w:val="28"/>
          <w:szCs w:val="28"/>
        </w:rPr>
        <w:t>600MPa</w:t>
      </w:r>
      <w:r w:rsidRPr="000008B8">
        <w:rPr>
          <w:rFonts w:ascii="Times New Roman" w:eastAsia="仿宋_GB2312" w:hAnsi="Times New Roman" w:cs="Times New Roman" w:hint="eastAsia"/>
          <w:sz w:val="28"/>
          <w:szCs w:val="28"/>
        </w:rPr>
        <w:t>级抗震热轧带肋钢筋企业标准水平评价。相关机构在制定企业标准“领跑者”评估方案时可参照使用，企业在制定企业标准时也可参照使用。</w:t>
      </w:r>
    </w:p>
    <w:p w:rsidR="003E5EB2" w:rsidRPr="005A6F0A" w:rsidRDefault="003E5EB2" w:rsidP="003E5EB2">
      <w:pPr>
        <w:spacing w:line="360" w:lineRule="auto"/>
        <w:ind w:firstLineChars="200" w:firstLine="560"/>
        <w:rPr>
          <w:rFonts w:ascii="Times New Roman" w:eastAsia="仿宋_GB2312" w:hAnsi="Times New Roman" w:cs="Times New Roman"/>
          <w:sz w:val="28"/>
          <w:szCs w:val="28"/>
        </w:rPr>
      </w:pPr>
      <w:r w:rsidRPr="005A6F0A">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三</w:t>
      </w:r>
      <w:r w:rsidRPr="005A6F0A">
        <w:rPr>
          <w:rFonts w:ascii="Times New Roman" w:eastAsia="仿宋_GB2312" w:hAnsi="Times New Roman" w:cs="Times New Roman" w:hint="eastAsia"/>
          <w:sz w:val="28"/>
          <w:szCs w:val="28"/>
        </w:rPr>
        <w:t>）关于</w:t>
      </w:r>
      <w:r w:rsidR="00A77429">
        <w:rPr>
          <w:rFonts w:ascii="Times New Roman" w:eastAsia="仿宋_GB2312" w:hAnsi="Times New Roman" w:cs="Times New Roman" w:hint="eastAsia"/>
          <w:sz w:val="28"/>
          <w:szCs w:val="28"/>
        </w:rPr>
        <w:t>术语和定义</w:t>
      </w:r>
    </w:p>
    <w:p w:rsidR="005A6F0A" w:rsidRPr="005A6F0A" w:rsidRDefault="000008B8" w:rsidP="00BA0A80">
      <w:pPr>
        <w:spacing w:line="360" w:lineRule="auto"/>
        <w:ind w:firstLineChars="200" w:firstLine="560"/>
        <w:rPr>
          <w:rFonts w:ascii="Times New Roman" w:eastAsia="仿宋_GB2312" w:hAnsi="Times New Roman" w:cs="Times New Roman"/>
          <w:sz w:val="28"/>
          <w:szCs w:val="28"/>
        </w:rPr>
      </w:pPr>
      <w:r w:rsidRPr="000008B8">
        <w:rPr>
          <w:rFonts w:ascii="Times New Roman" w:eastAsia="仿宋_GB2312" w:hAnsi="Times New Roman" w:cs="Times New Roman"/>
          <w:sz w:val="28"/>
          <w:szCs w:val="28"/>
        </w:rPr>
        <w:t>GB/T 1499.2-2018</w:t>
      </w:r>
      <w:r w:rsidR="00A77429" w:rsidRPr="00A77429">
        <w:rPr>
          <w:rFonts w:ascii="Times New Roman" w:eastAsia="仿宋_GB2312" w:hAnsi="Times New Roman" w:cs="Times New Roman" w:hint="eastAsia"/>
          <w:sz w:val="28"/>
          <w:szCs w:val="28"/>
        </w:rPr>
        <w:t>界定的术语和定义适用于</w:t>
      </w:r>
      <w:r w:rsidR="003716E2">
        <w:rPr>
          <w:rFonts w:ascii="Times New Roman" w:eastAsia="仿宋_GB2312" w:hAnsi="Times New Roman" w:cs="Times New Roman" w:hint="eastAsia"/>
          <w:sz w:val="28"/>
          <w:szCs w:val="28"/>
        </w:rPr>
        <w:t>本文件</w:t>
      </w:r>
      <w:r w:rsidR="00A77429" w:rsidRPr="00A77429">
        <w:rPr>
          <w:rFonts w:ascii="Times New Roman" w:eastAsia="仿宋_GB2312" w:hAnsi="Times New Roman" w:cs="Times New Roman" w:hint="eastAsia"/>
          <w:sz w:val="28"/>
          <w:szCs w:val="28"/>
        </w:rPr>
        <w:t>。</w:t>
      </w:r>
    </w:p>
    <w:p w:rsidR="00620B9B" w:rsidRDefault="00620B9B" w:rsidP="005A6F0A">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sidR="00E539AD">
        <w:rPr>
          <w:rFonts w:ascii="Times New Roman" w:eastAsia="仿宋_GB2312" w:hAnsi="Times New Roman" w:cs="Times New Roman" w:hint="eastAsia"/>
          <w:sz w:val="28"/>
          <w:szCs w:val="28"/>
        </w:rPr>
        <w:t>四</w:t>
      </w:r>
      <w:r>
        <w:rPr>
          <w:rFonts w:ascii="Times New Roman" w:eastAsia="仿宋_GB2312" w:hAnsi="Times New Roman" w:cs="Times New Roman" w:hint="eastAsia"/>
          <w:sz w:val="28"/>
          <w:szCs w:val="28"/>
        </w:rPr>
        <w:t>）关于</w:t>
      </w:r>
      <w:r w:rsidR="00AA2F75">
        <w:rPr>
          <w:rFonts w:ascii="Times New Roman" w:eastAsia="仿宋_GB2312" w:hAnsi="Times New Roman" w:cs="Times New Roman" w:hint="eastAsia"/>
          <w:sz w:val="28"/>
          <w:szCs w:val="28"/>
        </w:rPr>
        <w:t>评价指标</w:t>
      </w:r>
      <w:r w:rsidR="00AA2F75">
        <w:rPr>
          <w:rFonts w:ascii="Times New Roman" w:eastAsia="仿宋_GB2312" w:hAnsi="Times New Roman" w:cs="Times New Roman"/>
          <w:sz w:val="28"/>
          <w:szCs w:val="28"/>
        </w:rPr>
        <w:t>体系</w:t>
      </w:r>
    </w:p>
    <w:p w:rsidR="00AA2F75" w:rsidRDefault="00AA2F75" w:rsidP="00A77429">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基本要求</w:t>
      </w:r>
    </w:p>
    <w:p w:rsidR="00A77429" w:rsidRDefault="00A77429" w:rsidP="00A77429">
      <w:pPr>
        <w:spacing w:line="360" w:lineRule="auto"/>
        <w:ind w:firstLineChars="200" w:firstLine="560"/>
        <w:rPr>
          <w:rFonts w:ascii="Times New Roman" w:eastAsia="仿宋_GB2312" w:hAnsi="Times New Roman" w:cs="Times New Roman"/>
          <w:sz w:val="28"/>
          <w:szCs w:val="28"/>
        </w:rPr>
      </w:pPr>
      <w:r w:rsidRPr="00A77429">
        <w:rPr>
          <w:rFonts w:ascii="Times New Roman" w:eastAsia="仿宋_GB2312" w:hAnsi="Times New Roman" w:cs="Times New Roman" w:hint="eastAsia"/>
          <w:sz w:val="28"/>
          <w:szCs w:val="28"/>
        </w:rPr>
        <w:t>近三年，企业无较大环境、安全、质量事故。企业无不良信用记录。企业应建立并运行符合产品和服务的管理体系。产品应为量产产品。</w:t>
      </w:r>
    </w:p>
    <w:p w:rsidR="00A77429" w:rsidRDefault="00A77429" w:rsidP="00A77429">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基本要求为对参与“领跑者”评价的企业及其产品规模化生产方面的要求，避免仅就标准评标准，</w:t>
      </w:r>
      <w:r w:rsidR="005E60A6">
        <w:rPr>
          <w:rFonts w:ascii="Times New Roman" w:eastAsia="仿宋_GB2312" w:hAnsi="Times New Roman" w:cs="Times New Roman" w:hint="eastAsia"/>
          <w:sz w:val="28"/>
          <w:szCs w:val="28"/>
        </w:rPr>
        <w:t>增强</w:t>
      </w:r>
      <w:r>
        <w:rPr>
          <w:rFonts w:ascii="Times New Roman" w:eastAsia="仿宋_GB2312" w:hAnsi="Times New Roman" w:cs="Times New Roman" w:hint="eastAsia"/>
          <w:sz w:val="28"/>
          <w:szCs w:val="28"/>
        </w:rPr>
        <w:t>对企业实际生产和质量提升的</w:t>
      </w:r>
      <w:r w:rsidR="005E60A6">
        <w:rPr>
          <w:rFonts w:ascii="Times New Roman" w:eastAsia="仿宋_GB2312" w:hAnsi="Times New Roman" w:cs="Times New Roman" w:hint="eastAsia"/>
          <w:sz w:val="28"/>
          <w:szCs w:val="28"/>
        </w:rPr>
        <w:t>有效</w:t>
      </w:r>
      <w:r w:rsidR="00796549">
        <w:rPr>
          <w:rFonts w:ascii="Times New Roman" w:eastAsia="仿宋_GB2312" w:hAnsi="Times New Roman" w:cs="Times New Roman" w:hint="eastAsia"/>
          <w:sz w:val="28"/>
          <w:szCs w:val="28"/>
        </w:rPr>
        <w:t>引导</w:t>
      </w:r>
      <w:r>
        <w:rPr>
          <w:rFonts w:ascii="Times New Roman" w:eastAsia="仿宋_GB2312" w:hAnsi="Times New Roman" w:cs="Times New Roman" w:hint="eastAsia"/>
          <w:sz w:val="28"/>
          <w:szCs w:val="28"/>
        </w:rPr>
        <w:t>。</w:t>
      </w:r>
    </w:p>
    <w:p w:rsidR="00F53827" w:rsidRDefault="00AA2F75" w:rsidP="008E634D">
      <w:pPr>
        <w:spacing w:line="360" w:lineRule="auto"/>
        <w:ind w:firstLineChars="200" w:firstLine="560"/>
        <w:rPr>
          <w:rFonts w:ascii="仿宋_GB2312" w:eastAsia="仿宋_GB2312" w:hAnsi="仿宋" w:cs="Times New Roman"/>
          <w:sz w:val="28"/>
          <w:szCs w:val="28"/>
        </w:rPr>
      </w:pPr>
      <w:r>
        <w:rPr>
          <w:rFonts w:ascii="Times New Roman" w:eastAsia="仿宋_GB2312" w:hAnsi="Times New Roman" w:cs="Times New Roman" w:hint="eastAsia"/>
          <w:sz w:val="28"/>
          <w:szCs w:val="28"/>
        </w:rPr>
        <w:t>2</w:t>
      </w:r>
      <w:r w:rsidR="00F53827">
        <w:rPr>
          <w:rFonts w:ascii="仿宋_GB2312" w:eastAsia="仿宋_GB2312" w:hAnsi="仿宋" w:cs="Times New Roman" w:hint="eastAsia"/>
          <w:sz w:val="28"/>
          <w:szCs w:val="28"/>
        </w:rPr>
        <w:t>、主要内容</w:t>
      </w:r>
    </w:p>
    <w:p w:rsidR="00BD6E98" w:rsidRDefault="008E634D" w:rsidP="000008B8">
      <w:pPr>
        <w:spacing w:line="360" w:lineRule="auto"/>
        <w:ind w:firstLineChars="200" w:firstLine="560"/>
        <w:rPr>
          <w:rFonts w:ascii="仿宋_GB2312" w:eastAsia="仿宋_GB2312" w:hAnsi="仿宋" w:cs="Times New Roman"/>
          <w:sz w:val="28"/>
          <w:szCs w:val="28"/>
        </w:rPr>
      </w:pPr>
      <w:r w:rsidRPr="008E634D">
        <w:rPr>
          <w:rFonts w:ascii="仿宋_GB2312" w:eastAsia="仿宋_GB2312" w:hAnsi="仿宋" w:cs="Times New Roman" w:hint="eastAsia"/>
          <w:sz w:val="28"/>
          <w:szCs w:val="28"/>
        </w:rPr>
        <w:t>方矩管“领跑者”标准的评价指标分为：基本要求、基础指标、核心指标。基础指标</w:t>
      </w:r>
      <w:r w:rsidR="000008B8">
        <w:rPr>
          <w:rFonts w:ascii="仿宋_GB2312" w:eastAsia="仿宋_GB2312" w:hAnsi="仿宋" w:cs="Times New Roman" w:hint="eastAsia"/>
          <w:sz w:val="28"/>
          <w:szCs w:val="28"/>
        </w:rPr>
        <w:t>包括</w:t>
      </w:r>
      <w:r w:rsidR="000008B8" w:rsidRPr="000008B8">
        <w:rPr>
          <w:rFonts w:ascii="仿宋_GB2312" w:eastAsia="仿宋_GB2312" w:hAnsi="仿宋" w:cs="Times New Roman" w:hint="eastAsia"/>
          <w:sz w:val="28"/>
          <w:szCs w:val="28"/>
        </w:rPr>
        <w:t>尺寸、外形及允许偏差、表面质量、化学成分</w:t>
      </w:r>
      <w:r w:rsidRPr="008E634D">
        <w:rPr>
          <w:rFonts w:ascii="仿宋_GB2312" w:eastAsia="仿宋_GB2312" w:hAnsi="仿宋" w:cs="Times New Roman" w:hint="eastAsia"/>
          <w:sz w:val="28"/>
          <w:szCs w:val="28"/>
        </w:rPr>
        <w:t>。核心指标</w:t>
      </w:r>
      <w:r w:rsidR="000008B8">
        <w:rPr>
          <w:rFonts w:ascii="仿宋_GB2312" w:eastAsia="仿宋_GB2312" w:hAnsi="仿宋" w:cs="Times New Roman" w:hint="eastAsia"/>
          <w:sz w:val="28"/>
          <w:szCs w:val="28"/>
        </w:rPr>
        <w:t>包括</w:t>
      </w:r>
      <w:r w:rsidR="000008B8" w:rsidRPr="000008B8">
        <w:rPr>
          <w:rFonts w:ascii="仿宋_GB2312" w:eastAsia="仿宋_GB2312" w:hAnsi="仿宋" w:cs="Times New Roman" w:hint="eastAsia"/>
          <w:sz w:val="28"/>
          <w:szCs w:val="28"/>
        </w:rPr>
        <w:t>重量允许偏差、P、S元素含量、组织、晶粒度、弯曲度、截面维氏硬度、力学性能</w:t>
      </w:r>
      <w:r w:rsidR="000008B8">
        <w:rPr>
          <w:rFonts w:ascii="仿宋_GB2312" w:eastAsia="仿宋_GB2312" w:hAnsi="仿宋" w:cs="Times New Roman" w:hint="eastAsia"/>
          <w:sz w:val="28"/>
          <w:szCs w:val="28"/>
        </w:rPr>
        <w:t>。</w:t>
      </w:r>
      <w:r w:rsidR="000008B8">
        <w:rPr>
          <w:rFonts w:ascii="仿宋_GB2312" w:eastAsia="仿宋_GB2312" w:hAnsi="仿宋" w:cs="Times New Roman"/>
          <w:sz w:val="28"/>
          <w:szCs w:val="28"/>
        </w:rPr>
        <w:t>创新性</w:t>
      </w:r>
      <w:r w:rsidR="000008B8">
        <w:rPr>
          <w:rFonts w:ascii="仿宋_GB2312" w:eastAsia="仿宋_GB2312" w:hAnsi="仿宋" w:cs="Times New Roman" w:hint="eastAsia"/>
          <w:sz w:val="28"/>
          <w:szCs w:val="28"/>
        </w:rPr>
        <w:t>指标</w:t>
      </w:r>
      <w:r w:rsidR="000008B8">
        <w:rPr>
          <w:rFonts w:ascii="仿宋_GB2312" w:eastAsia="仿宋_GB2312" w:hAnsi="仿宋" w:cs="Times New Roman"/>
          <w:sz w:val="28"/>
          <w:szCs w:val="28"/>
        </w:rPr>
        <w:t>包括</w:t>
      </w:r>
      <w:r w:rsidR="000008B8" w:rsidRPr="000008B8">
        <w:rPr>
          <w:rFonts w:ascii="仿宋_GB2312" w:eastAsia="仿宋_GB2312" w:hAnsi="仿宋" w:cs="Times New Roman" w:hint="eastAsia"/>
          <w:sz w:val="28"/>
          <w:szCs w:val="28"/>
        </w:rPr>
        <w:t>氮含量、条带状组织偏析、非金属夹杂物、强屈比</w:t>
      </w:r>
      <w:r w:rsidR="000008B8">
        <w:rPr>
          <w:rFonts w:ascii="仿宋_GB2312" w:eastAsia="仿宋_GB2312" w:hAnsi="仿宋" w:cs="Times New Roman" w:hint="eastAsia"/>
          <w:sz w:val="28"/>
          <w:szCs w:val="28"/>
        </w:rPr>
        <w:t>。</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485"/>
        <w:gridCol w:w="104"/>
        <w:gridCol w:w="967"/>
        <w:gridCol w:w="1512"/>
        <w:gridCol w:w="1825"/>
        <w:gridCol w:w="1513"/>
        <w:gridCol w:w="1425"/>
      </w:tblGrid>
      <w:tr w:rsidR="000008B8" w:rsidRPr="000008B8" w:rsidTr="003372DC">
        <w:trPr>
          <w:trHeight w:val="340"/>
          <w:jc w:val="center"/>
        </w:trPr>
        <w:tc>
          <w:tcPr>
            <w:tcW w:w="597" w:type="dxa"/>
            <w:vMerge w:val="restart"/>
            <w:vAlign w:val="center"/>
          </w:tcPr>
          <w:p w:rsidR="000008B8" w:rsidRPr="000008B8" w:rsidRDefault="000008B8" w:rsidP="000008B8">
            <w:pPr>
              <w:adjustRightInd w:val="0"/>
              <w:snapToGrid w:val="0"/>
              <w:jc w:val="center"/>
              <w:rPr>
                <w:rFonts w:ascii="Times New Roman" w:eastAsia="宋体" w:hAnsi="Times New Roman" w:cs="Times New Roman"/>
                <w:color w:val="000000"/>
                <w:sz w:val="18"/>
                <w:szCs w:val="18"/>
              </w:rPr>
            </w:pPr>
            <w:r w:rsidRPr="000008B8">
              <w:rPr>
                <w:rFonts w:ascii="Times New Roman" w:eastAsia="宋体" w:hAnsi="Times New Roman" w:cs="Times New Roman"/>
                <w:color w:val="000000"/>
                <w:sz w:val="18"/>
                <w:szCs w:val="18"/>
              </w:rPr>
              <w:t>指标类</w:t>
            </w:r>
            <w:r w:rsidRPr="000008B8">
              <w:rPr>
                <w:rFonts w:ascii="Times New Roman" w:eastAsia="宋体" w:hAnsi="Times New Roman" w:cs="Times New Roman"/>
                <w:color w:val="000000"/>
                <w:sz w:val="18"/>
                <w:szCs w:val="18"/>
              </w:rPr>
              <w:lastRenderedPageBreak/>
              <w:t>型</w:t>
            </w:r>
          </w:p>
        </w:tc>
        <w:tc>
          <w:tcPr>
            <w:tcW w:w="1720" w:type="dxa"/>
            <w:gridSpan w:val="3"/>
            <w:vMerge w:val="restart"/>
            <w:vAlign w:val="center"/>
          </w:tcPr>
          <w:p w:rsidR="000008B8" w:rsidRPr="000008B8" w:rsidRDefault="000008B8" w:rsidP="000008B8">
            <w:pPr>
              <w:adjustRightInd w:val="0"/>
              <w:snapToGrid w:val="0"/>
              <w:jc w:val="center"/>
              <w:rPr>
                <w:rFonts w:ascii="Times New Roman" w:eastAsia="宋体" w:hAnsi="Times New Roman" w:cs="Times New Roman"/>
                <w:color w:val="000000"/>
                <w:sz w:val="18"/>
                <w:szCs w:val="18"/>
              </w:rPr>
            </w:pPr>
            <w:r w:rsidRPr="000008B8">
              <w:rPr>
                <w:rFonts w:ascii="Times New Roman" w:eastAsia="宋体" w:hAnsi="Times New Roman" w:cs="Times New Roman"/>
                <w:color w:val="000000"/>
                <w:sz w:val="18"/>
                <w:szCs w:val="18"/>
              </w:rPr>
              <w:lastRenderedPageBreak/>
              <w:t>评价指标</w:t>
            </w:r>
          </w:p>
        </w:tc>
        <w:tc>
          <w:tcPr>
            <w:tcW w:w="5480" w:type="dxa"/>
            <w:gridSpan w:val="3"/>
            <w:vAlign w:val="center"/>
          </w:tcPr>
          <w:p w:rsidR="000008B8" w:rsidRPr="000008B8" w:rsidRDefault="000008B8" w:rsidP="000008B8">
            <w:pPr>
              <w:adjustRightInd w:val="0"/>
              <w:snapToGrid w:val="0"/>
              <w:jc w:val="center"/>
              <w:rPr>
                <w:rFonts w:ascii="Times New Roman" w:eastAsia="宋体" w:hAnsi="Times New Roman" w:cs="Times New Roman"/>
                <w:color w:val="000000"/>
                <w:sz w:val="18"/>
                <w:szCs w:val="18"/>
              </w:rPr>
            </w:pPr>
            <w:r w:rsidRPr="000008B8">
              <w:rPr>
                <w:rFonts w:ascii="Times New Roman" w:eastAsia="宋体" w:hAnsi="Times New Roman" w:cs="Times New Roman"/>
                <w:color w:val="000000"/>
                <w:sz w:val="18"/>
                <w:szCs w:val="18"/>
              </w:rPr>
              <w:t>指标水平分级</w:t>
            </w:r>
          </w:p>
        </w:tc>
        <w:tc>
          <w:tcPr>
            <w:tcW w:w="1606" w:type="dxa"/>
            <w:vMerge w:val="restart"/>
            <w:vAlign w:val="center"/>
          </w:tcPr>
          <w:p w:rsidR="000008B8" w:rsidRPr="000008B8" w:rsidRDefault="000008B8" w:rsidP="000008B8">
            <w:pPr>
              <w:adjustRightInd w:val="0"/>
              <w:snapToGrid w:val="0"/>
              <w:jc w:val="center"/>
              <w:rPr>
                <w:rFonts w:ascii="Times New Roman" w:eastAsia="宋体" w:hAnsi="Times New Roman" w:cs="Times New Roman"/>
                <w:color w:val="000000"/>
                <w:sz w:val="18"/>
                <w:szCs w:val="18"/>
              </w:rPr>
            </w:pPr>
            <w:r w:rsidRPr="000008B8">
              <w:rPr>
                <w:rFonts w:ascii="Times New Roman" w:eastAsia="宋体" w:hAnsi="Times New Roman" w:cs="Times New Roman"/>
                <w:color w:val="000000"/>
                <w:sz w:val="18"/>
                <w:szCs w:val="18"/>
              </w:rPr>
              <w:t>判断依据</w:t>
            </w:r>
            <w:r w:rsidRPr="000008B8">
              <w:rPr>
                <w:rFonts w:ascii="Times New Roman" w:eastAsia="宋体" w:hAnsi="Times New Roman" w:cs="Times New Roman"/>
                <w:color w:val="000000"/>
                <w:sz w:val="18"/>
                <w:szCs w:val="18"/>
              </w:rPr>
              <w:t>/</w:t>
            </w:r>
            <w:r w:rsidRPr="000008B8">
              <w:rPr>
                <w:rFonts w:ascii="Times New Roman" w:eastAsia="宋体" w:hAnsi="Times New Roman" w:cs="Times New Roman"/>
                <w:color w:val="000000"/>
                <w:sz w:val="18"/>
                <w:szCs w:val="18"/>
              </w:rPr>
              <w:t>方法</w:t>
            </w:r>
          </w:p>
        </w:tc>
      </w:tr>
      <w:tr w:rsidR="000008B8" w:rsidRPr="000008B8" w:rsidTr="003372DC">
        <w:trPr>
          <w:trHeight w:val="340"/>
          <w:jc w:val="center"/>
        </w:trPr>
        <w:tc>
          <w:tcPr>
            <w:tcW w:w="597" w:type="dxa"/>
            <w:vMerge/>
            <w:vAlign w:val="center"/>
          </w:tcPr>
          <w:p w:rsidR="000008B8" w:rsidRPr="000008B8" w:rsidRDefault="000008B8" w:rsidP="000008B8">
            <w:pPr>
              <w:adjustRightInd w:val="0"/>
              <w:snapToGrid w:val="0"/>
              <w:jc w:val="center"/>
              <w:rPr>
                <w:rFonts w:ascii="Times New Roman" w:eastAsia="宋体" w:hAnsi="Times New Roman" w:cs="Times New Roman"/>
                <w:color w:val="000000"/>
                <w:sz w:val="18"/>
                <w:szCs w:val="18"/>
              </w:rPr>
            </w:pPr>
          </w:p>
        </w:tc>
        <w:tc>
          <w:tcPr>
            <w:tcW w:w="1720" w:type="dxa"/>
            <w:gridSpan w:val="3"/>
            <w:vMerge/>
            <w:vAlign w:val="center"/>
          </w:tcPr>
          <w:p w:rsidR="000008B8" w:rsidRPr="000008B8" w:rsidRDefault="000008B8" w:rsidP="000008B8">
            <w:pPr>
              <w:adjustRightInd w:val="0"/>
              <w:snapToGrid w:val="0"/>
              <w:jc w:val="center"/>
              <w:rPr>
                <w:rFonts w:ascii="Times New Roman" w:eastAsia="宋体" w:hAnsi="Times New Roman" w:cs="Times New Roman"/>
                <w:color w:val="000000"/>
                <w:sz w:val="18"/>
                <w:szCs w:val="18"/>
              </w:rPr>
            </w:pPr>
          </w:p>
        </w:tc>
        <w:tc>
          <w:tcPr>
            <w:tcW w:w="1706" w:type="dxa"/>
            <w:vAlign w:val="center"/>
          </w:tcPr>
          <w:p w:rsidR="000008B8" w:rsidRPr="000008B8" w:rsidRDefault="000008B8" w:rsidP="000008B8">
            <w:pPr>
              <w:adjustRightInd w:val="0"/>
              <w:snapToGrid w:val="0"/>
              <w:jc w:val="center"/>
              <w:rPr>
                <w:rFonts w:ascii="Times New Roman" w:eastAsia="宋体" w:hAnsi="Times New Roman" w:cs="Times New Roman"/>
                <w:color w:val="000000"/>
                <w:sz w:val="18"/>
                <w:szCs w:val="18"/>
              </w:rPr>
            </w:pPr>
            <w:r w:rsidRPr="000008B8">
              <w:rPr>
                <w:rFonts w:ascii="Times New Roman" w:eastAsia="宋体" w:hAnsi="Times New Roman" w:cs="Times New Roman"/>
                <w:color w:val="000000"/>
                <w:sz w:val="18"/>
                <w:szCs w:val="18"/>
              </w:rPr>
              <w:t>先进水平</w:t>
            </w:r>
          </w:p>
        </w:tc>
        <w:tc>
          <w:tcPr>
            <w:tcW w:w="2067" w:type="dxa"/>
            <w:vAlign w:val="center"/>
          </w:tcPr>
          <w:p w:rsidR="000008B8" w:rsidRPr="000008B8" w:rsidRDefault="000008B8" w:rsidP="000008B8">
            <w:pPr>
              <w:adjustRightInd w:val="0"/>
              <w:snapToGrid w:val="0"/>
              <w:jc w:val="center"/>
              <w:rPr>
                <w:rFonts w:ascii="Times New Roman" w:eastAsia="宋体" w:hAnsi="Times New Roman" w:cs="Times New Roman"/>
                <w:color w:val="000000"/>
                <w:sz w:val="18"/>
                <w:szCs w:val="18"/>
              </w:rPr>
            </w:pPr>
            <w:r w:rsidRPr="000008B8">
              <w:rPr>
                <w:rFonts w:ascii="Times New Roman" w:eastAsia="宋体" w:hAnsi="Times New Roman" w:cs="Times New Roman"/>
                <w:color w:val="000000"/>
                <w:sz w:val="18"/>
                <w:szCs w:val="18"/>
              </w:rPr>
              <w:t>平均水平</w:t>
            </w:r>
          </w:p>
        </w:tc>
        <w:tc>
          <w:tcPr>
            <w:tcW w:w="1707" w:type="dxa"/>
            <w:vAlign w:val="center"/>
          </w:tcPr>
          <w:p w:rsidR="000008B8" w:rsidRPr="000008B8" w:rsidRDefault="000008B8" w:rsidP="000008B8">
            <w:pPr>
              <w:adjustRightInd w:val="0"/>
              <w:snapToGrid w:val="0"/>
              <w:jc w:val="center"/>
              <w:rPr>
                <w:rFonts w:ascii="Times New Roman" w:eastAsia="宋体" w:hAnsi="Times New Roman" w:cs="Times New Roman"/>
                <w:color w:val="000000"/>
                <w:sz w:val="18"/>
                <w:szCs w:val="18"/>
              </w:rPr>
            </w:pPr>
            <w:r w:rsidRPr="000008B8">
              <w:rPr>
                <w:rFonts w:ascii="Times New Roman" w:eastAsia="宋体" w:hAnsi="Times New Roman" w:cs="Times New Roman"/>
                <w:color w:val="000000"/>
                <w:sz w:val="18"/>
                <w:szCs w:val="18"/>
              </w:rPr>
              <w:t>基准水平</w:t>
            </w:r>
          </w:p>
        </w:tc>
        <w:tc>
          <w:tcPr>
            <w:tcW w:w="1606" w:type="dxa"/>
            <w:vMerge/>
            <w:vAlign w:val="center"/>
          </w:tcPr>
          <w:p w:rsidR="000008B8" w:rsidRPr="000008B8" w:rsidRDefault="000008B8" w:rsidP="000008B8">
            <w:pPr>
              <w:adjustRightInd w:val="0"/>
              <w:snapToGrid w:val="0"/>
              <w:jc w:val="center"/>
              <w:rPr>
                <w:rFonts w:ascii="Times New Roman" w:eastAsia="宋体" w:hAnsi="Times New Roman" w:cs="Times New Roman"/>
                <w:color w:val="000000"/>
                <w:sz w:val="18"/>
                <w:szCs w:val="18"/>
              </w:rPr>
            </w:pPr>
          </w:p>
        </w:tc>
      </w:tr>
      <w:tr w:rsidR="000008B8" w:rsidRPr="000008B8" w:rsidTr="003372DC">
        <w:trPr>
          <w:trHeight w:val="340"/>
          <w:jc w:val="center"/>
        </w:trPr>
        <w:tc>
          <w:tcPr>
            <w:tcW w:w="597" w:type="dxa"/>
            <w:vMerge w:val="restart"/>
            <w:vAlign w:val="center"/>
          </w:tcPr>
          <w:p w:rsidR="000008B8" w:rsidRPr="000008B8" w:rsidRDefault="000008B8" w:rsidP="000008B8">
            <w:pPr>
              <w:adjustRightInd w:val="0"/>
              <w:snapToGrid w:val="0"/>
              <w:jc w:val="center"/>
              <w:rPr>
                <w:rFonts w:ascii="Times New Roman" w:eastAsia="宋体" w:hAnsi="Times New Roman" w:cs="Times New Roman"/>
                <w:color w:val="000000"/>
                <w:sz w:val="18"/>
                <w:szCs w:val="18"/>
              </w:rPr>
            </w:pPr>
            <w:r w:rsidRPr="000008B8">
              <w:rPr>
                <w:rFonts w:ascii="Times New Roman" w:eastAsia="宋体" w:hAnsi="Times New Roman" w:cs="Times New Roman"/>
                <w:sz w:val="18"/>
                <w:szCs w:val="18"/>
              </w:rPr>
              <w:lastRenderedPageBreak/>
              <w:t>基础指标</w:t>
            </w:r>
          </w:p>
        </w:tc>
        <w:tc>
          <w:tcPr>
            <w:tcW w:w="1720" w:type="dxa"/>
            <w:gridSpan w:val="3"/>
            <w:vAlign w:val="center"/>
          </w:tcPr>
          <w:p w:rsidR="000008B8" w:rsidRPr="000008B8" w:rsidRDefault="000008B8" w:rsidP="000008B8">
            <w:pPr>
              <w:adjustRightInd w:val="0"/>
              <w:snapToGrid w:val="0"/>
              <w:jc w:val="center"/>
              <w:rPr>
                <w:rFonts w:ascii="Times New Roman" w:eastAsia="宋体" w:hAnsi="Times New Roman" w:cs="Times New Roman"/>
                <w:color w:val="000000"/>
                <w:sz w:val="18"/>
                <w:szCs w:val="18"/>
              </w:rPr>
            </w:pPr>
            <w:r w:rsidRPr="000008B8">
              <w:rPr>
                <w:rFonts w:ascii="Times New Roman" w:eastAsia="宋体" w:hAnsi="Times New Roman" w:cs="Times New Roman"/>
                <w:color w:val="000000"/>
                <w:sz w:val="18"/>
                <w:szCs w:val="18"/>
              </w:rPr>
              <w:t>尺寸、外形及允许偏差</w:t>
            </w:r>
          </w:p>
        </w:tc>
        <w:tc>
          <w:tcPr>
            <w:tcW w:w="5480" w:type="dxa"/>
            <w:gridSpan w:val="3"/>
            <w:vAlign w:val="center"/>
          </w:tcPr>
          <w:p w:rsidR="000008B8" w:rsidRPr="000008B8" w:rsidRDefault="000008B8" w:rsidP="000008B8">
            <w:pPr>
              <w:adjustRightInd w:val="0"/>
              <w:snapToGrid w:val="0"/>
              <w:jc w:val="center"/>
              <w:rPr>
                <w:rFonts w:ascii="Times New Roman" w:eastAsia="宋体" w:hAnsi="Times New Roman" w:cs="Times New Roman"/>
                <w:color w:val="000000"/>
                <w:sz w:val="18"/>
                <w:szCs w:val="18"/>
              </w:rPr>
            </w:pPr>
            <w:r w:rsidRPr="000008B8">
              <w:rPr>
                <w:rFonts w:ascii="Times New Roman" w:eastAsia="宋体" w:hAnsi="Times New Roman" w:cs="Times New Roman" w:hint="eastAsia"/>
                <w:sz w:val="18"/>
                <w:szCs w:val="18"/>
              </w:rPr>
              <w:t>符合</w:t>
            </w:r>
            <w:r w:rsidRPr="000008B8">
              <w:rPr>
                <w:rFonts w:ascii="Times New Roman" w:eastAsia="宋体" w:hAnsi="Times New Roman" w:cs="Times New Roman" w:hint="eastAsia"/>
                <w:sz w:val="18"/>
                <w:szCs w:val="18"/>
              </w:rPr>
              <w:t>GB/T</w:t>
            </w:r>
            <w:r w:rsidRPr="000008B8">
              <w:rPr>
                <w:rFonts w:ascii="Times New Roman" w:eastAsia="宋体" w:hAnsi="Times New Roman" w:cs="Times New Roman"/>
                <w:sz w:val="18"/>
                <w:szCs w:val="18"/>
              </w:rPr>
              <w:t xml:space="preserve"> </w:t>
            </w:r>
            <w:r w:rsidRPr="000008B8">
              <w:rPr>
                <w:rFonts w:ascii="Times New Roman" w:eastAsia="宋体" w:hAnsi="Times New Roman" w:cs="Times New Roman" w:hint="eastAsia"/>
                <w:sz w:val="18"/>
                <w:szCs w:val="18"/>
              </w:rPr>
              <w:t>1499.2-2018</w:t>
            </w:r>
            <w:r w:rsidRPr="000008B8">
              <w:rPr>
                <w:rFonts w:ascii="Times New Roman" w:eastAsia="宋体" w:hAnsi="Times New Roman" w:cs="Times New Roman" w:hint="eastAsia"/>
                <w:sz w:val="18"/>
                <w:szCs w:val="18"/>
              </w:rPr>
              <w:t>的</w:t>
            </w:r>
            <w:r w:rsidRPr="000008B8">
              <w:rPr>
                <w:rFonts w:ascii="Times New Roman" w:eastAsia="宋体" w:hAnsi="Times New Roman" w:cs="Times New Roman"/>
                <w:sz w:val="18"/>
                <w:szCs w:val="18"/>
              </w:rPr>
              <w:t>规定</w:t>
            </w:r>
          </w:p>
        </w:tc>
        <w:tc>
          <w:tcPr>
            <w:tcW w:w="1606" w:type="dxa"/>
            <w:vAlign w:val="center"/>
          </w:tcPr>
          <w:p w:rsidR="000008B8" w:rsidRPr="000008B8" w:rsidRDefault="000008B8" w:rsidP="000008B8">
            <w:pPr>
              <w:adjustRightInd w:val="0"/>
              <w:snapToGrid w:val="0"/>
              <w:jc w:val="center"/>
              <w:rPr>
                <w:rFonts w:ascii="Times New Roman" w:eastAsia="宋体" w:hAnsi="Times New Roman" w:cs="Times New Roman"/>
                <w:color w:val="000000"/>
                <w:sz w:val="18"/>
                <w:szCs w:val="18"/>
              </w:rPr>
            </w:pPr>
            <w:r w:rsidRPr="000008B8">
              <w:rPr>
                <w:rFonts w:ascii="Times New Roman" w:eastAsia="宋体" w:hAnsi="Times New Roman" w:cs="Times New Roman" w:hint="eastAsia"/>
                <w:sz w:val="18"/>
                <w:szCs w:val="18"/>
              </w:rPr>
              <w:t>GB/T</w:t>
            </w:r>
            <w:r w:rsidRPr="000008B8">
              <w:rPr>
                <w:rFonts w:ascii="Times New Roman" w:eastAsia="宋体" w:hAnsi="Times New Roman" w:cs="Times New Roman"/>
                <w:sz w:val="18"/>
                <w:szCs w:val="18"/>
              </w:rPr>
              <w:t xml:space="preserve"> </w:t>
            </w:r>
            <w:r w:rsidRPr="000008B8">
              <w:rPr>
                <w:rFonts w:ascii="Times New Roman" w:eastAsia="宋体" w:hAnsi="Times New Roman" w:cs="Times New Roman" w:hint="eastAsia"/>
                <w:sz w:val="18"/>
                <w:szCs w:val="18"/>
              </w:rPr>
              <w:t>1499.2-2018</w:t>
            </w:r>
            <w:r w:rsidRPr="000008B8">
              <w:rPr>
                <w:rFonts w:ascii="Times New Roman" w:eastAsia="宋体" w:hAnsi="Times New Roman" w:cs="Times New Roman"/>
                <w:sz w:val="18"/>
                <w:szCs w:val="18"/>
              </w:rPr>
              <w:t>规定的方法</w:t>
            </w:r>
          </w:p>
        </w:tc>
      </w:tr>
      <w:tr w:rsidR="000008B8" w:rsidRPr="000008B8" w:rsidTr="003372DC">
        <w:trPr>
          <w:trHeight w:val="599"/>
          <w:jc w:val="center"/>
        </w:trPr>
        <w:tc>
          <w:tcPr>
            <w:tcW w:w="597" w:type="dxa"/>
            <w:vMerge/>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p>
        </w:tc>
        <w:tc>
          <w:tcPr>
            <w:tcW w:w="1720" w:type="dxa"/>
            <w:gridSpan w:val="3"/>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sz w:val="18"/>
                <w:szCs w:val="18"/>
              </w:rPr>
              <w:t>表面质量</w:t>
            </w:r>
          </w:p>
        </w:tc>
        <w:tc>
          <w:tcPr>
            <w:tcW w:w="5480" w:type="dxa"/>
            <w:gridSpan w:val="3"/>
            <w:vAlign w:val="center"/>
          </w:tcPr>
          <w:p w:rsidR="000008B8" w:rsidRPr="000008B8" w:rsidRDefault="000008B8" w:rsidP="000008B8">
            <w:pPr>
              <w:adjustRightInd w:val="0"/>
              <w:snapToGrid w:val="0"/>
              <w:jc w:val="center"/>
              <w:rPr>
                <w:rFonts w:ascii="Times New Roman" w:eastAsia="宋体" w:hAnsi="Times New Roman" w:cs="Times New Roman" w:hint="eastAsia"/>
                <w:color w:val="FF0000"/>
                <w:sz w:val="18"/>
                <w:szCs w:val="18"/>
              </w:rPr>
            </w:pPr>
            <w:r w:rsidRPr="000008B8">
              <w:rPr>
                <w:rFonts w:ascii="Times New Roman" w:eastAsia="宋体" w:hAnsi="Times New Roman" w:cs="Times New Roman" w:hint="eastAsia"/>
                <w:sz w:val="18"/>
                <w:szCs w:val="18"/>
              </w:rPr>
              <w:t>符合</w:t>
            </w:r>
            <w:r w:rsidRPr="000008B8">
              <w:rPr>
                <w:rFonts w:ascii="Times New Roman" w:eastAsia="宋体" w:hAnsi="Times New Roman" w:cs="Times New Roman" w:hint="eastAsia"/>
                <w:sz w:val="18"/>
                <w:szCs w:val="18"/>
              </w:rPr>
              <w:t>GB/T</w:t>
            </w:r>
            <w:r w:rsidRPr="000008B8">
              <w:rPr>
                <w:rFonts w:ascii="Times New Roman" w:eastAsia="宋体" w:hAnsi="Times New Roman" w:cs="Times New Roman"/>
                <w:sz w:val="18"/>
                <w:szCs w:val="18"/>
              </w:rPr>
              <w:t xml:space="preserve"> </w:t>
            </w:r>
            <w:r w:rsidRPr="000008B8">
              <w:rPr>
                <w:rFonts w:ascii="Times New Roman" w:eastAsia="宋体" w:hAnsi="Times New Roman" w:cs="Times New Roman" w:hint="eastAsia"/>
                <w:sz w:val="18"/>
                <w:szCs w:val="18"/>
              </w:rPr>
              <w:t>1499.2-2018</w:t>
            </w:r>
            <w:r w:rsidRPr="000008B8">
              <w:rPr>
                <w:rFonts w:ascii="Times New Roman" w:eastAsia="宋体" w:hAnsi="Times New Roman" w:cs="Times New Roman" w:hint="eastAsia"/>
                <w:sz w:val="18"/>
                <w:szCs w:val="18"/>
              </w:rPr>
              <w:t>的</w:t>
            </w:r>
            <w:r w:rsidRPr="000008B8">
              <w:rPr>
                <w:rFonts w:ascii="Times New Roman" w:eastAsia="宋体" w:hAnsi="Times New Roman" w:cs="Times New Roman"/>
                <w:sz w:val="18"/>
                <w:szCs w:val="18"/>
              </w:rPr>
              <w:t>规定</w:t>
            </w:r>
          </w:p>
        </w:tc>
        <w:tc>
          <w:tcPr>
            <w:tcW w:w="1606" w:type="dxa"/>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GB/T</w:t>
            </w:r>
            <w:r w:rsidRPr="000008B8">
              <w:rPr>
                <w:rFonts w:ascii="Times New Roman" w:eastAsia="宋体" w:hAnsi="Times New Roman" w:cs="Times New Roman"/>
                <w:sz w:val="18"/>
                <w:szCs w:val="18"/>
              </w:rPr>
              <w:t xml:space="preserve"> </w:t>
            </w:r>
            <w:r w:rsidRPr="000008B8">
              <w:rPr>
                <w:rFonts w:ascii="Times New Roman" w:eastAsia="宋体" w:hAnsi="Times New Roman" w:cs="Times New Roman" w:hint="eastAsia"/>
                <w:sz w:val="18"/>
                <w:szCs w:val="18"/>
              </w:rPr>
              <w:t>1499.2-2018</w:t>
            </w:r>
            <w:r w:rsidRPr="000008B8">
              <w:rPr>
                <w:rFonts w:ascii="Times New Roman" w:eastAsia="宋体" w:hAnsi="Times New Roman" w:cs="Times New Roman"/>
                <w:sz w:val="18"/>
                <w:szCs w:val="18"/>
              </w:rPr>
              <w:t>规定的方法</w:t>
            </w:r>
          </w:p>
        </w:tc>
      </w:tr>
      <w:tr w:rsidR="000008B8" w:rsidRPr="000008B8" w:rsidTr="003372DC">
        <w:trPr>
          <w:trHeight w:val="653"/>
          <w:jc w:val="center"/>
        </w:trPr>
        <w:tc>
          <w:tcPr>
            <w:tcW w:w="597" w:type="dxa"/>
            <w:vMerge/>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p>
        </w:tc>
        <w:tc>
          <w:tcPr>
            <w:tcW w:w="1720" w:type="dxa"/>
            <w:gridSpan w:val="3"/>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化学成分</w:t>
            </w:r>
          </w:p>
        </w:tc>
        <w:tc>
          <w:tcPr>
            <w:tcW w:w="5480" w:type="dxa"/>
            <w:gridSpan w:val="3"/>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符合</w:t>
            </w:r>
            <w:r w:rsidRPr="000008B8">
              <w:rPr>
                <w:rFonts w:ascii="Times New Roman" w:eastAsia="宋体" w:hAnsi="Times New Roman" w:cs="Times New Roman" w:hint="eastAsia"/>
                <w:sz w:val="18"/>
                <w:szCs w:val="18"/>
              </w:rPr>
              <w:t>GB/T</w:t>
            </w:r>
            <w:r w:rsidRPr="000008B8">
              <w:rPr>
                <w:rFonts w:ascii="Times New Roman" w:eastAsia="宋体" w:hAnsi="Times New Roman" w:cs="Times New Roman"/>
                <w:sz w:val="18"/>
                <w:szCs w:val="18"/>
              </w:rPr>
              <w:t xml:space="preserve"> </w:t>
            </w:r>
            <w:r w:rsidRPr="000008B8">
              <w:rPr>
                <w:rFonts w:ascii="Times New Roman" w:eastAsia="宋体" w:hAnsi="Times New Roman" w:cs="Times New Roman" w:hint="eastAsia"/>
                <w:sz w:val="18"/>
                <w:szCs w:val="18"/>
              </w:rPr>
              <w:t>1499.2-2018</w:t>
            </w:r>
            <w:r w:rsidRPr="000008B8">
              <w:rPr>
                <w:rFonts w:ascii="Times New Roman" w:eastAsia="宋体" w:hAnsi="Times New Roman" w:cs="Times New Roman" w:hint="eastAsia"/>
                <w:sz w:val="18"/>
                <w:szCs w:val="18"/>
              </w:rPr>
              <w:t>的</w:t>
            </w:r>
            <w:r w:rsidRPr="000008B8">
              <w:rPr>
                <w:rFonts w:ascii="Times New Roman" w:eastAsia="宋体" w:hAnsi="Times New Roman" w:cs="Times New Roman"/>
                <w:sz w:val="18"/>
                <w:szCs w:val="18"/>
              </w:rPr>
              <w:t>规定</w:t>
            </w:r>
          </w:p>
        </w:tc>
        <w:tc>
          <w:tcPr>
            <w:tcW w:w="1606"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GB/T</w:t>
            </w:r>
            <w:r w:rsidRPr="000008B8">
              <w:rPr>
                <w:rFonts w:ascii="Times New Roman" w:eastAsia="宋体" w:hAnsi="Times New Roman" w:cs="Times New Roman"/>
                <w:sz w:val="18"/>
                <w:szCs w:val="18"/>
              </w:rPr>
              <w:t xml:space="preserve"> </w:t>
            </w:r>
            <w:r w:rsidRPr="000008B8">
              <w:rPr>
                <w:rFonts w:ascii="Times New Roman" w:eastAsia="宋体" w:hAnsi="Times New Roman" w:cs="Times New Roman" w:hint="eastAsia"/>
                <w:sz w:val="18"/>
                <w:szCs w:val="18"/>
              </w:rPr>
              <w:t>1499.2-2018</w:t>
            </w:r>
            <w:r w:rsidRPr="000008B8">
              <w:rPr>
                <w:rFonts w:ascii="Times New Roman" w:eastAsia="宋体" w:hAnsi="Times New Roman" w:cs="Times New Roman" w:hint="eastAsia"/>
                <w:sz w:val="18"/>
                <w:szCs w:val="18"/>
              </w:rPr>
              <w:t>规定的方法</w:t>
            </w:r>
          </w:p>
        </w:tc>
      </w:tr>
      <w:tr w:rsidR="000008B8" w:rsidRPr="000008B8" w:rsidTr="003372DC">
        <w:trPr>
          <w:trHeight w:val="2278"/>
          <w:jc w:val="center"/>
        </w:trPr>
        <w:tc>
          <w:tcPr>
            <w:tcW w:w="597" w:type="dxa"/>
            <w:vMerge w:val="restart"/>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核心指标</w:t>
            </w:r>
          </w:p>
        </w:tc>
        <w:tc>
          <w:tcPr>
            <w:tcW w:w="1720" w:type="dxa"/>
            <w:gridSpan w:val="3"/>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重量允许偏差</w:t>
            </w:r>
          </w:p>
        </w:tc>
        <w:tc>
          <w:tcPr>
            <w:tcW w:w="1706"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直径</w:t>
            </w:r>
            <w:r w:rsidRPr="000008B8">
              <w:rPr>
                <w:rFonts w:ascii="Times New Roman" w:eastAsia="宋体" w:hAnsi="Times New Roman" w:cs="Times New Roman" w:hint="eastAsia"/>
                <w:sz w:val="18"/>
                <w:szCs w:val="18"/>
              </w:rPr>
              <w:t>6~12mm</w:t>
            </w:r>
            <w:r w:rsidRPr="000008B8">
              <w:rPr>
                <w:rFonts w:ascii="Times New Roman" w:eastAsia="宋体" w:hAnsi="Times New Roman" w:cs="Times New Roman" w:hint="eastAsia"/>
                <w:sz w:val="18"/>
                <w:szCs w:val="18"/>
              </w:rPr>
              <w:t>的实际重量与理论偏差在±</w:t>
            </w:r>
            <w:r w:rsidRPr="000008B8">
              <w:rPr>
                <w:rFonts w:ascii="Times New Roman" w:eastAsia="宋体" w:hAnsi="Times New Roman" w:cs="Times New Roman"/>
                <w:sz w:val="18"/>
                <w:szCs w:val="18"/>
              </w:rPr>
              <w:t>5</w:t>
            </w:r>
            <w:r w:rsidRPr="000008B8">
              <w:rPr>
                <w:rFonts w:ascii="Times New Roman" w:eastAsia="宋体" w:hAnsi="Times New Roman" w:cs="Times New Roman" w:hint="eastAsia"/>
                <w:sz w:val="18"/>
                <w:szCs w:val="18"/>
              </w:rPr>
              <w:t>%</w:t>
            </w:r>
            <w:r w:rsidRPr="000008B8">
              <w:rPr>
                <w:rFonts w:ascii="Times New Roman" w:eastAsia="宋体" w:hAnsi="Times New Roman" w:cs="Times New Roman" w:hint="eastAsia"/>
                <w:sz w:val="18"/>
                <w:szCs w:val="18"/>
              </w:rPr>
              <w:t>以内；</w:t>
            </w:r>
          </w:p>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14~20mm</w:t>
            </w:r>
            <w:r w:rsidRPr="000008B8">
              <w:rPr>
                <w:rFonts w:ascii="Times New Roman" w:eastAsia="宋体" w:hAnsi="Times New Roman" w:cs="Times New Roman" w:hint="eastAsia"/>
                <w:sz w:val="18"/>
                <w:szCs w:val="18"/>
              </w:rPr>
              <w:t>直径的实际重量与理论偏差在±</w:t>
            </w:r>
            <w:r w:rsidRPr="000008B8">
              <w:rPr>
                <w:rFonts w:ascii="Times New Roman" w:eastAsia="宋体" w:hAnsi="Times New Roman" w:cs="Times New Roman"/>
                <w:sz w:val="18"/>
                <w:szCs w:val="18"/>
              </w:rPr>
              <w:t>4</w:t>
            </w:r>
            <w:r w:rsidRPr="000008B8">
              <w:rPr>
                <w:rFonts w:ascii="Times New Roman" w:eastAsia="宋体" w:hAnsi="Times New Roman" w:cs="Times New Roman" w:hint="eastAsia"/>
                <w:sz w:val="18"/>
                <w:szCs w:val="18"/>
              </w:rPr>
              <w:t>%</w:t>
            </w:r>
            <w:r w:rsidRPr="000008B8">
              <w:rPr>
                <w:rFonts w:ascii="Times New Roman" w:eastAsia="宋体" w:hAnsi="Times New Roman" w:cs="Times New Roman" w:hint="eastAsia"/>
                <w:sz w:val="18"/>
                <w:szCs w:val="18"/>
              </w:rPr>
              <w:t>以内；</w:t>
            </w:r>
          </w:p>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22~50mm</w:t>
            </w:r>
            <w:r w:rsidRPr="000008B8">
              <w:rPr>
                <w:rFonts w:ascii="Times New Roman" w:eastAsia="宋体" w:hAnsi="Times New Roman" w:cs="Times New Roman" w:hint="eastAsia"/>
                <w:sz w:val="18"/>
                <w:szCs w:val="18"/>
              </w:rPr>
              <w:t>直径的实际重量与理论偏差在±</w:t>
            </w:r>
            <w:r w:rsidRPr="000008B8">
              <w:rPr>
                <w:rFonts w:ascii="Times New Roman" w:eastAsia="宋体" w:hAnsi="Times New Roman" w:cs="Times New Roman"/>
                <w:sz w:val="18"/>
                <w:szCs w:val="18"/>
              </w:rPr>
              <w:t>3</w:t>
            </w:r>
            <w:r w:rsidRPr="000008B8">
              <w:rPr>
                <w:rFonts w:ascii="Times New Roman" w:eastAsia="宋体" w:hAnsi="Times New Roman" w:cs="Times New Roman" w:hint="eastAsia"/>
                <w:sz w:val="18"/>
                <w:szCs w:val="18"/>
              </w:rPr>
              <w:t>%</w:t>
            </w:r>
            <w:r w:rsidRPr="000008B8">
              <w:rPr>
                <w:rFonts w:ascii="Times New Roman" w:eastAsia="宋体" w:hAnsi="Times New Roman" w:cs="Times New Roman" w:hint="eastAsia"/>
                <w:sz w:val="18"/>
                <w:szCs w:val="18"/>
              </w:rPr>
              <w:t>以内。</w:t>
            </w:r>
          </w:p>
        </w:tc>
        <w:tc>
          <w:tcPr>
            <w:tcW w:w="2067"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6~12mm</w:t>
            </w:r>
            <w:r w:rsidRPr="000008B8">
              <w:rPr>
                <w:rFonts w:ascii="Times New Roman" w:eastAsia="宋体" w:hAnsi="Times New Roman" w:cs="Times New Roman" w:hint="eastAsia"/>
                <w:sz w:val="18"/>
                <w:szCs w:val="18"/>
              </w:rPr>
              <w:t>直径的实际重量与理论偏差在±</w:t>
            </w:r>
            <w:r w:rsidRPr="000008B8">
              <w:rPr>
                <w:rFonts w:ascii="Times New Roman" w:eastAsia="宋体" w:hAnsi="Times New Roman" w:cs="Times New Roman"/>
                <w:sz w:val="18"/>
                <w:szCs w:val="18"/>
              </w:rPr>
              <w:t>5.5</w:t>
            </w:r>
            <w:r w:rsidRPr="000008B8">
              <w:rPr>
                <w:rFonts w:ascii="Times New Roman" w:eastAsia="宋体" w:hAnsi="Times New Roman" w:cs="Times New Roman" w:hint="eastAsia"/>
                <w:sz w:val="18"/>
                <w:szCs w:val="18"/>
              </w:rPr>
              <w:t>%</w:t>
            </w:r>
            <w:r w:rsidRPr="000008B8">
              <w:rPr>
                <w:rFonts w:ascii="Times New Roman" w:eastAsia="宋体" w:hAnsi="Times New Roman" w:cs="Times New Roman" w:hint="eastAsia"/>
                <w:sz w:val="18"/>
                <w:szCs w:val="18"/>
              </w:rPr>
              <w:t>以内；</w:t>
            </w:r>
          </w:p>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14~20mm</w:t>
            </w:r>
            <w:r w:rsidRPr="000008B8">
              <w:rPr>
                <w:rFonts w:ascii="Times New Roman" w:eastAsia="宋体" w:hAnsi="Times New Roman" w:cs="Times New Roman" w:hint="eastAsia"/>
                <w:sz w:val="18"/>
                <w:szCs w:val="18"/>
              </w:rPr>
              <w:t>直径的实际重量与理论偏差在±</w:t>
            </w:r>
            <w:r w:rsidRPr="000008B8">
              <w:rPr>
                <w:rFonts w:ascii="Times New Roman" w:eastAsia="宋体" w:hAnsi="Times New Roman" w:cs="Times New Roman"/>
                <w:sz w:val="18"/>
                <w:szCs w:val="18"/>
              </w:rPr>
              <w:t>4.</w:t>
            </w:r>
            <w:r w:rsidRPr="000008B8">
              <w:rPr>
                <w:rFonts w:ascii="Times New Roman" w:eastAsia="宋体" w:hAnsi="Times New Roman" w:cs="Times New Roman" w:hint="eastAsia"/>
                <w:sz w:val="18"/>
                <w:szCs w:val="18"/>
              </w:rPr>
              <w:t>5%</w:t>
            </w:r>
            <w:r w:rsidRPr="000008B8">
              <w:rPr>
                <w:rFonts w:ascii="Times New Roman" w:eastAsia="宋体" w:hAnsi="Times New Roman" w:cs="Times New Roman" w:hint="eastAsia"/>
                <w:sz w:val="18"/>
                <w:szCs w:val="18"/>
              </w:rPr>
              <w:t>以内；</w:t>
            </w:r>
          </w:p>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22~50mm</w:t>
            </w:r>
            <w:r w:rsidRPr="000008B8">
              <w:rPr>
                <w:rFonts w:ascii="Times New Roman" w:eastAsia="宋体" w:hAnsi="Times New Roman" w:cs="Times New Roman" w:hint="eastAsia"/>
                <w:sz w:val="18"/>
                <w:szCs w:val="18"/>
              </w:rPr>
              <w:t>直径的实际重量与理论偏差在±</w:t>
            </w:r>
            <w:r w:rsidRPr="000008B8">
              <w:rPr>
                <w:rFonts w:ascii="Times New Roman" w:eastAsia="宋体" w:hAnsi="Times New Roman" w:cs="Times New Roman"/>
                <w:sz w:val="18"/>
                <w:szCs w:val="18"/>
              </w:rPr>
              <w:t>3.5</w:t>
            </w:r>
            <w:r w:rsidRPr="000008B8">
              <w:rPr>
                <w:rFonts w:ascii="Times New Roman" w:eastAsia="宋体" w:hAnsi="Times New Roman" w:cs="Times New Roman" w:hint="eastAsia"/>
                <w:sz w:val="18"/>
                <w:szCs w:val="18"/>
              </w:rPr>
              <w:t>%</w:t>
            </w:r>
            <w:r w:rsidRPr="000008B8">
              <w:rPr>
                <w:rFonts w:ascii="Times New Roman" w:eastAsia="宋体" w:hAnsi="Times New Roman" w:cs="Times New Roman" w:hint="eastAsia"/>
                <w:sz w:val="18"/>
                <w:szCs w:val="18"/>
              </w:rPr>
              <w:t>以内。</w:t>
            </w:r>
          </w:p>
        </w:tc>
        <w:tc>
          <w:tcPr>
            <w:tcW w:w="1707"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6~12mm</w:t>
            </w:r>
            <w:r w:rsidRPr="000008B8">
              <w:rPr>
                <w:rFonts w:ascii="Times New Roman" w:eastAsia="宋体" w:hAnsi="Times New Roman" w:cs="Times New Roman" w:hint="eastAsia"/>
                <w:sz w:val="18"/>
                <w:szCs w:val="18"/>
              </w:rPr>
              <w:t>直径的实际重量与理论偏差在±</w:t>
            </w:r>
            <w:r w:rsidRPr="000008B8">
              <w:rPr>
                <w:rFonts w:ascii="Times New Roman" w:eastAsia="宋体" w:hAnsi="Times New Roman" w:cs="Times New Roman" w:hint="eastAsia"/>
                <w:sz w:val="18"/>
                <w:szCs w:val="18"/>
              </w:rPr>
              <w:t>6%</w:t>
            </w:r>
            <w:r w:rsidRPr="000008B8">
              <w:rPr>
                <w:rFonts w:ascii="Times New Roman" w:eastAsia="宋体" w:hAnsi="Times New Roman" w:cs="Times New Roman" w:hint="eastAsia"/>
                <w:sz w:val="18"/>
                <w:szCs w:val="18"/>
              </w:rPr>
              <w:t>以内；</w:t>
            </w:r>
          </w:p>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14~20mm</w:t>
            </w:r>
            <w:r w:rsidRPr="000008B8">
              <w:rPr>
                <w:rFonts w:ascii="Times New Roman" w:eastAsia="宋体" w:hAnsi="Times New Roman" w:cs="Times New Roman" w:hint="eastAsia"/>
                <w:sz w:val="18"/>
                <w:szCs w:val="18"/>
              </w:rPr>
              <w:t>直径的实际重量与理论偏差在±</w:t>
            </w:r>
            <w:r w:rsidRPr="000008B8">
              <w:rPr>
                <w:rFonts w:ascii="Times New Roman" w:eastAsia="宋体" w:hAnsi="Times New Roman" w:cs="Times New Roman" w:hint="eastAsia"/>
                <w:sz w:val="18"/>
                <w:szCs w:val="18"/>
              </w:rPr>
              <w:t>5%</w:t>
            </w:r>
            <w:r w:rsidRPr="000008B8">
              <w:rPr>
                <w:rFonts w:ascii="Times New Roman" w:eastAsia="宋体" w:hAnsi="Times New Roman" w:cs="Times New Roman" w:hint="eastAsia"/>
                <w:sz w:val="18"/>
                <w:szCs w:val="18"/>
              </w:rPr>
              <w:t>以内；</w:t>
            </w:r>
          </w:p>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22~50mm</w:t>
            </w:r>
            <w:r w:rsidRPr="000008B8">
              <w:rPr>
                <w:rFonts w:ascii="Times New Roman" w:eastAsia="宋体" w:hAnsi="Times New Roman" w:cs="Times New Roman" w:hint="eastAsia"/>
                <w:sz w:val="18"/>
                <w:szCs w:val="18"/>
              </w:rPr>
              <w:t>直径的实际重量与理论偏差在±</w:t>
            </w:r>
            <w:r w:rsidRPr="000008B8">
              <w:rPr>
                <w:rFonts w:ascii="Times New Roman" w:eastAsia="宋体" w:hAnsi="Times New Roman" w:cs="Times New Roman" w:hint="eastAsia"/>
                <w:sz w:val="18"/>
                <w:szCs w:val="18"/>
              </w:rPr>
              <w:t>4%</w:t>
            </w:r>
            <w:r w:rsidRPr="000008B8">
              <w:rPr>
                <w:rFonts w:ascii="Times New Roman" w:eastAsia="宋体" w:hAnsi="Times New Roman" w:cs="Times New Roman" w:hint="eastAsia"/>
                <w:sz w:val="18"/>
                <w:szCs w:val="18"/>
              </w:rPr>
              <w:t>以内。</w:t>
            </w:r>
          </w:p>
        </w:tc>
        <w:tc>
          <w:tcPr>
            <w:tcW w:w="1606" w:type="dxa"/>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GB/T</w:t>
            </w:r>
            <w:r w:rsidRPr="000008B8">
              <w:rPr>
                <w:rFonts w:ascii="Times New Roman" w:eastAsia="宋体" w:hAnsi="Times New Roman" w:cs="Times New Roman"/>
                <w:sz w:val="18"/>
                <w:szCs w:val="18"/>
              </w:rPr>
              <w:t xml:space="preserve"> </w:t>
            </w:r>
            <w:r w:rsidRPr="000008B8">
              <w:rPr>
                <w:rFonts w:ascii="Times New Roman" w:eastAsia="宋体" w:hAnsi="Times New Roman" w:cs="Times New Roman" w:hint="eastAsia"/>
                <w:sz w:val="18"/>
                <w:szCs w:val="18"/>
              </w:rPr>
              <w:t>1499.2-2018</w:t>
            </w:r>
            <w:r w:rsidRPr="000008B8">
              <w:rPr>
                <w:rFonts w:ascii="Times New Roman" w:eastAsia="宋体" w:hAnsi="Times New Roman" w:cs="Times New Roman"/>
                <w:sz w:val="18"/>
                <w:szCs w:val="18"/>
              </w:rPr>
              <w:t>规定的方法</w:t>
            </w:r>
          </w:p>
        </w:tc>
      </w:tr>
      <w:tr w:rsidR="000008B8" w:rsidRPr="000008B8" w:rsidTr="003372DC">
        <w:trPr>
          <w:trHeight w:val="695"/>
          <w:jc w:val="center"/>
        </w:trPr>
        <w:tc>
          <w:tcPr>
            <w:tcW w:w="597" w:type="dxa"/>
            <w:vMerge/>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p>
        </w:tc>
        <w:tc>
          <w:tcPr>
            <w:tcW w:w="1720" w:type="dxa"/>
            <w:gridSpan w:val="3"/>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P</w:t>
            </w:r>
            <w:r w:rsidRPr="000008B8">
              <w:rPr>
                <w:rFonts w:ascii="Times New Roman" w:eastAsia="宋体" w:hAnsi="Times New Roman" w:cs="Times New Roman" w:hint="eastAsia"/>
                <w:sz w:val="18"/>
                <w:szCs w:val="18"/>
              </w:rPr>
              <w:t>、</w:t>
            </w:r>
            <w:r w:rsidRPr="000008B8">
              <w:rPr>
                <w:rFonts w:ascii="Times New Roman" w:eastAsia="宋体" w:hAnsi="Times New Roman" w:cs="Times New Roman" w:hint="eastAsia"/>
                <w:sz w:val="18"/>
                <w:szCs w:val="18"/>
              </w:rPr>
              <w:t>S</w:t>
            </w:r>
            <w:r w:rsidRPr="000008B8">
              <w:rPr>
                <w:rFonts w:ascii="Times New Roman" w:eastAsia="宋体" w:hAnsi="Times New Roman" w:cs="Times New Roman" w:hint="eastAsia"/>
                <w:sz w:val="18"/>
                <w:szCs w:val="18"/>
              </w:rPr>
              <w:t>元素含量</w:t>
            </w:r>
          </w:p>
        </w:tc>
        <w:tc>
          <w:tcPr>
            <w:tcW w:w="1706" w:type="dxa"/>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sz w:val="18"/>
                <w:szCs w:val="18"/>
              </w:rPr>
              <w:t>P≤</w:t>
            </w:r>
            <w:r w:rsidRPr="000008B8">
              <w:rPr>
                <w:rFonts w:ascii="Times New Roman" w:eastAsia="宋体" w:hAnsi="Times New Roman" w:cs="Times New Roman" w:hint="eastAsia"/>
                <w:sz w:val="18"/>
                <w:szCs w:val="18"/>
              </w:rPr>
              <w:t>0.020%</w:t>
            </w:r>
          </w:p>
          <w:p w:rsidR="000008B8" w:rsidRPr="000008B8" w:rsidRDefault="000008B8" w:rsidP="000008B8">
            <w:pPr>
              <w:widowControl/>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S</w:t>
            </w:r>
            <w:r w:rsidRPr="000008B8">
              <w:rPr>
                <w:rFonts w:ascii="Times New Roman" w:eastAsia="宋体" w:hAnsi="Times New Roman" w:cs="Times New Roman"/>
                <w:sz w:val="18"/>
                <w:szCs w:val="18"/>
              </w:rPr>
              <w:t>≤</w:t>
            </w:r>
            <w:r w:rsidRPr="000008B8">
              <w:rPr>
                <w:rFonts w:ascii="Times New Roman" w:eastAsia="宋体" w:hAnsi="Times New Roman" w:cs="Times New Roman" w:hint="eastAsia"/>
                <w:sz w:val="18"/>
                <w:szCs w:val="18"/>
              </w:rPr>
              <w:t>0.020%</w:t>
            </w:r>
          </w:p>
        </w:tc>
        <w:tc>
          <w:tcPr>
            <w:tcW w:w="2067" w:type="dxa"/>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sz w:val="18"/>
                <w:szCs w:val="18"/>
              </w:rPr>
              <w:t>P≤</w:t>
            </w:r>
            <w:r w:rsidRPr="000008B8">
              <w:rPr>
                <w:rFonts w:ascii="Times New Roman" w:eastAsia="宋体" w:hAnsi="Times New Roman" w:cs="Times New Roman" w:hint="eastAsia"/>
                <w:sz w:val="18"/>
                <w:szCs w:val="18"/>
              </w:rPr>
              <w:t>0.030%</w:t>
            </w:r>
          </w:p>
          <w:p w:rsidR="000008B8" w:rsidRPr="000008B8" w:rsidRDefault="000008B8" w:rsidP="000008B8">
            <w:pPr>
              <w:widowControl/>
              <w:jc w:val="center"/>
              <w:rPr>
                <w:rFonts w:ascii="Times New Roman" w:eastAsia="宋体" w:hAnsi="Times New Roman" w:cs="Times New Roman" w:hint="eastAsia"/>
                <w:sz w:val="18"/>
                <w:szCs w:val="18"/>
              </w:rPr>
            </w:pPr>
            <w:r w:rsidRPr="000008B8">
              <w:rPr>
                <w:rFonts w:ascii="Times New Roman" w:eastAsia="宋体" w:hAnsi="Times New Roman" w:cs="Times New Roman"/>
                <w:sz w:val="18"/>
                <w:szCs w:val="18"/>
              </w:rPr>
              <w:t>S≤</w:t>
            </w:r>
            <w:r w:rsidRPr="000008B8">
              <w:rPr>
                <w:rFonts w:ascii="Times New Roman" w:eastAsia="宋体" w:hAnsi="Times New Roman" w:cs="Times New Roman" w:hint="eastAsia"/>
                <w:sz w:val="18"/>
                <w:szCs w:val="18"/>
              </w:rPr>
              <w:t>0.030%</w:t>
            </w:r>
          </w:p>
        </w:tc>
        <w:tc>
          <w:tcPr>
            <w:tcW w:w="1707" w:type="dxa"/>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sz w:val="18"/>
                <w:szCs w:val="18"/>
              </w:rPr>
              <w:t>P≤</w:t>
            </w:r>
            <w:r w:rsidRPr="000008B8">
              <w:rPr>
                <w:rFonts w:ascii="Times New Roman" w:eastAsia="宋体" w:hAnsi="Times New Roman" w:cs="Times New Roman" w:hint="eastAsia"/>
                <w:sz w:val="18"/>
                <w:szCs w:val="18"/>
              </w:rPr>
              <w:t>0</w:t>
            </w:r>
            <w:r w:rsidRPr="000008B8">
              <w:rPr>
                <w:rFonts w:ascii="Times New Roman" w:eastAsia="宋体" w:hAnsi="Times New Roman" w:cs="Times New Roman"/>
                <w:sz w:val="18"/>
                <w:szCs w:val="18"/>
              </w:rPr>
              <w:t>.0</w:t>
            </w:r>
            <w:r w:rsidRPr="000008B8">
              <w:rPr>
                <w:rFonts w:ascii="Times New Roman" w:eastAsia="宋体" w:hAnsi="Times New Roman" w:cs="Times New Roman" w:hint="eastAsia"/>
                <w:sz w:val="18"/>
                <w:szCs w:val="18"/>
              </w:rPr>
              <w:t>4</w:t>
            </w:r>
            <w:r w:rsidRPr="000008B8">
              <w:rPr>
                <w:rFonts w:ascii="Times New Roman" w:eastAsia="宋体" w:hAnsi="Times New Roman" w:cs="Times New Roman"/>
                <w:sz w:val="18"/>
                <w:szCs w:val="18"/>
              </w:rPr>
              <w:t>5</w:t>
            </w:r>
            <w:r w:rsidRPr="000008B8">
              <w:rPr>
                <w:rFonts w:ascii="Times New Roman" w:eastAsia="宋体" w:hAnsi="Times New Roman" w:cs="Times New Roman" w:hint="eastAsia"/>
                <w:sz w:val="18"/>
                <w:szCs w:val="18"/>
              </w:rPr>
              <w:t>%</w:t>
            </w:r>
          </w:p>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S</w:t>
            </w:r>
            <w:r w:rsidRPr="000008B8">
              <w:rPr>
                <w:rFonts w:ascii="Times New Roman" w:eastAsia="宋体" w:hAnsi="Times New Roman" w:cs="Times New Roman"/>
                <w:sz w:val="18"/>
                <w:szCs w:val="18"/>
              </w:rPr>
              <w:t>≤</w:t>
            </w:r>
            <w:r w:rsidRPr="000008B8">
              <w:rPr>
                <w:rFonts w:ascii="Times New Roman" w:eastAsia="宋体" w:hAnsi="Times New Roman" w:cs="Times New Roman" w:hint="eastAsia"/>
                <w:sz w:val="18"/>
                <w:szCs w:val="18"/>
              </w:rPr>
              <w:t>0</w:t>
            </w:r>
            <w:r w:rsidRPr="000008B8">
              <w:rPr>
                <w:rFonts w:ascii="Times New Roman" w:eastAsia="宋体" w:hAnsi="Times New Roman" w:cs="Times New Roman"/>
                <w:sz w:val="18"/>
                <w:szCs w:val="18"/>
              </w:rPr>
              <w:t>.0</w:t>
            </w:r>
            <w:r w:rsidRPr="000008B8">
              <w:rPr>
                <w:rFonts w:ascii="Times New Roman" w:eastAsia="宋体" w:hAnsi="Times New Roman" w:cs="Times New Roman" w:hint="eastAsia"/>
                <w:sz w:val="18"/>
                <w:szCs w:val="18"/>
              </w:rPr>
              <w:t>4</w:t>
            </w:r>
            <w:r w:rsidRPr="000008B8">
              <w:rPr>
                <w:rFonts w:ascii="Times New Roman" w:eastAsia="宋体" w:hAnsi="Times New Roman" w:cs="Times New Roman"/>
                <w:sz w:val="18"/>
                <w:szCs w:val="18"/>
              </w:rPr>
              <w:t>5</w:t>
            </w:r>
            <w:r w:rsidRPr="000008B8">
              <w:rPr>
                <w:rFonts w:ascii="Times New Roman" w:eastAsia="宋体" w:hAnsi="Times New Roman" w:cs="Times New Roman" w:hint="eastAsia"/>
                <w:sz w:val="18"/>
                <w:szCs w:val="18"/>
              </w:rPr>
              <w:t>%</w:t>
            </w:r>
          </w:p>
        </w:tc>
        <w:tc>
          <w:tcPr>
            <w:tcW w:w="1606"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GB/T</w:t>
            </w:r>
            <w:r w:rsidRPr="000008B8">
              <w:rPr>
                <w:rFonts w:ascii="Times New Roman" w:eastAsia="宋体" w:hAnsi="Times New Roman" w:cs="Times New Roman"/>
                <w:sz w:val="18"/>
                <w:szCs w:val="18"/>
              </w:rPr>
              <w:t xml:space="preserve"> </w:t>
            </w:r>
            <w:r w:rsidRPr="000008B8">
              <w:rPr>
                <w:rFonts w:ascii="Times New Roman" w:eastAsia="宋体" w:hAnsi="Times New Roman" w:cs="Times New Roman" w:hint="eastAsia"/>
                <w:sz w:val="18"/>
                <w:szCs w:val="18"/>
              </w:rPr>
              <w:t>1499.2-2018</w:t>
            </w:r>
            <w:r w:rsidRPr="000008B8">
              <w:rPr>
                <w:rFonts w:ascii="Times New Roman" w:eastAsia="宋体" w:hAnsi="Times New Roman" w:cs="Times New Roman"/>
                <w:sz w:val="18"/>
                <w:szCs w:val="18"/>
              </w:rPr>
              <w:t>规定的方法</w:t>
            </w:r>
          </w:p>
        </w:tc>
      </w:tr>
      <w:tr w:rsidR="000008B8" w:rsidRPr="000008B8" w:rsidTr="003372DC">
        <w:trPr>
          <w:trHeight w:val="682"/>
          <w:jc w:val="center"/>
        </w:trPr>
        <w:tc>
          <w:tcPr>
            <w:tcW w:w="597" w:type="dxa"/>
            <w:vMerge/>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p>
        </w:tc>
        <w:tc>
          <w:tcPr>
            <w:tcW w:w="523" w:type="dxa"/>
            <w:vMerge w:val="restart"/>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组织</w:t>
            </w:r>
          </w:p>
        </w:tc>
        <w:tc>
          <w:tcPr>
            <w:tcW w:w="1197" w:type="dxa"/>
            <w:gridSpan w:val="2"/>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截面宏观组织</w:t>
            </w:r>
          </w:p>
        </w:tc>
        <w:tc>
          <w:tcPr>
            <w:tcW w:w="3773" w:type="dxa"/>
            <w:gridSpan w:val="2"/>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截面衬度均匀的宏观金相特征</w:t>
            </w:r>
          </w:p>
        </w:tc>
        <w:tc>
          <w:tcPr>
            <w:tcW w:w="1707" w:type="dxa"/>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基圆外围有明显不同于内部区域衬度的不封闭环</w:t>
            </w:r>
          </w:p>
        </w:tc>
        <w:tc>
          <w:tcPr>
            <w:tcW w:w="1606" w:type="dxa"/>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GB/T</w:t>
            </w:r>
            <w:r w:rsidRPr="000008B8">
              <w:rPr>
                <w:rFonts w:ascii="Times New Roman" w:eastAsia="宋体" w:hAnsi="Times New Roman" w:cs="Times New Roman"/>
                <w:sz w:val="18"/>
                <w:szCs w:val="18"/>
              </w:rPr>
              <w:t xml:space="preserve"> </w:t>
            </w:r>
            <w:r w:rsidRPr="000008B8">
              <w:rPr>
                <w:rFonts w:ascii="Times New Roman" w:eastAsia="宋体" w:hAnsi="Times New Roman" w:cs="Times New Roman" w:hint="eastAsia"/>
                <w:sz w:val="18"/>
                <w:szCs w:val="18"/>
              </w:rPr>
              <w:t>1499.2-2018</w:t>
            </w:r>
            <w:r w:rsidRPr="000008B8">
              <w:rPr>
                <w:rFonts w:ascii="Times New Roman" w:eastAsia="宋体" w:hAnsi="Times New Roman" w:cs="Times New Roman"/>
                <w:sz w:val="18"/>
                <w:szCs w:val="18"/>
              </w:rPr>
              <w:t>规定的方法</w:t>
            </w:r>
          </w:p>
        </w:tc>
      </w:tr>
      <w:tr w:rsidR="000008B8" w:rsidRPr="000008B8" w:rsidTr="003372DC">
        <w:trPr>
          <w:trHeight w:val="664"/>
          <w:jc w:val="center"/>
        </w:trPr>
        <w:tc>
          <w:tcPr>
            <w:tcW w:w="597" w:type="dxa"/>
            <w:vMerge/>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p>
        </w:tc>
        <w:tc>
          <w:tcPr>
            <w:tcW w:w="523" w:type="dxa"/>
            <w:vMerge/>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p>
        </w:tc>
        <w:tc>
          <w:tcPr>
            <w:tcW w:w="1197" w:type="dxa"/>
            <w:gridSpan w:val="2"/>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截面显微组织</w:t>
            </w:r>
          </w:p>
        </w:tc>
        <w:tc>
          <w:tcPr>
            <w:tcW w:w="3773" w:type="dxa"/>
            <w:gridSpan w:val="2"/>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铁素体</w:t>
            </w:r>
            <w:r w:rsidRPr="000008B8">
              <w:rPr>
                <w:rFonts w:ascii="Times New Roman" w:eastAsia="宋体" w:hAnsi="Times New Roman" w:cs="Times New Roman" w:hint="eastAsia"/>
                <w:sz w:val="18"/>
                <w:szCs w:val="18"/>
              </w:rPr>
              <w:t>+</w:t>
            </w:r>
            <w:r w:rsidRPr="000008B8">
              <w:rPr>
                <w:rFonts w:ascii="Times New Roman" w:eastAsia="宋体" w:hAnsi="Times New Roman" w:cs="Times New Roman" w:hint="eastAsia"/>
                <w:sz w:val="18"/>
                <w:szCs w:val="18"/>
              </w:rPr>
              <w:t>珠光体</w:t>
            </w:r>
          </w:p>
        </w:tc>
        <w:tc>
          <w:tcPr>
            <w:tcW w:w="1707" w:type="dxa"/>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主要为铁素体加珠光体，基圆上无回火马氏体组织</w:t>
            </w:r>
          </w:p>
        </w:tc>
        <w:tc>
          <w:tcPr>
            <w:tcW w:w="1606" w:type="dxa"/>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GB/T</w:t>
            </w:r>
            <w:r w:rsidRPr="000008B8">
              <w:rPr>
                <w:rFonts w:ascii="Times New Roman" w:eastAsia="宋体" w:hAnsi="Times New Roman" w:cs="Times New Roman"/>
                <w:sz w:val="18"/>
                <w:szCs w:val="18"/>
              </w:rPr>
              <w:t xml:space="preserve"> </w:t>
            </w:r>
            <w:r w:rsidRPr="000008B8">
              <w:rPr>
                <w:rFonts w:ascii="Times New Roman" w:eastAsia="宋体" w:hAnsi="Times New Roman" w:cs="Times New Roman" w:hint="eastAsia"/>
                <w:sz w:val="18"/>
                <w:szCs w:val="18"/>
              </w:rPr>
              <w:t>1499.2-2018</w:t>
            </w:r>
            <w:r w:rsidRPr="000008B8">
              <w:rPr>
                <w:rFonts w:ascii="Times New Roman" w:eastAsia="宋体" w:hAnsi="Times New Roman" w:cs="Times New Roman" w:hint="eastAsia"/>
                <w:sz w:val="18"/>
                <w:szCs w:val="18"/>
              </w:rPr>
              <w:t>规定的方法</w:t>
            </w:r>
          </w:p>
        </w:tc>
      </w:tr>
      <w:tr w:rsidR="000008B8" w:rsidRPr="000008B8" w:rsidTr="003372DC">
        <w:trPr>
          <w:trHeight w:val="165"/>
          <w:jc w:val="center"/>
        </w:trPr>
        <w:tc>
          <w:tcPr>
            <w:tcW w:w="597" w:type="dxa"/>
            <w:vMerge/>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p>
        </w:tc>
        <w:tc>
          <w:tcPr>
            <w:tcW w:w="1720" w:type="dxa"/>
            <w:gridSpan w:val="3"/>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晶粒度</w:t>
            </w:r>
          </w:p>
        </w:tc>
        <w:tc>
          <w:tcPr>
            <w:tcW w:w="1706"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Arial" w:eastAsia="宋体" w:hAnsi="Arial" w:cs="Arial"/>
                <w:sz w:val="18"/>
                <w:szCs w:val="18"/>
              </w:rPr>
              <w:t>≥</w:t>
            </w:r>
            <w:r w:rsidRPr="000008B8">
              <w:rPr>
                <w:rFonts w:ascii="Times New Roman" w:eastAsia="宋体" w:hAnsi="Times New Roman" w:cs="Times New Roman" w:hint="eastAsia"/>
                <w:sz w:val="18"/>
                <w:szCs w:val="18"/>
              </w:rPr>
              <w:t>9.5</w:t>
            </w:r>
          </w:p>
        </w:tc>
        <w:tc>
          <w:tcPr>
            <w:tcW w:w="2067"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Arial" w:eastAsia="宋体" w:hAnsi="Arial" w:cs="Arial"/>
                <w:sz w:val="18"/>
                <w:szCs w:val="18"/>
              </w:rPr>
              <w:t>≥</w:t>
            </w:r>
            <w:r w:rsidRPr="000008B8">
              <w:rPr>
                <w:rFonts w:ascii="Times New Roman" w:eastAsia="宋体" w:hAnsi="Times New Roman" w:cs="Times New Roman" w:hint="eastAsia"/>
                <w:sz w:val="18"/>
                <w:szCs w:val="18"/>
              </w:rPr>
              <w:t>8.5</w:t>
            </w:r>
          </w:p>
        </w:tc>
        <w:tc>
          <w:tcPr>
            <w:tcW w:w="1707" w:type="dxa"/>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Arial" w:eastAsia="宋体" w:hAnsi="Arial" w:cs="Arial"/>
                <w:sz w:val="18"/>
                <w:szCs w:val="18"/>
              </w:rPr>
              <w:t>≥</w:t>
            </w:r>
            <w:r w:rsidRPr="000008B8">
              <w:rPr>
                <w:rFonts w:ascii="Times New Roman" w:eastAsia="宋体" w:hAnsi="Times New Roman" w:cs="Times New Roman" w:hint="eastAsia"/>
                <w:sz w:val="18"/>
                <w:szCs w:val="18"/>
              </w:rPr>
              <w:t>7.5</w:t>
            </w:r>
          </w:p>
        </w:tc>
        <w:tc>
          <w:tcPr>
            <w:tcW w:w="1606"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GB/T 6394</w:t>
            </w:r>
            <w:r w:rsidRPr="000008B8">
              <w:rPr>
                <w:rFonts w:ascii="Times New Roman" w:eastAsia="宋体" w:hAnsi="Times New Roman" w:cs="Times New Roman" w:hint="eastAsia"/>
                <w:sz w:val="18"/>
                <w:szCs w:val="18"/>
              </w:rPr>
              <w:t>规定的方法</w:t>
            </w:r>
          </w:p>
        </w:tc>
      </w:tr>
      <w:tr w:rsidR="000008B8" w:rsidRPr="000008B8" w:rsidTr="003372DC">
        <w:trPr>
          <w:trHeight w:val="165"/>
          <w:jc w:val="center"/>
        </w:trPr>
        <w:tc>
          <w:tcPr>
            <w:tcW w:w="597" w:type="dxa"/>
            <w:vMerge/>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p>
        </w:tc>
        <w:tc>
          <w:tcPr>
            <w:tcW w:w="1720" w:type="dxa"/>
            <w:gridSpan w:val="3"/>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弯曲度</w:t>
            </w:r>
          </w:p>
        </w:tc>
        <w:tc>
          <w:tcPr>
            <w:tcW w:w="1706"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Arial" w:eastAsia="宋体" w:hAnsi="Arial" w:cs="Arial" w:hint="eastAsia"/>
                <w:sz w:val="18"/>
                <w:szCs w:val="18"/>
              </w:rPr>
              <w:t>每米弯曲度应不大于</w:t>
            </w:r>
            <w:r w:rsidRPr="000008B8">
              <w:rPr>
                <w:rFonts w:ascii="Arial" w:eastAsia="宋体" w:hAnsi="Arial" w:cs="Arial" w:hint="eastAsia"/>
                <w:sz w:val="18"/>
                <w:szCs w:val="18"/>
              </w:rPr>
              <w:t>4mm</w:t>
            </w:r>
            <w:r w:rsidRPr="000008B8">
              <w:rPr>
                <w:rFonts w:ascii="Arial" w:eastAsia="宋体" w:hAnsi="Arial" w:cs="Arial" w:hint="eastAsia"/>
                <w:sz w:val="18"/>
                <w:szCs w:val="18"/>
              </w:rPr>
              <w:t>，总弯曲度应不大于钢筋总长度的</w:t>
            </w:r>
            <w:r w:rsidRPr="000008B8">
              <w:rPr>
                <w:rFonts w:ascii="Arial" w:eastAsia="宋体" w:hAnsi="Arial" w:cs="Arial" w:hint="eastAsia"/>
                <w:sz w:val="18"/>
                <w:szCs w:val="18"/>
              </w:rPr>
              <w:t>0</w:t>
            </w:r>
            <w:r w:rsidRPr="000008B8">
              <w:rPr>
                <w:rFonts w:ascii="Arial" w:eastAsia="宋体" w:hAnsi="Arial" w:cs="Arial"/>
                <w:sz w:val="18"/>
                <w:szCs w:val="18"/>
              </w:rPr>
              <w:t>.3</w:t>
            </w:r>
            <w:r w:rsidRPr="000008B8">
              <w:rPr>
                <w:rFonts w:ascii="Arial" w:eastAsia="宋体" w:hAnsi="Arial" w:cs="Arial" w:hint="eastAsia"/>
                <w:sz w:val="18"/>
                <w:szCs w:val="18"/>
              </w:rPr>
              <w:t>%</w:t>
            </w:r>
          </w:p>
        </w:tc>
        <w:tc>
          <w:tcPr>
            <w:tcW w:w="3774" w:type="dxa"/>
            <w:gridSpan w:val="2"/>
            <w:vAlign w:val="center"/>
          </w:tcPr>
          <w:p w:rsidR="000008B8" w:rsidRPr="000008B8" w:rsidRDefault="000008B8" w:rsidP="000008B8">
            <w:pPr>
              <w:adjustRightInd w:val="0"/>
              <w:snapToGrid w:val="0"/>
              <w:jc w:val="center"/>
              <w:rPr>
                <w:rFonts w:ascii="Arial" w:eastAsia="宋体" w:hAnsi="Arial" w:cs="Arial" w:hint="eastAsia"/>
                <w:sz w:val="18"/>
                <w:szCs w:val="18"/>
              </w:rPr>
            </w:pPr>
            <w:r w:rsidRPr="000008B8">
              <w:rPr>
                <w:rFonts w:ascii="Arial" w:eastAsia="宋体" w:hAnsi="Arial" w:cs="Arial" w:hint="eastAsia"/>
                <w:sz w:val="18"/>
                <w:szCs w:val="18"/>
              </w:rPr>
              <w:t>每米弯曲度应不大于</w:t>
            </w:r>
            <w:r w:rsidRPr="000008B8">
              <w:rPr>
                <w:rFonts w:ascii="Arial" w:eastAsia="宋体" w:hAnsi="Arial" w:cs="Arial" w:hint="eastAsia"/>
                <w:sz w:val="18"/>
                <w:szCs w:val="18"/>
              </w:rPr>
              <w:t>4mm</w:t>
            </w:r>
            <w:r w:rsidRPr="000008B8">
              <w:rPr>
                <w:rFonts w:ascii="Arial" w:eastAsia="宋体" w:hAnsi="Arial" w:cs="Arial" w:hint="eastAsia"/>
                <w:sz w:val="18"/>
                <w:szCs w:val="18"/>
              </w:rPr>
              <w:t>，总弯曲度应不大于钢筋总长度的</w:t>
            </w:r>
            <w:r w:rsidRPr="000008B8">
              <w:rPr>
                <w:rFonts w:ascii="Arial" w:eastAsia="宋体" w:hAnsi="Arial" w:cs="Arial" w:hint="eastAsia"/>
                <w:sz w:val="18"/>
                <w:szCs w:val="18"/>
              </w:rPr>
              <w:t>0</w:t>
            </w:r>
            <w:r w:rsidRPr="000008B8">
              <w:rPr>
                <w:rFonts w:ascii="Arial" w:eastAsia="宋体" w:hAnsi="Arial" w:cs="Arial"/>
                <w:sz w:val="18"/>
                <w:szCs w:val="18"/>
              </w:rPr>
              <w:t>.4</w:t>
            </w:r>
            <w:r w:rsidRPr="000008B8">
              <w:rPr>
                <w:rFonts w:ascii="Arial" w:eastAsia="宋体" w:hAnsi="Arial" w:cs="Arial" w:hint="eastAsia"/>
                <w:sz w:val="18"/>
                <w:szCs w:val="18"/>
              </w:rPr>
              <w:t>%</w:t>
            </w:r>
          </w:p>
        </w:tc>
        <w:tc>
          <w:tcPr>
            <w:tcW w:w="1606"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GB/T</w:t>
            </w:r>
            <w:r w:rsidRPr="000008B8">
              <w:rPr>
                <w:rFonts w:ascii="Times New Roman" w:eastAsia="宋体" w:hAnsi="Times New Roman" w:cs="Times New Roman"/>
                <w:sz w:val="18"/>
                <w:szCs w:val="18"/>
              </w:rPr>
              <w:t xml:space="preserve"> </w:t>
            </w:r>
            <w:r w:rsidRPr="000008B8">
              <w:rPr>
                <w:rFonts w:ascii="Times New Roman" w:eastAsia="宋体" w:hAnsi="Times New Roman" w:cs="Times New Roman" w:hint="eastAsia"/>
                <w:sz w:val="18"/>
                <w:szCs w:val="18"/>
              </w:rPr>
              <w:t>1499.2-2018</w:t>
            </w:r>
            <w:r w:rsidRPr="000008B8">
              <w:rPr>
                <w:rFonts w:ascii="Times New Roman" w:eastAsia="宋体" w:hAnsi="Times New Roman" w:cs="Times New Roman" w:hint="eastAsia"/>
                <w:sz w:val="18"/>
                <w:szCs w:val="18"/>
              </w:rPr>
              <w:t>规定的方法</w:t>
            </w:r>
          </w:p>
        </w:tc>
      </w:tr>
      <w:tr w:rsidR="000008B8" w:rsidRPr="000008B8" w:rsidTr="003372DC">
        <w:trPr>
          <w:trHeight w:val="819"/>
          <w:jc w:val="center"/>
        </w:trPr>
        <w:tc>
          <w:tcPr>
            <w:tcW w:w="597" w:type="dxa"/>
            <w:vMerge/>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p>
        </w:tc>
        <w:tc>
          <w:tcPr>
            <w:tcW w:w="1720" w:type="dxa"/>
            <w:gridSpan w:val="3"/>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Arial" w:eastAsia="宋体" w:hAnsi="Arial" w:cs="Arial" w:hint="eastAsia"/>
                <w:sz w:val="18"/>
                <w:szCs w:val="18"/>
              </w:rPr>
              <w:t>截面</w:t>
            </w:r>
            <w:r w:rsidRPr="000008B8">
              <w:rPr>
                <w:rFonts w:ascii="Times New Roman" w:eastAsia="宋体" w:hAnsi="Times New Roman" w:cs="Times New Roman" w:hint="eastAsia"/>
                <w:sz w:val="18"/>
                <w:szCs w:val="18"/>
              </w:rPr>
              <w:t>维氏硬度</w:t>
            </w:r>
          </w:p>
        </w:tc>
        <w:tc>
          <w:tcPr>
            <w:tcW w:w="1706" w:type="dxa"/>
            <w:vAlign w:val="center"/>
          </w:tcPr>
          <w:p w:rsidR="000008B8" w:rsidRPr="000008B8" w:rsidRDefault="000008B8" w:rsidP="000008B8">
            <w:pPr>
              <w:adjustRightInd w:val="0"/>
              <w:snapToGrid w:val="0"/>
              <w:jc w:val="center"/>
              <w:rPr>
                <w:rFonts w:ascii="Arial" w:eastAsia="宋体" w:hAnsi="Arial" w:cs="Arial" w:hint="eastAsia"/>
                <w:sz w:val="18"/>
                <w:szCs w:val="18"/>
              </w:rPr>
            </w:pPr>
            <w:r w:rsidRPr="000008B8">
              <w:rPr>
                <w:rFonts w:ascii="Arial" w:eastAsia="宋体" w:hAnsi="Arial" w:cs="Arial" w:hint="eastAsia"/>
                <w:sz w:val="18"/>
                <w:szCs w:val="18"/>
              </w:rPr>
              <w:t>中心点硬度</w:t>
            </w:r>
            <w:r w:rsidRPr="000008B8">
              <w:rPr>
                <w:rFonts w:ascii="Arial" w:eastAsia="宋体" w:hAnsi="Arial" w:cs="Arial" w:hint="eastAsia"/>
                <w:sz w:val="18"/>
                <w:szCs w:val="18"/>
              </w:rPr>
              <w:t>-</w:t>
            </w:r>
            <w:r w:rsidRPr="000008B8">
              <w:rPr>
                <w:rFonts w:ascii="Arial" w:eastAsia="宋体" w:hAnsi="Arial" w:cs="Arial" w:hint="eastAsia"/>
                <w:sz w:val="18"/>
                <w:szCs w:val="18"/>
              </w:rPr>
              <w:t>边缘点硬度</w:t>
            </w:r>
            <w:r w:rsidRPr="000008B8">
              <w:rPr>
                <w:rFonts w:ascii="Times New Roman" w:eastAsia="宋体" w:hAnsi="Times New Roman" w:cs="Times New Roman"/>
                <w:sz w:val="18"/>
                <w:szCs w:val="18"/>
              </w:rPr>
              <w:t>≤</w:t>
            </w:r>
            <w:r w:rsidRPr="000008B8">
              <w:rPr>
                <w:rFonts w:ascii="Times New Roman" w:eastAsia="宋体" w:hAnsi="Times New Roman" w:cs="Times New Roman" w:hint="eastAsia"/>
                <w:sz w:val="18"/>
                <w:szCs w:val="18"/>
              </w:rPr>
              <w:t>2</w:t>
            </w:r>
            <w:r w:rsidRPr="000008B8">
              <w:rPr>
                <w:rFonts w:ascii="Arial" w:eastAsia="宋体" w:hAnsi="Arial" w:cs="Arial" w:hint="eastAsia"/>
                <w:sz w:val="18"/>
                <w:szCs w:val="18"/>
              </w:rPr>
              <w:t>0HV</w:t>
            </w:r>
          </w:p>
        </w:tc>
        <w:tc>
          <w:tcPr>
            <w:tcW w:w="2067" w:type="dxa"/>
            <w:vAlign w:val="center"/>
          </w:tcPr>
          <w:p w:rsidR="000008B8" w:rsidRPr="000008B8" w:rsidRDefault="000008B8" w:rsidP="000008B8">
            <w:pPr>
              <w:adjustRightInd w:val="0"/>
              <w:snapToGrid w:val="0"/>
              <w:jc w:val="center"/>
              <w:rPr>
                <w:rFonts w:ascii="Arial" w:eastAsia="宋体" w:hAnsi="Arial" w:cs="Arial"/>
                <w:sz w:val="18"/>
                <w:szCs w:val="18"/>
              </w:rPr>
            </w:pPr>
            <w:r w:rsidRPr="000008B8">
              <w:rPr>
                <w:rFonts w:ascii="Arial" w:eastAsia="宋体" w:hAnsi="Arial" w:cs="Arial" w:hint="eastAsia"/>
                <w:sz w:val="18"/>
                <w:szCs w:val="18"/>
              </w:rPr>
              <w:t>中心点硬度</w:t>
            </w:r>
            <w:r w:rsidRPr="000008B8">
              <w:rPr>
                <w:rFonts w:ascii="Arial" w:eastAsia="宋体" w:hAnsi="Arial" w:cs="Arial" w:hint="eastAsia"/>
                <w:sz w:val="18"/>
                <w:szCs w:val="18"/>
              </w:rPr>
              <w:t>-</w:t>
            </w:r>
            <w:r w:rsidRPr="000008B8">
              <w:rPr>
                <w:rFonts w:ascii="Arial" w:eastAsia="宋体" w:hAnsi="Arial" w:cs="Arial" w:hint="eastAsia"/>
                <w:sz w:val="18"/>
                <w:szCs w:val="18"/>
              </w:rPr>
              <w:t>边缘点硬度</w:t>
            </w:r>
            <w:r w:rsidRPr="000008B8">
              <w:rPr>
                <w:rFonts w:ascii="Times New Roman" w:eastAsia="宋体" w:hAnsi="Times New Roman" w:cs="Times New Roman"/>
                <w:sz w:val="18"/>
                <w:szCs w:val="18"/>
              </w:rPr>
              <w:t>≤</w:t>
            </w:r>
            <w:r w:rsidRPr="000008B8">
              <w:rPr>
                <w:rFonts w:ascii="Arial" w:eastAsia="宋体" w:hAnsi="Arial" w:cs="Arial" w:hint="eastAsia"/>
                <w:sz w:val="18"/>
                <w:szCs w:val="18"/>
              </w:rPr>
              <w:t>30HV</w:t>
            </w:r>
          </w:p>
        </w:tc>
        <w:tc>
          <w:tcPr>
            <w:tcW w:w="1707" w:type="dxa"/>
            <w:vAlign w:val="center"/>
          </w:tcPr>
          <w:p w:rsidR="000008B8" w:rsidRPr="000008B8" w:rsidRDefault="000008B8" w:rsidP="000008B8">
            <w:pPr>
              <w:adjustRightInd w:val="0"/>
              <w:snapToGrid w:val="0"/>
              <w:jc w:val="center"/>
              <w:rPr>
                <w:rFonts w:ascii="Arial" w:eastAsia="宋体" w:hAnsi="Arial" w:cs="Arial"/>
                <w:sz w:val="18"/>
                <w:szCs w:val="18"/>
              </w:rPr>
            </w:pPr>
            <w:r w:rsidRPr="000008B8">
              <w:rPr>
                <w:rFonts w:ascii="Arial" w:eastAsia="宋体" w:hAnsi="Arial" w:cs="Arial" w:hint="eastAsia"/>
                <w:sz w:val="18"/>
                <w:szCs w:val="18"/>
              </w:rPr>
              <w:t>中心点硬度</w:t>
            </w:r>
            <w:r w:rsidRPr="000008B8">
              <w:rPr>
                <w:rFonts w:ascii="Arial" w:eastAsia="宋体" w:hAnsi="Arial" w:cs="Arial" w:hint="eastAsia"/>
                <w:sz w:val="18"/>
                <w:szCs w:val="18"/>
              </w:rPr>
              <w:t>-</w:t>
            </w:r>
            <w:r w:rsidRPr="000008B8">
              <w:rPr>
                <w:rFonts w:ascii="Arial" w:eastAsia="宋体" w:hAnsi="Arial" w:cs="Arial" w:hint="eastAsia"/>
                <w:sz w:val="18"/>
                <w:szCs w:val="18"/>
              </w:rPr>
              <w:t>边缘点硬度</w:t>
            </w:r>
            <w:r w:rsidRPr="000008B8">
              <w:rPr>
                <w:rFonts w:ascii="Times New Roman" w:eastAsia="宋体" w:hAnsi="Times New Roman" w:cs="Times New Roman"/>
                <w:sz w:val="18"/>
                <w:szCs w:val="18"/>
              </w:rPr>
              <w:t>≤</w:t>
            </w:r>
            <w:r w:rsidRPr="000008B8">
              <w:rPr>
                <w:rFonts w:ascii="Arial" w:eastAsia="宋体" w:hAnsi="Arial" w:cs="Arial" w:hint="eastAsia"/>
                <w:sz w:val="18"/>
                <w:szCs w:val="18"/>
              </w:rPr>
              <w:t>40HV</w:t>
            </w:r>
          </w:p>
        </w:tc>
        <w:tc>
          <w:tcPr>
            <w:tcW w:w="1606"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GB/T1499.2-2018</w:t>
            </w:r>
            <w:r w:rsidRPr="000008B8">
              <w:rPr>
                <w:rFonts w:ascii="Times New Roman" w:eastAsia="宋体" w:hAnsi="Times New Roman" w:cs="Times New Roman" w:hint="eastAsia"/>
                <w:sz w:val="18"/>
                <w:szCs w:val="18"/>
              </w:rPr>
              <w:t>中附录</w:t>
            </w:r>
            <w:r w:rsidRPr="000008B8">
              <w:rPr>
                <w:rFonts w:ascii="Times New Roman" w:eastAsia="宋体" w:hAnsi="Times New Roman" w:cs="Times New Roman" w:hint="eastAsia"/>
                <w:sz w:val="18"/>
                <w:szCs w:val="18"/>
              </w:rPr>
              <w:t>B</w:t>
            </w:r>
            <w:r w:rsidRPr="000008B8">
              <w:rPr>
                <w:rFonts w:ascii="Times New Roman" w:eastAsia="宋体" w:hAnsi="Times New Roman" w:cs="Times New Roman"/>
                <w:sz w:val="18"/>
                <w:szCs w:val="18"/>
              </w:rPr>
              <w:t>规定的方法</w:t>
            </w:r>
          </w:p>
        </w:tc>
      </w:tr>
      <w:tr w:rsidR="000008B8" w:rsidRPr="000008B8" w:rsidTr="003372DC">
        <w:trPr>
          <w:trHeight w:val="165"/>
          <w:jc w:val="center"/>
        </w:trPr>
        <w:tc>
          <w:tcPr>
            <w:tcW w:w="597" w:type="dxa"/>
            <w:vMerge/>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p>
        </w:tc>
        <w:tc>
          <w:tcPr>
            <w:tcW w:w="642" w:type="dxa"/>
            <w:gridSpan w:val="2"/>
            <w:vMerge w:val="restart"/>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力学性能</w:t>
            </w:r>
          </w:p>
          <w:p w:rsidR="000008B8" w:rsidRPr="000008B8" w:rsidRDefault="000008B8" w:rsidP="000008B8">
            <w:pPr>
              <w:adjustRightInd w:val="0"/>
              <w:snapToGrid w:val="0"/>
              <w:jc w:val="center"/>
              <w:rPr>
                <w:rFonts w:ascii="Times New Roman" w:eastAsia="宋体" w:hAnsi="Times New Roman" w:cs="Times New Roman" w:hint="eastAsia"/>
                <w:sz w:val="18"/>
                <w:szCs w:val="18"/>
              </w:rPr>
            </w:pPr>
          </w:p>
        </w:tc>
        <w:tc>
          <w:tcPr>
            <w:tcW w:w="1078"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屈服强度</w:t>
            </w:r>
            <w:r w:rsidRPr="000008B8">
              <w:rPr>
                <w:rFonts w:ascii="Times New Roman" w:eastAsia="宋体" w:hAnsi="Times New Roman" w:cs="Times New Roman" w:hint="eastAsia"/>
                <w:sz w:val="18"/>
                <w:szCs w:val="18"/>
              </w:rPr>
              <w:t>(</w:t>
            </w:r>
            <w:r w:rsidRPr="000008B8">
              <w:rPr>
                <w:rFonts w:ascii="Times New Roman" w:eastAsia="宋体" w:hAnsi="Times New Roman" w:cs="Times New Roman"/>
                <w:sz w:val="18"/>
                <w:szCs w:val="18"/>
              </w:rPr>
              <w:t>R°</w:t>
            </w:r>
            <w:r w:rsidRPr="000008B8">
              <w:rPr>
                <w:rFonts w:ascii="Times New Roman" w:eastAsia="宋体" w:hAnsi="Times New Roman" w:cs="Times New Roman"/>
                <w:sz w:val="18"/>
                <w:szCs w:val="18"/>
                <w:vertAlign w:val="subscript"/>
              </w:rPr>
              <w:t>eL</w:t>
            </w:r>
            <w:r w:rsidRPr="000008B8">
              <w:rPr>
                <w:rFonts w:ascii="Times New Roman" w:eastAsia="宋体" w:hAnsi="Times New Roman" w:cs="Times New Roman" w:hint="eastAsia"/>
                <w:sz w:val="18"/>
                <w:szCs w:val="18"/>
              </w:rPr>
              <w:t>)</w:t>
            </w:r>
          </w:p>
        </w:tc>
        <w:tc>
          <w:tcPr>
            <w:tcW w:w="1706"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sz w:val="18"/>
                <w:szCs w:val="18"/>
              </w:rPr>
              <w:t>≥6</w:t>
            </w:r>
            <w:r w:rsidRPr="000008B8">
              <w:rPr>
                <w:rFonts w:ascii="Times New Roman" w:eastAsia="宋体" w:hAnsi="Times New Roman" w:cs="Times New Roman" w:hint="eastAsia"/>
                <w:sz w:val="18"/>
                <w:szCs w:val="18"/>
              </w:rPr>
              <w:t>35Mpa</w:t>
            </w:r>
          </w:p>
        </w:tc>
        <w:tc>
          <w:tcPr>
            <w:tcW w:w="2067" w:type="dxa"/>
            <w:vAlign w:val="center"/>
          </w:tcPr>
          <w:p w:rsidR="000008B8" w:rsidRPr="000008B8" w:rsidRDefault="000008B8" w:rsidP="000008B8">
            <w:pPr>
              <w:adjustRightInd w:val="0"/>
              <w:snapToGrid w:val="0"/>
              <w:jc w:val="center"/>
              <w:rPr>
                <w:rFonts w:ascii="Arial" w:eastAsia="宋体" w:hAnsi="Arial" w:cs="Arial"/>
                <w:sz w:val="18"/>
                <w:szCs w:val="18"/>
              </w:rPr>
            </w:pPr>
            <w:r w:rsidRPr="000008B8">
              <w:rPr>
                <w:rFonts w:ascii="Times New Roman" w:eastAsia="宋体" w:hAnsi="Times New Roman" w:cs="Times New Roman"/>
                <w:sz w:val="18"/>
                <w:szCs w:val="18"/>
              </w:rPr>
              <w:t>≥6</w:t>
            </w:r>
            <w:r w:rsidRPr="000008B8">
              <w:rPr>
                <w:rFonts w:ascii="Times New Roman" w:eastAsia="宋体" w:hAnsi="Times New Roman" w:cs="Times New Roman" w:hint="eastAsia"/>
                <w:sz w:val="18"/>
                <w:szCs w:val="18"/>
              </w:rPr>
              <w:t>25Mpa</w:t>
            </w:r>
          </w:p>
        </w:tc>
        <w:tc>
          <w:tcPr>
            <w:tcW w:w="1707" w:type="dxa"/>
            <w:vAlign w:val="center"/>
          </w:tcPr>
          <w:p w:rsidR="000008B8" w:rsidRPr="000008B8" w:rsidRDefault="000008B8" w:rsidP="000008B8">
            <w:pPr>
              <w:adjustRightInd w:val="0"/>
              <w:snapToGrid w:val="0"/>
              <w:jc w:val="center"/>
              <w:rPr>
                <w:rFonts w:ascii="Arial" w:eastAsia="宋体" w:hAnsi="Arial" w:cs="Arial"/>
                <w:sz w:val="18"/>
                <w:szCs w:val="18"/>
              </w:rPr>
            </w:pPr>
            <w:r w:rsidRPr="000008B8">
              <w:rPr>
                <w:rFonts w:ascii="Times New Roman" w:eastAsia="宋体" w:hAnsi="Times New Roman" w:cs="Times New Roman"/>
                <w:sz w:val="18"/>
                <w:szCs w:val="18"/>
              </w:rPr>
              <w:t>≥600</w:t>
            </w:r>
            <w:r w:rsidRPr="000008B8">
              <w:rPr>
                <w:rFonts w:ascii="Times New Roman" w:eastAsia="宋体" w:hAnsi="Times New Roman" w:cs="Times New Roman" w:hint="eastAsia"/>
                <w:sz w:val="18"/>
                <w:szCs w:val="18"/>
              </w:rPr>
              <w:t>Mpa</w:t>
            </w:r>
          </w:p>
        </w:tc>
        <w:tc>
          <w:tcPr>
            <w:tcW w:w="1606" w:type="dxa"/>
            <w:vMerge w:val="restart"/>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GB/T</w:t>
            </w:r>
            <w:r w:rsidRPr="000008B8">
              <w:rPr>
                <w:rFonts w:ascii="Times New Roman" w:eastAsia="宋体" w:hAnsi="Times New Roman" w:cs="Times New Roman"/>
                <w:sz w:val="18"/>
                <w:szCs w:val="18"/>
              </w:rPr>
              <w:t xml:space="preserve"> </w:t>
            </w:r>
            <w:r w:rsidRPr="000008B8">
              <w:rPr>
                <w:rFonts w:ascii="Times New Roman" w:eastAsia="宋体" w:hAnsi="Times New Roman" w:cs="Times New Roman" w:hint="eastAsia"/>
                <w:sz w:val="18"/>
                <w:szCs w:val="18"/>
              </w:rPr>
              <w:t>1499.2-2018</w:t>
            </w:r>
            <w:r w:rsidRPr="000008B8">
              <w:rPr>
                <w:rFonts w:ascii="Times New Roman" w:eastAsia="宋体" w:hAnsi="Times New Roman" w:cs="Times New Roman" w:hint="eastAsia"/>
                <w:sz w:val="18"/>
                <w:szCs w:val="18"/>
              </w:rPr>
              <w:t>规定的方法</w:t>
            </w:r>
          </w:p>
        </w:tc>
      </w:tr>
      <w:tr w:rsidR="000008B8" w:rsidRPr="000008B8" w:rsidTr="003372DC">
        <w:trPr>
          <w:trHeight w:val="165"/>
          <w:jc w:val="center"/>
        </w:trPr>
        <w:tc>
          <w:tcPr>
            <w:tcW w:w="597" w:type="dxa"/>
            <w:vMerge/>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p>
        </w:tc>
        <w:tc>
          <w:tcPr>
            <w:tcW w:w="642" w:type="dxa"/>
            <w:gridSpan w:val="2"/>
            <w:vMerge/>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p>
        </w:tc>
        <w:tc>
          <w:tcPr>
            <w:tcW w:w="1078"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抗拉强度（</w:t>
            </w:r>
            <w:r w:rsidRPr="000008B8">
              <w:rPr>
                <w:rFonts w:ascii="Times New Roman" w:eastAsia="宋体" w:hAnsi="Times New Roman" w:cs="Times New Roman"/>
                <w:sz w:val="18"/>
                <w:szCs w:val="18"/>
              </w:rPr>
              <w:t>R°</w:t>
            </w:r>
            <w:r w:rsidRPr="000008B8">
              <w:rPr>
                <w:rFonts w:ascii="Times New Roman" w:eastAsia="宋体" w:hAnsi="Times New Roman" w:cs="Times New Roman"/>
                <w:sz w:val="18"/>
                <w:szCs w:val="18"/>
                <w:vertAlign w:val="subscript"/>
              </w:rPr>
              <w:t>m</w:t>
            </w:r>
            <w:r w:rsidRPr="000008B8">
              <w:rPr>
                <w:rFonts w:ascii="Times New Roman" w:eastAsia="宋体" w:hAnsi="Times New Roman" w:cs="Times New Roman" w:hint="eastAsia"/>
                <w:sz w:val="18"/>
                <w:szCs w:val="18"/>
              </w:rPr>
              <w:t>）</w:t>
            </w:r>
          </w:p>
        </w:tc>
        <w:tc>
          <w:tcPr>
            <w:tcW w:w="1706"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sz w:val="18"/>
                <w:szCs w:val="18"/>
              </w:rPr>
              <w:t>≥</w:t>
            </w:r>
            <w:r w:rsidRPr="000008B8">
              <w:rPr>
                <w:rFonts w:ascii="Times New Roman" w:eastAsia="宋体" w:hAnsi="Times New Roman" w:cs="Times New Roman" w:hint="eastAsia"/>
                <w:sz w:val="18"/>
                <w:szCs w:val="18"/>
              </w:rPr>
              <w:t>795Mpa</w:t>
            </w:r>
          </w:p>
        </w:tc>
        <w:tc>
          <w:tcPr>
            <w:tcW w:w="2067" w:type="dxa"/>
            <w:vAlign w:val="center"/>
          </w:tcPr>
          <w:p w:rsidR="000008B8" w:rsidRPr="000008B8" w:rsidRDefault="000008B8" w:rsidP="000008B8">
            <w:pPr>
              <w:adjustRightInd w:val="0"/>
              <w:snapToGrid w:val="0"/>
              <w:jc w:val="center"/>
              <w:rPr>
                <w:rFonts w:ascii="Arial" w:eastAsia="宋体" w:hAnsi="Arial" w:cs="Arial"/>
                <w:sz w:val="18"/>
                <w:szCs w:val="18"/>
              </w:rPr>
            </w:pPr>
            <w:r w:rsidRPr="000008B8">
              <w:rPr>
                <w:rFonts w:ascii="Times New Roman" w:eastAsia="宋体" w:hAnsi="Times New Roman" w:cs="Times New Roman"/>
                <w:sz w:val="18"/>
                <w:szCs w:val="18"/>
              </w:rPr>
              <w:t>≥</w:t>
            </w:r>
            <w:r w:rsidRPr="000008B8">
              <w:rPr>
                <w:rFonts w:ascii="Times New Roman" w:eastAsia="宋体" w:hAnsi="Times New Roman" w:cs="Times New Roman" w:hint="eastAsia"/>
                <w:sz w:val="18"/>
                <w:szCs w:val="18"/>
              </w:rPr>
              <w:t>785Mpa</w:t>
            </w:r>
          </w:p>
        </w:tc>
        <w:tc>
          <w:tcPr>
            <w:tcW w:w="1707" w:type="dxa"/>
            <w:vAlign w:val="center"/>
          </w:tcPr>
          <w:p w:rsidR="000008B8" w:rsidRPr="000008B8" w:rsidRDefault="000008B8" w:rsidP="000008B8">
            <w:pPr>
              <w:adjustRightInd w:val="0"/>
              <w:snapToGrid w:val="0"/>
              <w:jc w:val="center"/>
              <w:rPr>
                <w:rFonts w:ascii="Arial" w:eastAsia="宋体" w:hAnsi="Arial" w:cs="Arial"/>
                <w:sz w:val="18"/>
                <w:szCs w:val="18"/>
              </w:rPr>
            </w:pPr>
            <w:r w:rsidRPr="000008B8">
              <w:rPr>
                <w:rFonts w:ascii="Times New Roman" w:eastAsia="宋体" w:hAnsi="Times New Roman" w:cs="Times New Roman"/>
                <w:sz w:val="18"/>
                <w:szCs w:val="18"/>
              </w:rPr>
              <w:t>≥</w:t>
            </w:r>
            <w:r w:rsidRPr="000008B8">
              <w:rPr>
                <w:rFonts w:ascii="Times New Roman" w:eastAsia="宋体" w:hAnsi="Times New Roman" w:cs="Times New Roman" w:hint="eastAsia"/>
                <w:sz w:val="18"/>
                <w:szCs w:val="18"/>
              </w:rPr>
              <w:t>75</w:t>
            </w:r>
            <w:r w:rsidRPr="000008B8">
              <w:rPr>
                <w:rFonts w:ascii="Times New Roman" w:eastAsia="宋体" w:hAnsi="Times New Roman" w:cs="Times New Roman"/>
                <w:sz w:val="18"/>
                <w:szCs w:val="18"/>
              </w:rPr>
              <w:t>0</w:t>
            </w:r>
            <w:r w:rsidRPr="000008B8">
              <w:rPr>
                <w:rFonts w:ascii="Times New Roman" w:eastAsia="宋体" w:hAnsi="Times New Roman" w:cs="Times New Roman" w:hint="eastAsia"/>
                <w:sz w:val="18"/>
                <w:szCs w:val="18"/>
              </w:rPr>
              <w:t>Mpa</w:t>
            </w:r>
          </w:p>
        </w:tc>
        <w:tc>
          <w:tcPr>
            <w:tcW w:w="1606" w:type="dxa"/>
            <w:vMerge/>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p>
        </w:tc>
      </w:tr>
      <w:tr w:rsidR="000008B8" w:rsidRPr="000008B8" w:rsidTr="003372DC">
        <w:trPr>
          <w:trHeight w:val="647"/>
          <w:jc w:val="center"/>
        </w:trPr>
        <w:tc>
          <w:tcPr>
            <w:tcW w:w="597" w:type="dxa"/>
            <w:vMerge/>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p>
        </w:tc>
        <w:tc>
          <w:tcPr>
            <w:tcW w:w="642" w:type="dxa"/>
            <w:gridSpan w:val="2"/>
            <w:vMerge/>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p>
        </w:tc>
        <w:tc>
          <w:tcPr>
            <w:tcW w:w="1078"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最大力总延伸率（</w:t>
            </w:r>
            <w:r w:rsidRPr="000008B8">
              <w:rPr>
                <w:rFonts w:ascii="Times New Roman" w:eastAsia="宋体" w:hAnsi="Times New Roman" w:cs="Times New Roman" w:hint="eastAsia"/>
                <w:sz w:val="18"/>
                <w:szCs w:val="18"/>
              </w:rPr>
              <w:t>A</w:t>
            </w:r>
            <w:r w:rsidRPr="000008B8">
              <w:rPr>
                <w:rFonts w:ascii="Times New Roman" w:eastAsia="宋体" w:hAnsi="Times New Roman" w:cs="Times New Roman" w:hint="eastAsia"/>
                <w:sz w:val="18"/>
                <w:szCs w:val="18"/>
                <w:vertAlign w:val="subscript"/>
              </w:rPr>
              <w:t>gt</w:t>
            </w:r>
            <w:r w:rsidRPr="000008B8">
              <w:rPr>
                <w:rFonts w:ascii="Times New Roman" w:eastAsia="宋体" w:hAnsi="Times New Roman" w:cs="Times New Roman" w:hint="eastAsia"/>
                <w:sz w:val="18"/>
                <w:szCs w:val="18"/>
              </w:rPr>
              <w:t>）</w:t>
            </w:r>
          </w:p>
        </w:tc>
        <w:tc>
          <w:tcPr>
            <w:tcW w:w="1706"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w:t>
            </w:r>
            <w:r w:rsidRPr="000008B8">
              <w:rPr>
                <w:rFonts w:ascii="Times New Roman" w:eastAsia="宋体" w:hAnsi="Times New Roman" w:cs="Times New Roman" w:hint="eastAsia"/>
                <w:sz w:val="18"/>
                <w:szCs w:val="18"/>
              </w:rPr>
              <w:t>11.0%</w:t>
            </w:r>
          </w:p>
        </w:tc>
        <w:tc>
          <w:tcPr>
            <w:tcW w:w="2067" w:type="dxa"/>
            <w:vAlign w:val="center"/>
          </w:tcPr>
          <w:p w:rsidR="000008B8" w:rsidRPr="000008B8" w:rsidRDefault="000008B8" w:rsidP="000008B8">
            <w:pPr>
              <w:adjustRightInd w:val="0"/>
              <w:snapToGrid w:val="0"/>
              <w:jc w:val="center"/>
              <w:rPr>
                <w:rFonts w:ascii="Arial" w:eastAsia="宋体" w:hAnsi="Arial" w:cs="Arial"/>
                <w:sz w:val="18"/>
                <w:szCs w:val="18"/>
              </w:rPr>
            </w:pPr>
            <w:r w:rsidRPr="000008B8">
              <w:rPr>
                <w:rFonts w:ascii="Times New Roman" w:eastAsia="宋体" w:hAnsi="Times New Roman" w:cs="Times New Roman" w:hint="eastAsia"/>
                <w:sz w:val="18"/>
                <w:szCs w:val="18"/>
              </w:rPr>
              <w:t>≥</w:t>
            </w:r>
            <w:r w:rsidRPr="000008B8">
              <w:rPr>
                <w:rFonts w:ascii="Times New Roman" w:eastAsia="宋体" w:hAnsi="Times New Roman" w:cs="Times New Roman" w:hint="eastAsia"/>
                <w:sz w:val="18"/>
                <w:szCs w:val="18"/>
              </w:rPr>
              <w:t>10.0%</w:t>
            </w:r>
          </w:p>
        </w:tc>
        <w:tc>
          <w:tcPr>
            <w:tcW w:w="1707" w:type="dxa"/>
            <w:vAlign w:val="center"/>
          </w:tcPr>
          <w:p w:rsidR="000008B8" w:rsidRPr="000008B8" w:rsidRDefault="000008B8" w:rsidP="000008B8">
            <w:pPr>
              <w:adjustRightInd w:val="0"/>
              <w:snapToGrid w:val="0"/>
              <w:jc w:val="center"/>
              <w:rPr>
                <w:rFonts w:ascii="Arial" w:eastAsia="宋体" w:hAnsi="Arial" w:cs="Arial"/>
                <w:sz w:val="18"/>
                <w:szCs w:val="18"/>
              </w:rPr>
            </w:pPr>
            <w:r w:rsidRPr="000008B8">
              <w:rPr>
                <w:rFonts w:ascii="Times New Roman" w:eastAsia="宋体" w:hAnsi="Times New Roman" w:cs="Times New Roman" w:hint="eastAsia"/>
                <w:sz w:val="18"/>
                <w:szCs w:val="18"/>
              </w:rPr>
              <w:t>≥</w:t>
            </w:r>
            <w:r w:rsidRPr="000008B8">
              <w:rPr>
                <w:rFonts w:ascii="Times New Roman" w:eastAsia="宋体" w:hAnsi="Times New Roman" w:cs="Times New Roman" w:hint="eastAsia"/>
                <w:sz w:val="18"/>
                <w:szCs w:val="18"/>
              </w:rPr>
              <w:t>9.0%</w:t>
            </w:r>
          </w:p>
        </w:tc>
        <w:tc>
          <w:tcPr>
            <w:tcW w:w="1606" w:type="dxa"/>
            <w:vMerge/>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p>
        </w:tc>
      </w:tr>
      <w:tr w:rsidR="000008B8" w:rsidRPr="000008B8" w:rsidTr="003372DC">
        <w:trPr>
          <w:trHeight w:val="597"/>
          <w:jc w:val="center"/>
        </w:trPr>
        <w:tc>
          <w:tcPr>
            <w:tcW w:w="597" w:type="dxa"/>
            <w:vMerge w:val="restart"/>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创新指标</w:t>
            </w:r>
          </w:p>
        </w:tc>
        <w:tc>
          <w:tcPr>
            <w:tcW w:w="1720" w:type="dxa"/>
            <w:gridSpan w:val="3"/>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N</w:t>
            </w:r>
            <w:r w:rsidRPr="000008B8">
              <w:rPr>
                <w:rFonts w:ascii="Times New Roman" w:eastAsia="宋体" w:hAnsi="Times New Roman" w:cs="Times New Roman" w:hint="eastAsia"/>
                <w:sz w:val="18"/>
                <w:szCs w:val="18"/>
              </w:rPr>
              <w:t>含量（</w:t>
            </w:r>
            <w:r w:rsidRPr="000008B8">
              <w:rPr>
                <w:rFonts w:ascii="Times New Roman" w:eastAsia="宋体" w:hAnsi="Times New Roman" w:cs="Times New Roman" w:hint="eastAsia"/>
                <w:sz w:val="18"/>
                <w:szCs w:val="18"/>
              </w:rPr>
              <w:t>ppm</w:t>
            </w:r>
            <w:r w:rsidRPr="000008B8">
              <w:rPr>
                <w:rFonts w:ascii="Times New Roman" w:eastAsia="宋体" w:hAnsi="Times New Roman" w:cs="Times New Roman" w:hint="eastAsia"/>
                <w:sz w:val="18"/>
                <w:szCs w:val="18"/>
              </w:rPr>
              <w:t>）</w:t>
            </w:r>
          </w:p>
        </w:tc>
        <w:tc>
          <w:tcPr>
            <w:tcW w:w="1706"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110-120</w:t>
            </w:r>
          </w:p>
        </w:tc>
        <w:tc>
          <w:tcPr>
            <w:tcW w:w="2067" w:type="dxa"/>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95-145</w:t>
            </w:r>
          </w:p>
        </w:tc>
        <w:tc>
          <w:tcPr>
            <w:tcW w:w="1707" w:type="dxa"/>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w:t>
            </w:r>
          </w:p>
        </w:tc>
        <w:tc>
          <w:tcPr>
            <w:tcW w:w="1606" w:type="dxa"/>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GB/T 20124</w:t>
            </w:r>
            <w:r w:rsidRPr="000008B8">
              <w:rPr>
                <w:rFonts w:ascii="Times New Roman" w:eastAsia="宋体" w:hAnsi="Times New Roman" w:cs="Times New Roman" w:hint="eastAsia"/>
                <w:sz w:val="18"/>
                <w:szCs w:val="18"/>
              </w:rPr>
              <w:t>规定的方法</w:t>
            </w:r>
          </w:p>
        </w:tc>
      </w:tr>
      <w:tr w:rsidR="000008B8" w:rsidRPr="000008B8" w:rsidTr="003372DC">
        <w:trPr>
          <w:trHeight w:val="340"/>
          <w:jc w:val="center"/>
        </w:trPr>
        <w:tc>
          <w:tcPr>
            <w:tcW w:w="597" w:type="dxa"/>
            <w:vMerge/>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p>
        </w:tc>
        <w:tc>
          <w:tcPr>
            <w:tcW w:w="1720" w:type="dxa"/>
            <w:gridSpan w:val="3"/>
            <w:vAlign w:val="center"/>
          </w:tcPr>
          <w:p w:rsidR="000008B8" w:rsidRPr="000008B8" w:rsidRDefault="000008B8" w:rsidP="000008B8">
            <w:pPr>
              <w:adjustRightInd w:val="0"/>
              <w:snapToGrid w:val="0"/>
              <w:jc w:val="center"/>
              <w:rPr>
                <w:rFonts w:ascii="Times New Roman" w:eastAsia="宋体" w:hAnsi="Times New Roman" w:cs="Times New Roman" w:hint="eastAsia"/>
                <w:color w:val="FF0000"/>
                <w:sz w:val="18"/>
                <w:szCs w:val="18"/>
              </w:rPr>
            </w:pPr>
            <w:r w:rsidRPr="000008B8">
              <w:rPr>
                <w:rFonts w:ascii="Times New Roman" w:eastAsia="宋体" w:hAnsi="Times New Roman" w:cs="Times New Roman" w:hint="eastAsia"/>
                <w:sz w:val="18"/>
                <w:szCs w:val="18"/>
              </w:rPr>
              <w:t>条带状组织偏析</w:t>
            </w:r>
          </w:p>
        </w:tc>
        <w:tc>
          <w:tcPr>
            <w:tcW w:w="1706"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无</w:t>
            </w:r>
          </w:p>
        </w:tc>
        <w:tc>
          <w:tcPr>
            <w:tcW w:w="2067" w:type="dxa"/>
            <w:vAlign w:val="center"/>
          </w:tcPr>
          <w:p w:rsidR="000008B8" w:rsidRPr="000008B8" w:rsidRDefault="000008B8" w:rsidP="000008B8">
            <w:pPr>
              <w:adjustRightInd w:val="0"/>
              <w:snapToGrid w:val="0"/>
              <w:jc w:val="center"/>
              <w:rPr>
                <w:rFonts w:ascii="Times New Roman" w:eastAsia="宋体" w:hAnsi="Times New Roman" w:cs="Times New Roman"/>
                <w:color w:val="FF0000"/>
                <w:sz w:val="18"/>
                <w:szCs w:val="18"/>
              </w:rPr>
            </w:pPr>
            <w:r w:rsidRPr="000008B8">
              <w:rPr>
                <w:rFonts w:ascii="Times New Roman" w:eastAsia="宋体" w:hAnsi="Times New Roman" w:cs="Times New Roman" w:hint="eastAsia"/>
                <w:sz w:val="18"/>
                <w:szCs w:val="18"/>
              </w:rPr>
              <w:t>≤</w:t>
            </w:r>
            <w:r w:rsidRPr="000008B8">
              <w:rPr>
                <w:rFonts w:ascii="Times New Roman" w:eastAsia="宋体" w:hAnsi="Times New Roman" w:cs="Times New Roman" w:hint="eastAsia"/>
                <w:sz w:val="18"/>
                <w:szCs w:val="18"/>
              </w:rPr>
              <w:t>1</w:t>
            </w:r>
            <w:r w:rsidRPr="000008B8">
              <w:rPr>
                <w:rFonts w:ascii="Times New Roman" w:eastAsia="宋体" w:hAnsi="Times New Roman" w:cs="Times New Roman" w:hint="eastAsia"/>
                <w:sz w:val="18"/>
                <w:szCs w:val="18"/>
              </w:rPr>
              <w:t>条偏析带</w:t>
            </w:r>
          </w:p>
        </w:tc>
        <w:tc>
          <w:tcPr>
            <w:tcW w:w="1707" w:type="dxa"/>
            <w:vAlign w:val="center"/>
          </w:tcPr>
          <w:p w:rsidR="000008B8" w:rsidRPr="000008B8" w:rsidRDefault="000008B8" w:rsidP="000008B8">
            <w:pPr>
              <w:adjustRightInd w:val="0"/>
              <w:snapToGrid w:val="0"/>
              <w:jc w:val="center"/>
              <w:rPr>
                <w:rFonts w:ascii="Times New Roman" w:eastAsia="宋体" w:hAnsi="Times New Roman" w:cs="Times New Roman"/>
                <w:color w:val="FF0000"/>
                <w:sz w:val="18"/>
                <w:szCs w:val="18"/>
              </w:rPr>
            </w:pPr>
            <w:r w:rsidRPr="000008B8">
              <w:rPr>
                <w:rFonts w:ascii="Times New Roman" w:eastAsia="宋体" w:hAnsi="Times New Roman" w:cs="Times New Roman" w:hint="eastAsia"/>
                <w:sz w:val="18"/>
                <w:szCs w:val="18"/>
              </w:rPr>
              <w:t>≤</w:t>
            </w:r>
            <w:r w:rsidRPr="000008B8">
              <w:rPr>
                <w:rFonts w:ascii="Times New Roman" w:eastAsia="宋体" w:hAnsi="Times New Roman" w:cs="Times New Roman" w:hint="eastAsia"/>
                <w:sz w:val="18"/>
                <w:szCs w:val="18"/>
              </w:rPr>
              <w:t>2</w:t>
            </w:r>
            <w:r w:rsidRPr="000008B8">
              <w:rPr>
                <w:rFonts w:ascii="Times New Roman" w:eastAsia="宋体" w:hAnsi="Times New Roman" w:cs="Times New Roman" w:hint="eastAsia"/>
                <w:sz w:val="18"/>
                <w:szCs w:val="18"/>
              </w:rPr>
              <w:t>条偏析带</w:t>
            </w:r>
          </w:p>
        </w:tc>
        <w:tc>
          <w:tcPr>
            <w:tcW w:w="1606" w:type="dxa"/>
            <w:vAlign w:val="center"/>
          </w:tcPr>
          <w:p w:rsidR="000008B8" w:rsidRPr="000008B8" w:rsidRDefault="000008B8" w:rsidP="000008B8">
            <w:pPr>
              <w:adjustRightInd w:val="0"/>
              <w:snapToGrid w:val="0"/>
              <w:jc w:val="center"/>
              <w:rPr>
                <w:rFonts w:ascii="Times New Roman" w:eastAsia="宋体" w:hAnsi="Times New Roman" w:cs="Times New Roman"/>
                <w:color w:val="FF0000"/>
                <w:sz w:val="18"/>
                <w:szCs w:val="18"/>
              </w:rPr>
            </w:pPr>
            <w:r w:rsidRPr="000008B8">
              <w:rPr>
                <w:rFonts w:ascii="Times New Roman" w:eastAsia="宋体" w:hAnsi="Times New Roman" w:cs="Times New Roman" w:hint="eastAsia"/>
                <w:sz w:val="18"/>
                <w:szCs w:val="18"/>
              </w:rPr>
              <w:t>目视或金相显微镜下观察</w:t>
            </w:r>
          </w:p>
        </w:tc>
      </w:tr>
      <w:tr w:rsidR="000008B8" w:rsidRPr="000008B8" w:rsidTr="003372DC">
        <w:trPr>
          <w:trHeight w:val="340"/>
          <w:jc w:val="center"/>
        </w:trPr>
        <w:tc>
          <w:tcPr>
            <w:tcW w:w="597" w:type="dxa"/>
            <w:vMerge/>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p>
        </w:tc>
        <w:tc>
          <w:tcPr>
            <w:tcW w:w="1720" w:type="dxa"/>
            <w:gridSpan w:val="3"/>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强屈比</w:t>
            </w:r>
            <w:r w:rsidRPr="000008B8">
              <w:rPr>
                <w:rFonts w:ascii="Times New Roman" w:eastAsia="宋体" w:hAnsi="Times New Roman" w:cs="Times New Roman" w:hint="eastAsia"/>
                <w:sz w:val="18"/>
                <w:szCs w:val="18"/>
              </w:rPr>
              <w:t>(</w:t>
            </w:r>
            <w:r w:rsidRPr="000008B8">
              <w:rPr>
                <w:rFonts w:ascii="Times New Roman" w:eastAsia="宋体" w:hAnsi="Times New Roman" w:cs="Times New Roman"/>
                <w:sz w:val="18"/>
                <w:szCs w:val="18"/>
              </w:rPr>
              <w:t>R°</w:t>
            </w:r>
            <w:r w:rsidRPr="000008B8">
              <w:rPr>
                <w:rFonts w:ascii="Times New Roman" w:eastAsia="宋体" w:hAnsi="Times New Roman" w:cs="Times New Roman"/>
                <w:sz w:val="18"/>
                <w:szCs w:val="18"/>
                <w:vertAlign w:val="subscript"/>
              </w:rPr>
              <w:t>m</w:t>
            </w:r>
            <w:r w:rsidRPr="000008B8">
              <w:rPr>
                <w:rFonts w:ascii="Times New Roman" w:eastAsia="宋体" w:hAnsi="Times New Roman" w:cs="Times New Roman"/>
                <w:sz w:val="18"/>
                <w:szCs w:val="18"/>
              </w:rPr>
              <w:t>/R°</w:t>
            </w:r>
            <w:r w:rsidRPr="000008B8">
              <w:rPr>
                <w:rFonts w:ascii="Times New Roman" w:eastAsia="宋体" w:hAnsi="Times New Roman" w:cs="Times New Roman"/>
                <w:sz w:val="18"/>
                <w:szCs w:val="18"/>
                <w:vertAlign w:val="subscript"/>
              </w:rPr>
              <w:t>eL</w:t>
            </w:r>
            <w:r w:rsidRPr="000008B8">
              <w:rPr>
                <w:rFonts w:ascii="Times New Roman" w:eastAsia="宋体" w:hAnsi="Times New Roman" w:cs="Times New Roman" w:hint="eastAsia"/>
                <w:sz w:val="18"/>
                <w:szCs w:val="18"/>
              </w:rPr>
              <w:t>)</w:t>
            </w:r>
          </w:p>
        </w:tc>
        <w:tc>
          <w:tcPr>
            <w:tcW w:w="1706"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Arial" w:eastAsia="宋体" w:hAnsi="Arial" w:cs="Arial"/>
                <w:sz w:val="18"/>
                <w:szCs w:val="18"/>
              </w:rPr>
              <w:t>≥</w:t>
            </w:r>
            <w:r w:rsidRPr="000008B8">
              <w:rPr>
                <w:rFonts w:ascii="Times New Roman" w:eastAsia="宋体" w:hAnsi="Times New Roman" w:cs="Times New Roman" w:hint="eastAsia"/>
                <w:sz w:val="18"/>
                <w:szCs w:val="18"/>
              </w:rPr>
              <w:t>1.29</w:t>
            </w:r>
          </w:p>
        </w:tc>
        <w:tc>
          <w:tcPr>
            <w:tcW w:w="2067"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Arial" w:eastAsia="宋体" w:hAnsi="Arial" w:cs="Arial"/>
                <w:sz w:val="18"/>
                <w:szCs w:val="18"/>
              </w:rPr>
              <w:t>≥</w:t>
            </w:r>
            <w:r w:rsidRPr="000008B8">
              <w:rPr>
                <w:rFonts w:ascii="Times New Roman" w:eastAsia="宋体" w:hAnsi="Times New Roman" w:cs="Times New Roman" w:hint="eastAsia"/>
                <w:sz w:val="18"/>
                <w:szCs w:val="18"/>
              </w:rPr>
              <w:t>1.27</w:t>
            </w:r>
          </w:p>
        </w:tc>
        <w:tc>
          <w:tcPr>
            <w:tcW w:w="1707" w:type="dxa"/>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Arial" w:eastAsia="宋体" w:hAnsi="Arial" w:cs="Arial"/>
                <w:sz w:val="18"/>
                <w:szCs w:val="18"/>
              </w:rPr>
              <w:t>≥</w:t>
            </w:r>
            <w:r w:rsidRPr="000008B8">
              <w:rPr>
                <w:rFonts w:ascii="Times New Roman" w:eastAsia="宋体" w:hAnsi="Times New Roman" w:cs="Times New Roman" w:hint="eastAsia"/>
                <w:sz w:val="18"/>
                <w:szCs w:val="18"/>
              </w:rPr>
              <w:t>1.25</w:t>
            </w:r>
          </w:p>
        </w:tc>
        <w:tc>
          <w:tcPr>
            <w:tcW w:w="1606"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强屈比：</w:t>
            </w:r>
          </w:p>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抗拉强度值</w:t>
            </w:r>
            <w:r w:rsidRPr="000008B8">
              <w:rPr>
                <w:rFonts w:ascii="Times New Roman" w:eastAsia="宋体" w:hAnsi="Times New Roman" w:cs="Times New Roman" w:hint="eastAsia"/>
                <w:sz w:val="18"/>
                <w:szCs w:val="18"/>
              </w:rPr>
              <w:t>/</w:t>
            </w:r>
            <w:r w:rsidRPr="000008B8">
              <w:rPr>
                <w:rFonts w:ascii="Times New Roman" w:eastAsia="宋体" w:hAnsi="Times New Roman" w:cs="Times New Roman" w:hint="eastAsia"/>
                <w:sz w:val="18"/>
                <w:szCs w:val="18"/>
              </w:rPr>
              <w:t>屈服强度值</w:t>
            </w:r>
          </w:p>
        </w:tc>
      </w:tr>
      <w:tr w:rsidR="000008B8" w:rsidRPr="000008B8" w:rsidTr="003372DC">
        <w:trPr>
          <w:trHeight w:val="340"/>
          <w:jc w:val="center"/>
        </w:trPr>
        <w:tc>
          <w:tcPr>
            <w:tcW w:w="597" w:type="dxa"/>
            <w:vMerge/>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p>
        </w:tc>
        <w:tc>
          <w:tcPr>
            <w:tcW w:w="1720" w:type="dxa"/>
            <w:gridSpan w:val="3"/>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t>非金属夹杂物</w:t>
            </w:r>
          </w:p>
        </w:tc>
        <w:tc>
          <w:tcPr>
            <w:tcW w:w="1706"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A</w:t>
            </w:r>
            <w:r w:rsidRPr="000008B8">
              <w:rPr>
                <w:rFonts w:ascii="Times New Roman" w:eastAsia="宋体" w:hAnsi="Times New Roman" w:cs="Times New Roman" w:hint="eastAsia"/>
                <w:sz w:val="18"/>
                <w:szCs w:val="18"/>
              </w:rPr>
              <w:t>类、</w:t>
            </w:r>
            <w:r w:rsidRPr="000008B8">
              <w:rPr>
                <w:rFonts w:ascii="Times New Roman" w:eastAsia="宋体" w:hAnsi="Times New Roman" w:cs="Times New Roman" w:hint="eastAsia"/>
                <w:sz w:val="18"/>
                <w:szCs w:val="18"/>
              </w:rPr>
              <w:t>B</w:t>
            </w:r>
            <w:r w:rsidRPr="000008B8">
              <w:rPr>
                <w:rFonts w:ascii="Times New Roman" w:eastAsia="宋体" w:hAnsi="Times New Roman" w:cs="Times New Roman" w:hint="eastAsia"/>
                <w:sz w:val="18"/>
                <w:szCs w:val="18"/>
              </w:rPr>
              <w:t>类、</w:t>
            </w:r>
            <w:r w:rsidRPr="000008B8">
              <w:rPr>
                <w:rFonts w:ascii="Times New Roman" w:eastAsia="宋体" w:hAnsi="Times New Roman" w:cs="Times New Roman" w:hint="eastAsia"/>
                <w:sz w:val="18"/>
                <w:szCs w:val="18"/>
              </w:rPr>
              <w:t>C</w:t>
            </w:r>
            <w:r w:rsidRPr="000008B8">
              <w:rPr>
                <w:rFonts w:ascii="Times New Roman" w:eastAsia="宋体" w:hAnsi="Times New Roman" w:cs="Times New Roman" w:hint="eastAsia"/>
                <w:sz w:val="18"/>
                <w:szCs w:val="18"/>
              </w:rPr>
              <w:t>类夹杂物评级分</w:t>
            </w:r>
            <w:r w:rsidRPr="000008B8">
              <w:rPr>
                <w:rFonts w:ascii="Times New Roman" w:eastAsia="宋体" w:hAnsi="Times New Roman" w:cs="Times New Roman" w:hint="eastAsia"/>
                <w:sz w:val="18"/>
                <w:szCs w:val="18"/>
              </w:rPr>
              <w:lastRenderedPageBreak/>
              <w:t>别不高于</w:t>
            </w:r>
            <w:r w:rsidRPr="000008B8">
              <w:rPr>
                <w:rFonts w:ascii="Times New Roman" w:eastAsia="宋体" w:hAnsi="Times New Roman" w:cs="Times New Roman" w:hint="eastAsia"/>
                <w:sz w:val="18"/>
                <w:szCs w:val="18"/>
              </w:rPr>
              <w:t>1.5</w:t>
            </w:r>
            <w:r w:rsidRPr="000008B8">
              <w:rPr>
                <w:rFonts w:ascii="Times New Roman" w:eastAsia="宋体" w:hAnsi="Times New Roman" w:cs="Times New Roman" w:hint="eastAsia"/>
                <w:sz w:val="18"/>
                <w:szCs w:val="18"/>
              </w:rPr>
              <w:t>级；</w:t>
            </w:r>
            <w:r w:rsidRPr="000008B8">
              <w:rPr>
                <w:rFonts w:ascii="Times New Roman" w:eastAsia="宋体" w:hAnsi="Times New Roman" w:cs="Times New Roman" w:hint="eastAsia"/>
                <w:sz w:val="18"/>
                <w:szCs w:val="18"/>
              </w:rPr>
              <w:t>D</w:t>
            </w:r>
            <w:r w:rsidRPr="000008B8">
              <w:rPr>
                <w:rFonts w:ascii="Times New Roman" w:eastAsia="宋体" w:hAnsi="Times New Roman" w:cs="Times New Roman" w:hint="eastAsia"/>
                <w:sz w:val="18"/>
                <w:szCs w:val="18"/>
              </w:rPr>
              <w:t>类、</w:t>
            </w:r>
            <w:r w:rsidRPr="000008B8">
              <w:rPr>
                <w:rFonts w:ascii="Times New Roman" w:eastAsia="宋体" w:hAnsi="Times New Roman" w:cs="Times New Roman" w:hint="eastAsia"/>
                <w:sz w:val="18"/>
                <w:szCs w:val="18"/>
              </w:rPr>
              <w:t>D</w:t>
            </w:r>
            <w:r w:rsidRPr="000008B8">
              <w:rPr>
                <w:rFonts w:ascii="Times New Roman" w:eastAsia="宋体" w:hAnsi="Times New Roman" w:cs="Times New Roman"/>
                <w:sz w:val="18"/>
                <w:szCs w:val="18"/>
              </w:rPr>
              <w:t>S</w:t>
            </w:r>
            <w:r w:rsidRPr="000008B8">
              <w:rPr>
                <w:rFonts w:ascii="Times New Roman" w:eastAsia="宋体" w:hAnsi="Times New Roman" w:cs="Times New Roman" w:hint="eastAsia"/>
                <w:sz w:val="18"/>
                <w:szCs w:val="18"/>
              </w:rPr>
              <w:t>类夹杂物评级分别不高于</w:t>
            </w:r>
            <w:r w:rsidRPr="000008B8">
              <w:rPr>
                <w:rFonts w:ascii="Times New Roman" w:eastAsia="宋体" w:hAnsi="Times New Roman" w:cs="Times New Roman" w:hint="eastAsia"/>
                <w:sz w:val="18"/>
                <w:szCs w:val="18"/>
              </w:rPr>
              <w:t>2.0</w:t>
            </w:r>
            <w:r w:rsidRPr="000008B8">
              <w:rPr>
                <w:rFonts w:ascii="Times New Roman" w:eastAsia="宋体" w:hAnsi="Times New Roman" w:cs="Times New Roman" w:hint="eastAsia"/>
                <w:sz w:val="18"/>
                <w:szCs w:val="18"/>
              </w:rPr>
              <w:t>级。</w:t>
            </w:r>
          </w:p>
        </w:tc>
        <w:tc>
          <w:tcPr>
            <w:tcW w:w="2067"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lastRenderedPageBreak/>
              <w:t>A</w:t>
            </w:r>
            <w:r w:rsidRPr="000008B8">
              <w:rPr>
                <w:rFonts w:ascii="Times New Roman" w:eastAsia="宋体" w:hAnsi="Times New Roman" w:cs="Times New Roman" w:hint="eastAsia"/>
                <w:sz w:val="18"/>
                <w:szCs w:val="18"/>
              </w:rPr>
              <w:t>类、</w:t>
            </w:r>
            <w:r w:rsidRPr="000008B8">
              <w:rPr>
                <w:rFonts w:ascii="Times New Roman" w:eastAsia="宋体" w:hAnsi="Times New Roman" w:cs="Times New Roman" w:hint="eastAsia"/>
                <w:sz w:val="18"/>
                <w:szCs w:val="18"/>
              </w:rPr>
              <w:t>B</w:t>
            </w:r>
            <w:r w:rsidRPr="000008B8">
              <w:rPr>
                <w:rFonts w:ascii="Times New Roman" w:eastAsia="宋体" w:hAnsi="Times New Roman" w:cs="Times New Roman" w:hint="eastAsia"/>
                <w:sz w:val="18"/>
                <w:szCs w:val="18"/>
              </w:rPr>
              <w:t>类、</w:t>
            </w:r>
            <w:r w:rsidRPr="000008B8">
              <w:rPr>
                <w:rFonts w:ascii="Times New Roman" w:eastAsia="宋体" w:hAnsi="Times New Roman" w:cs="Times New Roman" w:hint="eastAsia"/>
                <w:sz w:val="18"/>
                <w:szCs w:val="18"/>
              </w:rPr>
              <w:t>C</w:t>
            </w:r>
            <w:r w:rsidRPr="000008B8">
              <w:rPr>
                <w:rFonts w:ascii="Times New Roman" w:eastAsia="宋体" w:hAnsi="Times New Roman" w:cs="Times New Roman" w:hint="eastAsia"/>
                <w:sz w:val="18"/>
                <w:szCs w:val="18"/>
              </w:rPr>
              <w:t>类夹杂物评级分别不高</w:t>
            </w:r>
            <w:r w:rsidRPr="000008B8">
              <w:rPr>
                <w:rFonts w:ascii="Times New Roman" w:eastAsia="宋体" w:hAnsi="Times New Roman" w:cs="Times New Roman" w:hint="eastAsia"/>
                <w:sz w:val="18"/>
                <w:szCs w:val="18"/>
              </w:rPr>
              <w:lastRenderedPageBreak/>
              <w:t>于</w:t>
            </w:r>
            <w:r w:rsidRPr="000008B8">
              <w:rPr>
                <w:rFonts w:ascii="Times New Roman" w:eastAsia="宋体" w:hAnsi="Times New Roman" w:cs="Times New Roman" w:hint="eastAsia"/>
                <w:sz w:val="18"/>
                <w:szCs w:val="18"/>
              </w:rPr>
              <w:t>2.0</w:t>
            </w:r>
            <w:r w:rsidRPr="000008B8">
              <w:rPr>
                <w:rFonts w:ascii="Times New Roman" w:eastAsia="宋体" w:hAnsi="Times New Roman" w:cs="Times New Roman" w:hint="eastAsia"/>
                <w:sz w:val="18"/>
                <w:szCs w:val="18"/>
              </w:rPr>
              <w:t>级；</w:t>
            </w:r>
            <w:r w:rsidRPr="000008B8">
              <w:rPr>
                <w:rFonts w:ascii="Times New Roman" w:eastAsia="宋体" w:hAnsi="Times New Roman" w:cs="Times New Roman" w:hint="eastAsia"/>
                <w:sz w:val="18"/>
                <w:szCs w:val="18"/>
              </w:rPr>
              <w:t>D</w:t>
            </w:r>
            <w:r w:rsidRPr="000008B8">
              <w:rPr>
                <w:rFonts w:ascii="Times New Roman" w:eastAsia="宋体" w:hAnsi="Times New Roman" w:cs="Times New Roman" w:hint="eastAsia"/>
                <w:sz w:val="18"/>
                <w:szCs w:val="18"/>
              </w:rPr>
              <w:t>类、</w:t>
            </w:r>
            <w:r w:rsidRPr="000008B8">
              <w:rPr>
                <w:rFonts w:ascii="Times New Roman" w:eastAsia="宋体" w:hAnsi="Times New Roman" w:cs="Times New Roman" w:hint="eastAsia"/>
                <w:sz w:val="18"/>
                <w:szCs w:val="18"/>
              </w:rPr>
              <w:t>D</w:t>
            </w:r>
            <w:r w:rsidRPr="000008B8">
              <w:rPr>
                <w:rFonts w:ascii="Times New Roman" w:eastAsia="宋体" w:hAnsi="Times New Roman" w:cs="Times New Roman"/>
                <w:sz w:val="18"/>
                <w:szCs w:val="18"/>
              </w:rPr>
              <w:t>S</w:t>
            </w:r>
            <w:r w:rsidRPr="000008B8">
              <w:rPr>
                <w:rFonts w:ascii="Times New Roman" w:eastAsia="宋体" w:hAnsi="Times New Roman" w:cs="Times New Roman" w:hint="eastAsia"/>
                <w:sz w:val="18"/>
                <w:szCs w:val="18"/>
              </w:rPr>
              <w:t>类夹杂物评级分别不高于</w:t>
            </w:r>
            <w:r w:rsidRPr="000008B8">
              <w:rPr>
                <w:rFonts w:ascii="Times New Roman" w:eastAsia="宋体" w:hAnsi="Times New Roman" w:cs="Times New Roman" w:hint="eastAsia"/>
                <w:sz w:val="18"/>
                <w:szCs w:val="18"/>
              </w:rPr>
              <w:t>2.5</w:t>
            </w:r>
            <w:r w:rsidRPr="000008B8">
              <w:rPr>
                <w:rFonts w:ascii="Times New Roman" w:eastAsia="宋体" w:hAnsi="Times New Roman" w:cs="Times New Roman" w:hint="eastAsia"/>
                <w:sz w:val="18"/>
                <w:szCs w:val="18"/>
              </w:rPr>
              <w:t>级。</w:t>
            </w:r>
          </w:p>
        </w:tc>
        <w:tc>
          <w:tcPr>
            <w:tcW w:w="1707" w:type="dxa"/>
            <w:vAlign w:val="center"/>
          </w:tcPr>
          <w:p w:rsidR="000008B8" w:rsidRPr="000008B8" w:rsidRDefault="000008B8" w:rsidP="000008B8">
            <w:pPr>
              <w:adjustRightInd w:val="0"/>
              <w:snapToGrid w:val="0"/>
              <w:jc w:val="center"/>
              <w:rPr>
                <w:rFonts w:ascii="Times New Roman" w:eastAsia="宋体" w:hAnsi="Times New Roman" w:cs="Times New Roman"/>
                <w:sz w:val="18"/>
                <w:szCs w:val="18"/>
              </w:rPr>
            </w:pPr>
            <w:r w:rsidRPr="000008B8">
              <w:rPr>
                <w:rFonts w:ascii="Times New Roman" w:eastAsia="宋体" w:hAnsi="Times New Roman" w:cs="Times New Roman" w:hint="eastAsia"/>
                <w:sz w:val="18"/>
                <w:szCs w:val="18"/>
              </w:rPr>
              <w:lastRenderedPageBreak/>
              <w:t>—</w:t>
            </w:r>
          </w:p>
        </w:tc>
        <w:tc>
          <w:tcPr>
            <w:tcW w:w="1606" w:type="dxa"/>
            <w:vAlign w:val="center"/>
          </w:tcPr>
          <w:p w:rsidR="000008B8" w:rsidRPr="000008B8" w:rsidRDefault="000008B8" w:rsidP="000008B8">
            <w:pPr>
              <w:adjustRightInd w:val="0"/>
              <w:snapToGrid w:val="0"/>
              <w:jc w:val="center"/>
              <w:rPr>
                <w:rFonts w:ascii="Times New Roman" w:eastAsia="宋体" w:hAnsi="Times New Roman" w:cs="Times New Roman" w:hint="eastAsia"/>
                <w:sz w:val="18"/>
                <w:szCs w:val="18"/>
              </w:rPr>
            </w:pPr>
            <w:r w:rsidRPr="000008B8">
              <w:rPr>
                <w:rFonts w:ascii="Times New Roman" w:eastAsia="宋体" w:hAnsi="Times New Roman" w:cs="Times New Roman" w:hint="eastAsia"/>
                <w:sz w:val="18"/>
                <w:szCs w:val="18"/>
              </w:rPr>
              <w:t>GB/T 10561</w:t>
            </w:r>
            <w:r w:rsidRPr="000008B8">
              <w:rPr>
                <w:rFonts w:ascii="Times New Roman" w:eastAsia="宋体" w:hAnsi="Times New Roman" w:cs="Times New Roman" w:hint="eastAsia"/>
                <w:sz w:val="18"/>
                <w:szCs w:val="18"/>
              </w:rPr>
              <w:t>规定的方法</w:t>
            </w:r>
          </w:p>
        </w:tc>
      </w:tr>
    </w:tbl>
    <w:p w:rsidR="00892CEF" w:rsidRPr="008E634D" w:rsidRDefault="009F7981" w:rsidP="008E634D">
      <w:pPr>
        <w:spacing w:line="360" w:lineRule="auto"/>
        <w:ind w:firstLineChars="200" w:firstLine="560"/>
        <w:rPr>
          <w:rFonts w:ascii="仿宋_GB2312" w:eastAsia="仿宋_GB2312" w:hAnsi="仿宋" w:cs="Times New Roman"/>
          <w:sz w:val="28"/>
          <w:szCs w:val="28"/>
        </w:rPr>
      </w:pPr>
      <w:r>
        <w:rPr>
          <w:rFonts w:ascii="仿宋_GB2312" w:eastAsia="仿宋_GB2312" w:hAnsi="仿宋" w:cs="Times New Roman"/>
          <w:sz w:val="28"/>
          <w:szCs w:val="28"/>
        </w:rPr>
        <w:lastRenderedPageBreak/>
        <w:t>3</w:t>
      </w:r>
      <w:r w:rsidR="00F53827">
        <w:rPr>
          <w:rFonts w:ascii="仿宋_GB2312" w:eastAsia="仿宋_GB2312" w:hAnsi="仿宋" w:cs="Times New Roman" w:hint="eastAsia"/>
          <w:sz w:val="28"/>
          <w:szCs w:val="28"/>
        </w:rPr>
        <w:t>、指标选取原则</w:t>
      </w:r>
    </w:p>
    <w:p w:rsidR="00BD6E98" w:rsidRDefault="00F53827" w:rsidP="005A6F0A">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r w:rsidR="006C0276">
        <w:rPr>
          <w:rFonts w:ascii="Times New Roman" w:eastAsia="仿宋_GB2312" w:hAnsi="Times New Roman" w:cs="Times New Roman" w:hint="eastAsia"/>
          <w:sz w:val="28"/>
          <w:szCs w:val="28"/>
        </w:rPr>
        <w:t>基础指标的选取</w:t>
      </w:r>
    </w:p>
    <w:p w:rsidR="00B63A2B" w:rsidRDefault="000008B8" w:rsidP="005A6F0A">
      <w:pPr>
        <w:spacing w:line="360" w:lineRule="auto"/>
        <w:ind w:firstLineChars="200" w:firstLine="560"/>
        <w:rPr>
          <w:rFonts w:ascii="Times New Roman" w:eastAsia="仿宋_GB2312" w:hAnsi="Times New Roman" w:cs="Times New Roman" w:hint="eastAsia"/>
          <w:sz w:val="28"/>
          <w:szCs w:val="28"/>
        </w:rPr>
      </w:pPr>
      <w:r>
        <w:rPr>
          <w:rFonts w:ascii="Times New Roman" w:eastAsia="仿宋_GB2312" w:hAnsi="Times New Roman" w:cs="Times New Roman" w:hint="eastAsia"/>
          <w:sz w:val="28"/>
          <w:szCs w:val="28"/>
        </w:rPr>
        <w:t>钢筋的尺寸外形</w:t>
      </w:r>
      <w:r>
        <w:rPr>
          <w:rFonts w:ascii="Times New Roman" w:eastAsia="仿宋_GB2312" w:hAnsi="Times New Roman" w:cs="Times New Roman"/>
          <w:sz w:val="28"/>
          <w:szCs w:val="28"/>
        </w:rPr>
        <w:t>、表面质量、化学成分</w:t>
      </w:r>
      <w:r>
        <w:rPr>
          <w:rFonts w:ascii="Times New Roman" w:eastAsia="仿宋_GB2312" w:hAnsi="Times New Roman" w:cs="Times New Roman" w:hint="eastAsia"/>
          <w:sz w:val="28"/>
          <w:szCs w:val="28"/>
        </w:rPr>
        <w:t>是</w:t>
      </w:r>
      <w:r>
        <w:rPr>
          <w:rFonts w:ascii="Times New Roman" w:eastAsia="仿宋_GB2312" w:hAnsi="Times New Roman" w:cs="Times New Roman"/>
          <w:sz w:val="28"/>
          <w:szCs w:val="28"/>
        </w:rPr>
        <w:t>生产</w:t>
      </w:r>
      <w:r>
        <w:rPr>
          <w:rFonts w:ascii="Times New Roman" w:eastAsia="仿宋_GB2312" w:hAnsi="Times New Roman" w:cs="Times New Roman" w:hint="eastAsia"/>
          <w:sz w:val="28"/>
          <w:szCs w:val="28"/>
        </w:rPr>
        <w:t>中</w:t>
      </w:r>
      <w:r>
        <w:rPr>
          <w:rFonts w:ascii="Times New Roman" w:eastAsia="仿宋_GB2312" w:hAnsi="Times New Roman" w:cs="Times New Roman"/>
          <w:sz w:val="28"/>
          <w:szCs w:val="28"/>
        </w:rPr>
        <w:t>应保证的基本指标</w:t>
      </w:r>
      <w:r w:rsidR="00AC674C">
        <w:rPr>
          <w:rFonts w:ascii="Times New Roman" w:eastAsia="仿宋_GB2312" w:hAnsi="Times New Roman" w:cs="Times New Roman" w:hint="eastAsia"/>
          <w:sz w:val="28"/>
          <w:szCs w:val="28"/>
        </w:rPr>
        <w:t>。</w:t>
      </w:r>
    </w:p>
    <w:p w:rsidR="00F53827" w:rsidRDefault="00F53827" w:rsidP="005A6F0A">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w:t>
      </w:r>
      <w:r w:rsidR="006C0276">
        <w:rPr>
          <w:rFonts w:ascii="Times New Roman" w:eastAsia="仿宋_GB2312" w:hAnsi="Times New Roman" w:cs="Times New Roman" w:hint="eastAsia"/>
          <w:sz w:val="28"/>
          <w:szCs w:val="28"/>
        </w:rPr>
        <w:t>核心指标的选取</w:t>
      </w:r>
    </w:p>
    <w:p w:rsidR="000008B8" w:rsidRDefault="00AC674C" w:rsidP="005A6F0A">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核心</w:t>
      </w:r>
      <w:r w:rsidR="000008B8">
        <w:rPr>
          <w:rFonts w:ascii="Times New Roman" w:eastAsia="仿宋_GB2312" w:hAnsi="Times New Roman" w:cs="Times New Roman" w:hint="eastAsia"/>
          <w:sz w:val="28"/>
          <w:szCs w:val="28"/>
        </w:rPr>
        <w:t>指标选取</w:t>
      </w:r>
      <w:r w:rsidR="000008B8">
        <w:rPr>
          <w:rFonts w:ascii="Times New Roman" w:eastAsia="仿宋_GB2312" w:hAnsi="Times New Roman" w:cs="Times New Roman"/>
          <w:sz w:val="28"/>
          <w:szCs w:val="28"/>
        </w:rPr>
        <w:t>了重量允许偏差，</w:t>
      </w:r>
      <w:r w:rsidR="000008B8">
        <w:rPr>
          <w:rFonts w:ascii="Times New Roman" w:eastAsia="仿宋_GB2312" w:hAnsi="Times New Roman" w:cs="Times New Roman" w:hint="eastAsia"/>
          <w:sz w:val="28"/>
          <w:szCs w:val="28"/>
        </w:rPr>
        <w:t>主要</w:t>
      </w:r>
      <w:r w:rsidR="000008B8">
        <w:rPr>
          <w:rFonts w:ascii="Times New Roman" w:eastAsia="仿宋_GB2312" w:hAnsi="Times New Roman" w:cs="Times New Roman"/>
          <w:sz w:val="28"/>
          <w:szCs w:val="28"/>
        </w:rPr>
        <w:t>针对市场</w:t>
      </w:r>
      <w:r w:rsidR="000008B8">
        <w:rPr>
          <w:rFonts w:ascii="Times New Roman" w:eastAsia="仿宋_GB2312" w:hAnsi="Times New Roman" w:cs="Times New Roman" w:hint="eastAsia"/>
          <w:sz w:val="28"/>
          <w:szCs w:val="28"/>
        </w:rPr>
        <w:t>上瘦身钢筋</w:t>
      </w:r>
      <w:r w:rsidR="000008B8">
        <w:rPr>
          <w:rFonts w:ascii="Times New Roman" w:eastAsia="仿宋_GB2312" w:hAnsi="Times New Roman" w:cs="Times New Roman"/>
          <w:sz w:val="28"/>
          <w:szCs w:val="28"/>
        </w:rPr>
        <w:t>的问题，对</w:t>
      </w:r>
      <w:r w:rsidR="000008B8">
        <w:rPr>
          <w:rFonts w:ascii="Times New Roman" w:eastAsia="仿宋_GB2312" w:hAnsi="Times New Roman" w:cs="Times New Roman" w:hint="eastAsia"/>
          <w:sz w:val="28"/>
          <w:szCs w:val="28"/>
        </w:rPr>
        <w:t>实际重量</w:t>
      </w:r>
      <w:r w:rsidR="000008B8">
        <w:rPr>
          <w:rFonts w:ascii="Times New Roman" w:eastAsia="仿宋_GB2312" w:hAnsi="Times New Roman" w:cs="Times New Roman"/>
          <w:sz w:val="28"/>
          <w:szCs w:val="28"/>
        </w:rPr>
        <w:t>与理论重量偏差提出了分级的更高要求。</w:t>
      </w:r>
      <w:r w:rsidR="000008B8">
        <w:rPr>
          <w:rFonts w:ascii="Times New Roman" w:eastAsia="仿宋_GB2312" w:hAnsi="Times New Roman" w:cs="Times New Roman"/>
          <w:sz w:val="28"/>
          <w:szCs w:val="28"/>
        </w:rPr>
        <w:t>P</w:t>
      </w:r>
      <w:r w:rsidR="000008B8">
        <w:rPr>
          <w:rFonts w:ascii="Times New Roman" w:eastAsia="仿宋_GB2312" w:hAnsi="Times New Roman" w:cs="Times New Roman" w:hint="eastAsia"/>
          <w:sz w:val="28"/>
          <w:szCs w:val="28"/>
        </w:rPr>
        <w:t>、</w:t>
      </w:r>
      <w:r w:rsidR="000008B8">
        <w:rPr>
          <w:rFonts w:ascii="Times New Roman" w:eastAsia="仿宋_GB2312" w:hAnsi="Times New Roman" w:cs="Times New Roman"/>
          <w:sz w:val="28"/>
          <w:szCs w:val="28"/>
        </w:rPr>
        <w:t>S</w:t>
      </w:r>
      <w:r w:rsidR="000008B8">
        <w:rPr>
          <w:rFonts w:ascii="Times New Roman" w:eastAsia="仿宋_GB2312" w:hAnsi="Times New Roman" w:cs="Times New Roman"/>
          <w:sz w:val="28"/>
          <w:szCs w:val="28"/>
        </w:rPr>
        <w:t>元素含量体现了冶炼过程中的控制水平</w:t>
      </w:r>
      <w:r w:rsidR="000008B8">
        <w:rPr>
          <w:rFonts w:ascii="Times New Roman" w:eastAsia="仿宋_GB2312" w:hAnsi="Times New Roman" w:cs="Times New Roman" w:hint="eastAsia"/>
          <w:sz w:val="28"/>
          <w:szCs w:val="28"/>
        </w:rPr>
        <w:t>。截面</w:t>
      </w:r>
      <w:r w:rsidR="000008B8">
        <w:rPr>
          <w:rFonts w:ascii="Times New Roman" w:eastAsia="仿宋_GB2312" w:hAnsi="Times New Roman" w:cs="Times New Roman"/>
          <w:sz w:val="28"/>
          <w:szCs w:val="28"/>
        </w:rPr>
        <w:t>宏观</w:t>
      </w:r>
      <w:r w:rsidR="000008B8">
        <w:rPr>
          <w:rFonts w:ascii="Times New Roman" w:eastAsia="仿宋_GB2312" w:hAnsi="Times New Roman" w:cs="Times New Roman" w:hint="eastAsia"/>
          <w:sz w:val="28"/>
          <w:szCs w:val="28"/>
        </w:rPr>
        <w:t>组织和</w:t>
      </w:r>
      <w:r w:rsidR="000008B8">
        <w:rPr>
          <w:rFonts w:ascii="Times New Roman" w:eastAsia="仿宋_GB2312" w:hAnsi="Times New Roman" w:cs="Times New Roman"/>
          <w:sz w:val="28"/>
          <w:szCs w:val="28"/>
        </w:rPr>
        <w:t>截面显微组织，</w:t>
      </w:r>
      <w:r w:rsidR="00965FA8">
        <w:rPr>
          <w:rFonts w:ascii="Times New Roman" w:eastAsia="仿宋_GB2312" w:hAnsi="Times New Roman" w:cs="Times New Roman" w:hint="eastAsia"/>
          <w:sz w:val="28"/>
          <w:szCs w:val="28"/>
        </w:rPr>
        <w:t>以及</w:t>
      </w:r>
      <w:r w:rsidR="00965FA8">
        <w:rPr>
          <w:rFonts w:ascii="Times New Roman" w:eastAsia="仿宋_GB2312" w:hAnsi="Times New Roman" w:cs="Times New Roman"/>
          <w:sz w:val="28"/>
          <w:szCs w:val="28"/>
        </w:rPr>
        <w:t>截面维氏硬度</w:t>
      </w:r>
      <w:r w:rsidR="00965FA8">
        <w:rPr>
          <w:rFonts w:ascii="Times New Roman" w:eastAsia="仿宋_GB2312" w:hAnsi="Times New Roman" w:cs="Times New Roman" w:hint="eastAsia"/>
          <w:sz w:val="28"/>
          <w:szCs w:val="28"/>
        </w:rPr>
        <w:t>，</w:t>
      </w:r>
      <w:r w:rsidR="00965FA8">
        <w:rPr>
          <w:rFonts w:ascii="Times New Roman" w:eastAsia="仿宋_GB2312" w:hAnsi="Times New Roman" w:cs="Times New Roman"/>
          <w:sz w:val="28"/>
          <w:szCs w:val="28"/>
        </w:rPr>
        <w:t>均</w:t>
      </w:r>
      <w:r w:rsidR="000008B8">
        <w:rPr>
          <w:rFonts w:ascii="Times New Roman" w:eastAsia="仿宋_GB2312" w:hAnsi="Times New Roman" w:cs="Times New Roman"/>
          <w:sz w:val="28"/>
          <w:szCs w:val="28"/>
        </w:rPr>
        <w:t>是检验钢筋</w:t>
      </w:r>
      <w:r w:rsidR="000008B8">
        <w:rPr>
          <w:rFonts w:ascii="Times New Roman" w:eastAsia="仿宋_GB2312" w:hAnsi="Times New Roman" w:cs="Times New Roman" w:hint="eastAsia"/>
          <w:sz w:val="28"/>
          <w:szCs w:val="28"/>
        </w:rPr>
        <w:t>生产中是否</w:t>
      </w:r>
      <w:r w:rsidR="000008B8">
        <w:rPr>
          <w:rFonts w:ascii="Times New Roman" w:eastAsia="仿宋_GB2312" w:hAnsi="Times New Roman" w:cs="Times New Roman"/>
          <w:sz w:val="28"/>
          <w:szCs w:val="28"/>
        </w:rPr>
        <w:t>采用穿水工艺的关键</w:t>
      </w:r>
      <w:r w:rsidR="00965FA8">
        <w:rPr>
          <w:rFonts w:ascii="Times New Roman" w:eastAsia="仿宋_GB2312" w:hAnsi="Times New Roman" w:cs="Times New Roman" w:hint="eastAsia"/>
          <w:sz w:val="28"/>
          <w:szCs w:val="28"/>
        </w:rPr>
        <w:t>。</w:t>
      </w:r>
      <w:r w:rsidR="00965FA8">
        <w:rPr>
          <w:rFonts w:ascii="Times New Roman" w:eastAsia="仿宋_GB2312" w:hAnsi="Times New Roman" w:cs="Times New Roman"/>
          <w:sz w:val="28"/>
          <w:szCs w:val="28"/>
        </w:rPr>
        <w:t>晶粒度</w:t>
      </w:r>
      <w:r w:rsidR="00965FA8">
        <w:rPr>
          <w:rFonts w:ascii="Times New Roman" w:eastAsia="仿宋_GB2312" w:hAnsi="Times New Roman" w:cs="Times New Roman" w:hint="eastAsia"/>
          <w:sz w:val="28"/>
          <w:szCs w:val="28"/>
        </w:rPr>
        <w:t>、</w:t>
      </w:r>
      <w:r w:rsidR="00965FA8">
        <w:rPr>
          <w:rFonts w:ascii="Times New Roman" w:eastAsia="仿宋_GB2312" w:hAnsi="Times New Roman" w:cs="Times New Roman"/>
          <w:sz w:val="28"/>
          <w:szCs w:val="28"/>
        </w:rPr>
        <w:t>弯曲度则体现了生产过程中更高</w:t>
      </w:r>
      <w:r w:rsidR="00965FA8">
        <w:rPr>
          <w:rFonts w:ascii="Times New Roman" w:eastAsia="仿宋_GB2312" w:hAnsi="Times New Roman" w:cs="Times New Roman" w:hint="eastAsia"/>
          <w:sz w:val="28"/>
          <w:szCs w:val="28"/>
        </w:rPr>
        <w:t>的</w:t>
      </w:r>
      <w:r w:rsidR="00965FA8">
        <w:rPr>
          <w:rFonts w:ascii="Times New Roman" w:eastAsia="仿宋_GB2312" w:hAnsi="Times New Roman" w:cs="Times New Roman"/>
          <w:sz w:val="28"/>
          <w:szCs w:val="28"/>
        </w:rPr>
        <w:t>控制</w:t>
      </w:r>
      <w:r w:rsidR="00965FA8">
        <w:rPr>
          <w:rFonts w:ascii="Times New Roman" w:eastAsia="仿宋_GB2312" w:hAnsi="Times New Roman" w:cs="Times New Roman" w:hint="eastAsia"/>
          <w:sz w:val="28"/>
          <w:szCs w:val="28"/>
        </w:rPr>
        <w:t>水平</w:t>
      </w:r>
      <w:r w:rsidR="00965FA8">
        <w:rPr>
          <w:rFonts w:ascii="Times New Roman" w:eastAsia="仿宋_GB2312" w:hAnsi="Times New Roman" w:cs="Times New Roman"/>
          <w:sz w:val="28"/>
          <w:szCs w:val="28"/>
        </w:rPr>
        <w:t>。力学性能</w:t>
      </w:r>
      <w:r w:rsidR="00965FA8">
        <w:rPr>
          <w:rFonts w:ascii="Times New Roman" w:eastAsia="仿宋_GB2312" w:hAnsi="Times New Roman" w:cs="Times New Roman" w:hint="eastAsia"/>
          <w:sz w:val="28"/>
          <w:szCs w:val="28"/>
        </w:rPr>
        <w:t>是</w:t>
      </w:r>
      <w:r w:rsidR="00965FA8">
        <w:rPr>
          <w:rFonts w:ascii="Times New Roman" w:eastAsia="仿宋_GB2312" w:hAnsi="Times New Roman" w:cs="Times New Roman"/>
          <w:sz w:val="28"/>
          <w:szCs w:val="28"/>
        </w:rPr>
        <w:t>钢筋的关键指标，尤其对于抗震钢筋而言，最大力总延伸率是抗震性能的保证。</w:t>
      </w:r>
    </w:p>
    <w:p w:rsidR="00965FA8" w:rsidRDefault="00965FA8" w:rsidP="005A6F0A">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）创新</w:t>
      </w:r>
      <w:r>
        <w:rPr>
          <w:rFonts w:ascii="Times New Roman" w:eastAsia="仿宋_GB2312" w:hAnsi="Times New Roman" w:cs="Times New Roman"/>
          <w:sz w:val="28"/>
          <w:szCs w:val="28"/>
        </w:rPr>
        <w:t>指标的</w:t>
      </w:r>
      <w:r>
        <w:rPr>
          <w:rFonts w:ascii="Times New Roman" w:eastAsia="仿宋_GB2312" w:hAnsi="Times New Roman" w:cs="Times New Roman" w:hint="eastAsia"/>
          <w:sz w:val="28"/>
          <w:szCs w:val="28"/>
        </w:rPr>
        <w:t>选取</w:t>
      </w:r>
    </w:p>
    <w:p w:rsidR="00965FA8" w:rsidRDefault="00965FA8" w:rsidP="005A6F0A">
      <w:pPr>
        <w:spacing w:line="360" w:lineRule="auto"/>
        <w:ind w:firstLineChars="200" w:firstLine="560"/>
        <w:rPr>
          <w:rFonts w:ascii="Times New Roman" w:eastAsia="仿宋_GB2312" w:hAnsi="Times New Roman" w:cs="Times New Roman" w:hint="eastAsia"/>
          <w:sz w:val="28"/>
          <w:szCs w:val="28"/>
        </w:rPr>
      </w:pPr>
      <w:r>
        <w:rPr>
          <w:rFonts w:ascii="Times New Roman" w:eastAsia="仿宋_GB2312" w:hAnsi="Times New Roman" w:cs="Times New Roman" w:hint="eastAsia"/>
          <w:sz w:val="28"/>
          <w:szCs w:val="28"/>
        </w:rPr>
        <w:t>N</w:t>
      </w:r>
      <w:r>
        <w:rPr>
          <w:rFonts w:ascii="Times New Roman" w:eastAsia="仿宋_GB2312" w:hAnsi="Times New Roman" w:cs="Times New Roman"/>
          <w:sz w:val="28"/>
          <w:szCs w:val="28"/>
        </w:rPr>
        <w:t>含量、条带状组织</w:t>
      </w:r>
      <w:r>
        <w:rPr>
          <w:rFonts w:ascii="Times New Roman" w:eastAsia="仿宋_GB2312" w:hAnsi="Times New Roman" w:cs="Times New Roman" w:hint="eastAsia"/>
          <w:sz w:val="28"/>
          <w:szCs w:val="28"/>
        </w:rPr>
        <w:t>偏析</w:t>
      </w:r>
      <w:r>
        <w:rPr>
          <w:rFonts w:ascii="Times New Roman" w:eastAsia="仿宋_GB2312" w:hAnsi="Times New Roman" w:cs="Times New Roman"/>
          <w:sz w:val="28"/>
          <w:szCs w:val="28"/>
        </w:rPr>
        <w:t>、非金属夹杂物</w:t>
      </w:r>
      <w:r>
        <w:rPr>
          <w:rFonts w:ascii="Times New Roman" w:eastAsia="仿宋_GB2312" w:hAnsi="Times New Roman" w:cs="Times New Roman" w:hint="eastAsia"/>
          <w:sz w:val="28"/>
          <w:szCs w:val="28"/>
        </w:rPr>
        <w:t>均为对</w:t>
      </w:r>
      <w:r>
        <w:rPr>
          <w:rFonts w:ascii="Times New Roman" w:eastAsia="仿宋_GB2312" w:hAnsi="Times New Roman" w:cs="Times New Roman"/>
          <w:sz w:val="28"/>
          <w:szCs w:val="28"/>
        </w:rPr>
        <w:t>高质量产品</w:t>
      </w:r>
      <w:r>
        <w:rPr>
          <w:rFonts w:ascii="Times New Roman" w:eastAsia="仿宋_GB2312" w:hAnsi="Times New Roman" w:cs="Times New Roman" w:hint="eastAsia"/>
          <w:sz w:val="28"/>
          <w:szCs w:val="28"/>
        </w:rPr>
        <w:t>提出的</w:t>
      </w:r>
      <w:r>
        <w:rPr>
          <w:rFonts w:ascii="Times New Roman" w:eastAsia="仿宋_GB2312" w:hAnsi="Times New Roman" w:cs="Times New Roman"/>
          <w:sz w:val="28"/>
          <w:szCs w:val="28"/>
        </w:rPr>
        <w:t>特殊要求，</w:t>
      </w:r>
      <w:r>
        <w:rPr>
          <w:rFonts w:ascii="Times New Roman" w:eastAsia="仿宋_GB2312" w:hAnsi="Times New Roman" w:cs="Times New Roman"/>
          <w:sz w:val="28"/>
          <w:szCs w:val="28"/>
        </w:rPr>
        <w:t>GB/T 1499.2</w:t>
      </w:r>
      <w:r>
        <w:rPr>
          <w:rFonts w:ascii="Times New Roman" w:eastAsia="仿宋_GB2312" w:hAnsi="Times New Roman" w:cs="Times New Roman" w:hint="eastAsia"/>
          <w:sz w:val="28"/>
          <w:szCs w:val="28"/>
        </w:rPr>
        <w:t>中</w:t>
      </w:r>
      <w:r>
        <w:rPr>
          <w:rFonts w:ascii="Times New Roman" w:eastAsia="仿宋_GB2312" w:hAnsi="Times New Roman" w:cs="Times New Roman"/>
          <w:sz w:val="28"/>
          <w:szCs w:val="28"/>
        </w:rPr>
        <w:t>未</w:t>
      </w:r>
      <w:r>
        <w:rPr>
          <w:rFonts w:ascii="Times New Roman" w:eastAsia="仿宋_GB2312" w:hAnsi="Times New Roman" w:cs="Times New Roman" w:hint="eastAsia"/>
          <w:sz w:val="28"/>
          <w:szCs w:val="28"/>
        </w:rPr>
        <w:t>予</w:t>
      </w:r>
      <w:r>
        <w:rPr>
          <w:rFonts w:ascii="Times New Roman" w:eastAsia="仿宋_GB2312" w:hAnsi="Times New Roman" w:cs="Times New Roman"/>
          <w:sz w:val="28"/>
          <w:szCs w:val="28"/>
        </w:rPr>
        <w:t>规定。</w:t>
      </w:r>
      <w:r>
        <w:rPr>
          <w:rFonts w:ascii="Times New Roman" w:eastAsia="仿宋_GB2312" w:hAnsi="Times New Roman" w:cs="Times New Roman"/>
          <w:sz w:val="28"/>
          <w:szCs w:val="28"/>
        </w:rPr>
        <w:t>强屈比</w:t>
      </w:r>
      <w:r>
        <w:rPr>
          <w:rFonts w:ascii="Times New Roman" w:eastAsia="仿宋_GB2312" w:hAnsi="Times New Roman" w:cs="Times New Roman" w:hint="eastAsia"/>
          <w:sz w:val="28"/>
          <w:szCs w:val="28"/>
        </w:rPr>
        <w:t>是钢筋抗震性能</w:t>
      </w:r>
      <w:r>
        <w:rPr>
          <w:rFonts w:ascii="Times New Roman" w:eastAsia="仿宋_GB2312" w:hAnsi="Times New Roman" w:cs="Times New Roman"/>
          <w:sz w:val="28"/>
          <w:szCs w:val="28"/>
        </w:rPr>
        <w:t>的重要体现，因此也列作创新</w:t>
      </w:r>
      <w:r>
        <w:rPr>
          <w:rFonts w:ascii="Times New Roman" w:eastAsia="仿宋_GB2312" w:hAnsi="Times New Roman" w:cs="Times New Roman" w:hint="eastAsia"/>
          <w:sz w:val="28"/>
          <w:szCs w:val="28"/>
        </w:rPr>
        <w:t>指标</w:t>
      </w:r>
      <w:r>
        <w:rPr>
          <w:rFonts w:ascii="Times New Roman" w:eastAsia="仿宋_GB2312" w:hAnsi="Times New Roman" w:cs="Times New Roman"/>
          <w:sz w:val="28"/>
          <w:szCs w:val="28"/>
        </w:rPr>
        <w:t>。</w:t>
      </w:r>
      <w:bookmarkStart w:id="1" w:name="_GoBack"/>
      <w:bookmarkEnd w:id="1"/>
    </w:p>
    <w:p w:rsidR="005A6F0A" w:rsidRPr="005A6F0A" w:rsidRDefault="005A6F0A" w:rsidP="005A6F0A">
      <w:pPr>
        <w:spacing w:line="360" w:lineRule="auto"/>
        <w:ind w:firstLineChars="200" w:firstLine="560"/>
        <w:rPr>
          <w:rFonts w:ascii="Times New Roman" w:eastAsia="仿宋_GB2312" w:hAnsi="Times New Roman" w:cs="Times New Roman"/>
          <w:sz w:val="28"/>
          <w:szCs w:val="28"/>
        </w:rPr>
      </w:pPr>
      <w:r w:rsidRPr="005A6F0A">
        <w:rPr>
          <w:rFonts w:ascii="Times New Roman" w:eastAsia="仿宋_GB2312" w:hAnsi="Times New Roman" w:cs="Times New Roman" w:hint="eastAsia"/>
          <w:sz w:val="28"/>
          <w:szCs w:val="28"/>
        </w:rPr>
        <w:t>（</w:t>
      </w:r>
      <w:r w:rsidR="009F7981">
        <w:rPr>
          <w:rFonts w:ascii="Times New Roman" w:eastAsia="仿宋_GB2312" w:hAnsi="Times New Roman" w:cs="Times New Roman" w:hint="eastAsia"/>
          <w:sz w:val="28"/>
          <w:szCs w:val="28"/>
        </w:rPr>
        <w:t>五</w:t>
      </w:r>
      <w:r w:rsidRPr="005A6F0A">
        <w:rPr>
          <w:rFonts w:ascii="Times New Roman" w:eastAsia="仿宋_GB2312" w:hAnsi="Times New Roman" w:cs="Times New Roman" w:hint="eastAsia"/>
          <w:sz w:val="28"/>
          <w:szCs w:val="28"/>
        </w:rPr>
        <w:t>）</w:t>
      </w:r>
      <w:r w:rsidR="00C71381">
        <w:rPr>
          <w:rFonts w:ascii="Times New Roman" w:eastAsia="仿宋_GB2312" w:hAnsi="Times New Roman" w:cs="Times New Roman" w:hint="eastAsia"/>
          <w:sz w:val="28"/>
          <w:szCs w:val="28"/>
        </w:rPr>
        <w:t>关于</w:t>
      </w:r>
      <w:r w:rsidR="00BD6E98">
        <w:rPr>
          <w:rFonts w:ascii="Times New Roman" w:eastAsia="仿宋_GB2312" w:hAnsi="Times New Roman" w:cs="Times New Roman" w:hint="eastAsia"/>
          <w:sz w:val="28"/>
          <w:szCs w:val="28"/>
        </w:rPr>
        <w:t>评价</w:t>
      </w:r>
      <w:r w:rsidR="00775056">
        <w:rPr>
          <w:rFonts w:ascii="Times New Roman" w:eastAsia="仿宋_GB2312" w:hAnsi="Times New Roman" w:cs="Times New Roman" w:hint="eastAsia"/>
          <w:sz w:val="28"/>
          <w:szCs w:val="28"/>
        </w:rPr>
        <w:t>方法</w:t>
      </w:r>
    </w:p>
    <w:p w:rsidR="00BD6E98" w:rsidRPr="00BD6E98" w:rsidRDefault="00BD6E98" w:rsidP="00BD6E98">
      <w:pPr>
        <w:spacing w:line="360" w:lineRule="auto"/>
        <w:ind w:firstLineChars="200" w:firstLine="560"/>
        <w:rPr>
          <w:rFonts w:ascii="仿宋_GB2312" w:eastAsia="仿宋_GB2312" w:hAnsi="仿宋" w:cs="Times New Roman"/>
          <w:sz w:val="28"/>
          <w:szCs w:val="28"/>
        </w:rPr>
      </w:pPr>
      <w:r w:rsidRPr="00BD6E98">
        <w:rPr>
          <w:rFonts w:ascii="仿宋_GB2312" w:eastAsia="仿宋_GB2312" w:hAnsi="仿宋" w:cs="Times New Roman" w:hint="eastAsia"/>
          <w:sz w:val="28"/>
          <w:szCs w:val="28"/>
        </w:rPr>
        <w:t>方矩管“领跑者”标准</w:t>
      </w:r>
      <w:r w:rsidRPr="00BD6E98">
        <w:rPr>
          <w:rFonts w:ascii="仿宋_GB2312" w:eastAsia="仿宋_GB2312" w:hAnsi="仿宋" w:cs="Times New Roman"/>
          <w:sz w:val="28"/>
          <w:szCs w:val="28"/>
        </w:rPr>
        <w:t>应将评价结果划分为一级、二级和三级，各等级所对应的划分依据见表2。达到三级要求及以上的企业标准</w:t>
      </w:r>
      <w:r w:rsidRPr="00BD6E98">
        <w:rPr>
          <w:rFonts w:ascii="仿宋_GB2312" w:eastAsia="仿宋_GB2312" w:hAnsi="仿宋" w:cs="Times New Roman" w:hint="eastAsia"/>
          <w:sz w:val="28"/>
          <w:szCs w:val="28"/>
        </w:rPr>
        <w:t>，</w:t>
      </w:r>
      <w:r w:rsidRPr="00BD6E98">
        <w:rPr>
          <w:rFonts w:ascii="仿宋_GB2312" w:eastAsia="仿宋_GB2312" w:hAnsi="仿宋" w:cs="Times New Roman"/>
          <w:sz w:val="28"/>
          <w:szCs w:val="28"/>
        </w:rPr>
        <w:t>按照有关要求进行自我声明公开后均可进入所对应的</w:t>
      </w:r>
      <w:r w:rsidRPr="00BD6E98">
        <w:rPr>
          <w:rFonts w:ascii="仿宋_GB2312" w:eastAsia="仿宋_GB2312" w:hAnsi="仿宋" w:cs="Times New Roman" w:hint="eastAsia"/>
          <w:sz w:val="28"/>
          <w:szCs w:val="28"/>
        </w:rPr>
        <w:t>方矩管</w:t>
      </w:r>
      <w:r w:rsidRPr="00BD6E98">
        <w:rPr>
          <w:rFonts w:ascii="仿宋_GB2312" w:eastAsia="仿宋_GB2312" w:hAnsi="仿宋" w:cs="Times New Roman"/>
          <w:sz w:val="28"/>
          <w:szCs w:val="28"/>
        </w:rPr>
        <w:t>企业标准排行榜。达到一级要求的企业标准，按照有关要求进行自我声明</w:t>
      </w:r>
      <w:r w:rsidRPr="00BD6E98">
        <w:rPr>
          <w:rFonts w:ascii="仿宋_GB2312" w:eastAsia="仿宋_GB2312" w:hAnsi="仿宋" w:cs="Times New Roman"/>
          <w:sz w:val="28"/>
          <w:szCs w:val="28"/>
        </w:rPr>
        <w:lastRenderedPageBreak/>
        <w:t>公开后，其标准和符合标准的</w:t>
      </w:r>
      <w:r w:rsidRPr="00BD6E98">
        <w:rPr>
          <w:rFonts w:ascii="仿宋_GB2312" w:eastAsia="仿宋_GB2312" w:hAnsi="仿宋" w:cs="Times New Roman" w:hint="eastAsia"/>
          <w:sz w:val="28"/>
          <w:szCs w:val="28"/>
        </w:rPr>
        <w:t>产品</w:t>
      </w:r>
      <w:r w:rsidRPr="00BD6E98">
        <w:rPr>
          <w:rFonts w:ascii="仿宋_GB2312" w:eastAsia="仿宋_GB2312" w:hAnsi="仿宋" w:cs="Times New Roman"/>
          <w:sz w:val="28"/>
          <w:szCs w:val="28"/>
        </w:rPr>
        <w:t>可以直接进入</w:t>
      </w:r>
      <w:r w:rsidRPr="00BD6E98">
        <w:rPr>
          <w:rFonts w:ascii="仿宋_GB2312" w:eastAsia="仿宋_GB2312" w:hAnsi="仿宋" w:cs="Times New Roman" w:hint="eastAsia"/>
          <w:sz w:val="28"/>
          <w:szCs w:val="28"/>
        </w:rPr>
        <w:t>方矩管</w:t>
      </w:r>
      <w:r w:rsidRPr="00BD6E98">
        <w:rPr>
          <w:rFonts w:ascii="仿宋_GB2312" w:eastAsia="仿宋_GB2312" w:hAnsi="仿宋" w:cs="Times New Roman"/>
          <w:sz w:val="28"/>
          <w:szCs w:val="28"/>
        </w:rPr>
        <w:t>企业标准</w:t>
      </w:r>
      <w:r w:rsidR="006B7301">
        <w:rPr>
          <w:rFonts w:ascii="Times New Roman" w:eastAsia="仿宋_GB2312" w:hAnsi="Times New Roman" w:cs="Times New Roman" w:hint="eastAsia"/>
          <w:sz w:val="28"/>
          <w:szCs w:val="28"/>
        </w:rPr>
        <w:t>“领跑者”</w:t>
      </w:r>
      <w:r w:rsidRPr="00BD6E98">
        <w:rPr>
          <w:rFonts w:ascii="仿宋_GB2312" w:eastAsia="仿宋_GB2312" w:hAnsi="仿宋" w:cs="Times New Roman"/>
          <w:sz w:val="28"/>
          <w:szCs w:val="28"/>
        </w:rPr>
        <w:t>候选名单。</w:t>
      </w:r>
    </w:p>
    <w:p w:rsidR="00BD6E98" w:rsidRPr="00D51A48" w:rsidRDefault="00BD6E98" w:rsidP="00157468">
      <w:pPr>
        <w:pStyle w:val="a"/>
        <w:spacing w:before="156" w:after="156"/>
        <w:rPr>
          <w:rFonts w:ascii="Times New Roman"/>
        </w:rPr>
      </w:pPr>
      <w:r w:rsidRPr="00791493">
        <w:rPr>
          <w:rFonts w:ascii="Times New Roman" w:hint="eastAsia"/>
        </w:rPr>
        <w:t>指标评价要求及等级划分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1309"/>
        <w:gridCol w:w="1858"/>
        <w:gridCol w:w="2963"/>
      </w:tblGrid>
      <w:tr w:rsidR="009F7981" w:rsidRPr="009F7981" w:rsidTr="00A745A4">
        <w:trPr>
          <w:trHeight w:val="283"/>
          <w:jc w:val="center"/>
        </w:trPr>
        <w:tc>
          <w:tcPr>
            <w:tcW w:w="2528" w:type="dxa"/>
          </w:tcPr>
          <w:p w:rsidR="009F7981" w:rsidRPr="009F7981" w:rsidRDefault="009F7981" w:rsidP="009F7981">
            <w:pPr>
              <w:widowControl/>
              <w:tabs>
                <w:tab w:val="center" w:pos="4201"/>
                <w:tab w:val="right" w:leader="dot" w:pos="9298"/>
              </w:tabs>
              <w:autoSpaceDE w:val="0"/>
              <w:autoSpaceDN w:val="0"/>
              <w:jc w:val="center"/>
              <w:rPr>
                <w:rFonts w:ascii="宋体" w:eastAsia="宋体" w:hAnsi="宋体" w:cs="等线 Light"/>
                <w:color w:val="000000"/>
                <w:kern w:val="0"/>
                <w:sz w:val="18"/>
                <w:szCs w:val="18"/>
              </w:rPr>
            </w:pPr>
            <w:r w:rsidRPr="009F7981">
              <w:rPr>
                <w:rFonts w:ascii="宋体" w:eastAsia="宋体" w:hAnsi="宋体" w:cs="等线 Light" w:hint="eastAsia"/>
                <w:color w:val="000000"/>
                <w:kern w:val="0"/>
                <w:sz w:val="18"/>
                <w:szCs w:val="18"/>
              </w:rPr>
              <w:t>评价等级</w:t>
            </w:r>
          </w:p>
        </w:tc>
        <w:tc>
          <w:tcPr>
            <w:tcW w:w="6448" w:type="dxa"/>
            <w:gridSpan w:val="3"/>
          </w:tcPr>
          <w:p w:rsidR="009F7981" w:rsidRPr="009F7981" w:rsidRDefault="009F7981" w:rsidP="009F7981">
            <w:pPr>
              <w:tabs>
                <w:tab w:val="center" w:pos="4201"/>
                <w:tab w:val="right" w:leader="dot" w:pos="9298"/>
              </w:tabs>
              <w:autoSpaceDE w:val="0"/>
              <w:autoSpaceDN w:val="0"/>
              <w:jc w:val="center"/>
              <w:rPr>
                <w:rFonts w:ascii="宋体" w:eastAsia="宋体" w:hAnsi="宋体" w:cs="等线 Light"/>
                <w:color w:val="000000"/>
                <w:kern w:val="0"/>
                <w:sz w:val="18"/>
                <w:szCs w:val="18"/>
              </w:rPr>
            </w:pPr>
            <w:r w:rsidRPr="009F7981">
              <w:rPr>
                <w:rFonts w:ascii="宋体" w:eastAsia="宋体" w:hAnsi="宋体" w:cs="等线 Light" w:hint="eastAsia"/>
                <w:color w:val="000000"/>
                <w:kern w:val="0"/>
                <w:sz w:val="18"/>
                <w:szCs w:val="18"/>
              </w:rPr>
              <w:t>满足条件</w:t>
            </w:r>
          </w:p>
        </w:tc>
      </w:tr>
      <w:tr w:rsidR="009F7981" w:rsidRPr="009F7981" w:rsidTr="00A745A4">
        <w:trPr>
          <w:trHeight w:val="429"/>
          <w:jc w:val="center"/>
        </w:trPr>
        <w:tc>
          <w:tcPr>
            <w:tcW w:w="2528" w:type="dxa"/>
            <w:vAlign w:val="center"/>
          </w:tcPr>
          <w:p w:rsidR="009F7981" w:rsidRPr="009F7981" w:rsidRDefault="009F7981" w:rsidP="009F7981">
            <w:pPr>
              <w:tabs>
                <w:tab w:val="center" w:pos="4201"/>
                <w:tab w:val="right" w:leader="dot" w:pos="9298"/>
              </w:tabs>
              <w:autoSpaceDE w:val="0"/>
              <w:autoSpaceDN w:val="0"/>
              <w:jc w:val="center"/>
              <w:rPr>
                <w:rFonts w:ascii="宋体" w:eastAsia="宋体" w:hAnsi="宋体" w:cs="等线 Light"/>
                <w:color w:val="000000"/>
                <w:kern w:val="0"/>
                <w:sz w:val="18"/>
                <w:szCs w:val="18"/>
              </w:rPr>
            </w:pPr>
            <w:r w:rsidRPr="009F7981">
              <w:rPr>
                <w:rFonts w:ascii="宋体" w:eastAsia="宋体" w:hAnsi="宋体" w:cs="宋体" w:hint="eastAsia"/>
                <w:bCs/>
                <w:color w:val="000000"/>
                <w:kern w:val="0"/>
                <w:sz w:val="18"/>
                <w:szCs w:val="18"/>
              </w:rPr>
              <w:t>一级应同时满足</w:t>
            </w:r>
          </w:p>
        </w:tc>
        <w:tc>
          <w:tcPr>
            <w:tcW w:w="1368" w:type="dxa"/>
            <w:vMerge w:val="restart"/>
            <w:vAlign w:val="center"/>
          </w:tcPr>
          <w:p w:rsidR="009F7981" w:rsidRPr="009F7981" w:rsidRDefault="009F7981" w:rsidP="009F7981">
            <w:pPr>
              <w:tabs>
                <w:tab w:val="center" w:pos="4201"/>
                <w:tab w:val="right" w:leader="dot" w:pos="9298"/>
              </w:tabs>
              <w:autoSpaceDE w:val="0"/>
              <w:autoSpaceDN w:val="0"/>
              <w:jc w:val="center"/>
              <w:rPr>
                <w:rFonts w:ascii="宋体" w:eastAsia="宋体" w:hAnsi="宋体" w:cs="等线 Light"/>
                <w:color w:val="000000"/>
                <w:kern w:val="0"/>
                <w:sz w:val="18"/>
                <w:szCs w:val="18"/>
              </w:rPr>
            </w:pPr>
            <w:r w:rsidRPr="009F7981">
              <w:rPr>
                <w:rFonts w:ascii="宋体" w:eastAsia="宋体" w:hAnsi="宋体" w:cs="宋体" w:hint="eastAsia"/>
                <w:bCs/>
                <w:color w:val="000000"/>
                <w:kern w:val="0"/>
                <w:sz w:val="18"/>
                <w:szCs w:val="18"/>
              </w:rPr>
              <w:t>基本要求</w:t>
            </w:r>
          </w:p>
        </w:tc>
        <w:tc>
          <w:tcPr>
            <w:tcW w:w="1952" w:type="dxa"/>
            <w:vMerge w:val="restart"/>
            <w:vAlign w:val="center"/>
          </w:tcPr>
          <w:p w:rsidR="009F7981" w:rsidRPr="009F7981" w:rsidRDefault="009F7981" w:rsidP="009F7981">
            <w:pPr>
              <w:tabs>
                <w:tab w:val="center" w:pos="4201"/>
                <w:tab w:val="right" w:leader="dot" w:pos="9298"/>
              </w:tabs>
              <w:autoSpaceDE w:val="0"/>
              <w:autoSpaceDN w:val="0"/>
              <w:jc w:val="center"/>
              <w:rPr>
                <w:rFonts w:ascii="宋体" w:eastAsia="宋体" w:hAnsi="宋体" w:cs="等线 Light"/>
                <w:color w:val="000000"/>
                <w:kern w:val="0"/>
                <w:sz w:val="18"/>
                <w:szCs w:val="18"/>
              </w:rPr>
            </w:pPr>
            <w:r w:rsidRPr="009F7981">
              <w:rPr>
                <w:rFonts w:ascii="宋体" w:eastAsia="宋体" w:hAnsi="宋体" w:cs="宋体" w:hint="eastAsia"/>
                <w:bCs/>
                <w:color w:val="000000"/>
                <w:kern w:val="0"/>
                <w:sz w:val="18"/>
                <w:szCs w:val="18"/>
              </w:rPr>
              <w:t>基础指标要求</w:t>
            </w:r>
          </w:p>
        </w:tc>
        <w:tc>
          <w:tcPr>
            <w:tcW w:w="3127" w:type="dxa"/>
            <w:vAlign w:val="center"/>
          </w:tcPr>
          <w:p w:rsidR="009F7981" w:rsidRPr="009F7981" w:rsidRDefault="009F7981" w:rsidP="009F7981">
            <w:pPr>
              <w:tabs>
                <w:tab w:val="center" w:pos="4201"/>
                <w:tab w:val="right" w:leader="dot" w:pos="9298"/>
              </w:tabs>
              <w:autoSpaceDE w:val="0"/>
              <w:autoSpaceDN w:val="0"/>
              <w:jc w:val="center"/>
              <w:rPr>
                <w:rFonts w:ascii="宋体" w:eastAsia="宋体" w:hAnsi="宋体" w:cs="等线 Light"/>
                <w:color w:val="000000"/>
                <w:kern w:val="0"/>
                <w:sz w:val="18"/>
                <w:szCs w:val="18"/>
              </w:rPr>
            </w:pPr>
            <w:r w:rsidRPr="009F7981">
              <w:rPr>
                <w:rFonts w:ascii="宋体" w:eastAsia="宋体" w:hAnsi="宋体" w:cs="宋体" w:hint="eastAsia"/>
                <w:bCs/>
                <w:color w:val="000000"/>
                <w:kern w:val="0"/>
                <w:sz w:val="18"/>
                <w:szCs w:val="18"/>
              </w:rPr>
              <w:t>核心指标先进水平要求</w:t>
            </w:r>
          </w:p>
        </w:tc>
      </w:tr>
      <w:tr w:rsidR="009F7981" w:rsidRPr="009F7981" w:rsidTr="00A745A4">
        <w:trPr>
          <w:trHeight w:val="62"/>
          <w:jc w:val="center"/>
        </w:trPr>
        <w:tc>
          <w:tcPr>
            <w:tcW w:w="2528" w:type="dxa"/>
            <w:vAlign w:val="center"/>
          </w:tcPr>
          <w:p w:rsidR="009F7981" w:rsidRPr="009F7981" w:rsidRDefault="009F7981" w:rsidP="009F7981">
            <w:pPr>
              <w:tabs>
                <w:tab w:val="center" w:pos="4201"/>
                <w:tab w:val="right" w:leader="dot" w:pos="9298"/>
              </w:tabs>
              <w:autoSpaceDE w:val="0"/>
              <w:autoSpaceDN w:val="0"/>
              <w:jc w:val="center"/>
              <w:rPr>
                <w:rFonts w:ascii="宋体" w:eastAsia="宋体" w:hAnsi="宋体" w:cs="等线 Light"/>
                <w:color w:val="000000"/>
                <w:kern w:val="0"/>
                <w:sz w:val="18"/>
                <w:szCs w:val="18"/>
              </w:rPr>
            </w:pPr>
            <w:r w:rsidRPr="009F7981">
              <w:rPr>
                <w:rFonts w:ascii="宋体" w:eastAsia="宋体" w:hAnsi="宋体" w:cs="宋体" w:hint="eastAsia"/>
                <w:bCs/>
                <w:color w:val="000000"/>
                <w:kern w:val="0"/>
                <w:sz w:val="18"/>
                <w:szCs w:val="18"/>
              </w:rPr>
              <w:t>二级应同时满足</w:t>
            </w:r>
          </w:p>
        </w:tc>
        <w:tc>
          <w:tcPr>
            <w:tcW w:w="1368" w:type="dxa"/>
            <w:vMerge/>
            <w:vAlign w:val="center"/>
          </w:tcPr>
          <w:p w:rsidR="009F7981" w:rsidRPr="009F7981" w:rsidRDefault="009F7981" w:rsidP="009F7981">
            <w:pPr>
              <w:tabs>
                <w:tab w:val="center" w:pos="4201"/>
                <w:tab w:val="right" w:leader="dot" w:pos="9298"/>
              </w:tabs>
              <w:autoSpaceDE w:val="0"/>
              <w:autoSpaceDN w:val="0"/>
              <w:ind w:firstLineChars="200" w:firstLine="360"/>
              <w:jc w:val="center"/>
              <w:rPr>
                <w:rFonts w:ascii="宋体" w:eastAsia="宋体" w:hAnsi="宋体" w:cs="等线 Light"/>
                <w:color w:val="000000"/>
                <w:kern w:val="0"/>
                <w:sz w:val="18"/>
                <w:szCs w:val="18"/>
              </w:rPr>
            </w:pPr>
          </w:p>
        </w:tc>
        <w:tc>
          <w:tcPr>
            <w:tcW w:w="1952" w:type="dxa"/>
            <w:vMerge/>
            <w:vAlign w:val="center"/>
          </w:tcPr>
          <w:p w:rsidR="009F7981" w:rsidRPr="009F7981" w:rsidRDefault="009F7981" w:rsidP="009F7981">
            <w:pPr>
              <w:tabs>
                <w:tab w:val="center" w:pos="4201"/>
                <w:tab w:val="right" w:leader="dot" w:pos="9298"/>
              </w:tabs>
              <w:autoSpaceDE w:val="0"/>
              <w:autoSpaceDN w:val="0"/>
              <w:ind w:firstLineChars="200" w:firstLine="360"/>
              <w:jc w:val="center"/>
              <w:rPr>
                <w:rFonts w:ascii="宋体" w:eastAsia="宋体" w:hAnsi="宋体" w:cs="等线 Light"/>
                <w:color w:val="000000"/>
                <w:kern w:val="0"/>
                <w:sz w:val="18"/>
                <w:szCs w:val="18"/>
              </w:rPr>
            </w:pPr>
          </w:p>
        </w:tc>
        <w:tc>
          <w:tcPr>
            <w:tcW w:w="3127" w:type="dxa"/>
            <w:vAlign w:val="center"/>
          </w:tcPr>
          <w:p w:rsidR="009F7981" w:rsidRPr="009F7981" w:rsidRDefault="009F7981" w:rsidP="009F7981">
            <w:pPr>
              <w:tabs>
                <w:tab w:val="center" w:pos="4201"/>
                <w:tab w:val="right" w:leader="dot" w:pos="9298"/>
              </w:tabs>
              <w:autoSpaceDE w:val="0"/>
              <w:autoSpaceDN w:val="0"/>
              <w:jc w:val="center"/>
              <w:rPr>
                <w:rFonts w:ascii="宋体" w:eastAsia="宋体" w:hAnsi="宋体" w:cs="等线 Light"/>
                <w:color w:val="000000"/>
                <w:kern w:val="0"/>
                <w:sz w:val="18"/>
                <w:szCs w:val="18"/>
              </w:rPr>
            </w:pPr>
            <w:r w:rsidRPr="009F7981">
              <w:rPr>
                <w:rFonts w:ascii="宋体" w:eastAsia="宋体" w:hAnsi="宋体" w:cs="宋体" w:hint="eastAsia"/>
                <w:bCs/>
                <w:color w:val="000000"/>
                <w:kern w:val="0"/>
                <w:sz w:val="18"/>
                <w:szCs w:val="18"/>
              </w:rPr>
              <w:t>核心指标平均水平要求</w:t>
            </w:r>
          </w:p>
        </w:tc>
      </w:tr>
      <w:tr w:rsidR="009F7981" w:rsidRPr="009F7981" w:rsidTr="00A745A4">
        <w:trPr>
          <w:trHeight w:val="444"/>
          <w:jc w:val="center"/>
        </w:trPr>
        <w:tc>
          <w:tcPr>
            <w:tcW w:w="2528" w:type="dxa"/>
            <w:vAlign w:val="center"/>
          </w:tcPr>
          <w:p w:rsidR="009F7981" w:rsidRPr="009F7981" w:rsidRDefault="009F7981" w:rsidP="009F7981">
            <w:pPr>
              <w:tabs>
                <w:tab w:val="center" w:pos="4201"/>
                <w:tab w:val="right" w:leader="dot" w:pos="9298"/>
              </w:tabs>
              <w:autoSpaceDE w:val="0"/>
              <w:autoSpaceDN w:val="0"/>
              <w:jc w:val="center"/>
              <w:rPr>
                <w:rFonts w:ascii="宋体" w:eastAsia="宋体" w:hAnsi="宋体" w:cs="等线 Light"/>
                <w:color w:val="000000"/>
                <w:kern w:val="0"/>
                <w:sz w:val="18"/>
                <w:szCs w:val="18"/>
              </w:rPr>
            </w:pPr>
            <w:r w:rsidRPr="009F7981">
              <w:rPr>
                <w:rFonts w:ascii="宋体" w:eastAsia="宋体" w:hAnsi="宋体" w:cs="宋体" w:hint="eastAsia"/>
                <w:bCs/>
                <w:color w:val="000000"/>
                <w:kern w:val="0"/>
                <w:sz w:val="18"/>
                <w:szCs w:val="18"/>
              </w:rPr>
              <w:t>三级应同时满足</w:t>
            </w:r>
          </w:p>
        </w:tc>
        <w:tc>
          <w:tcPr>
            <w:tcW w:w="1368" w:type="dxa"/>
            <w:vMerge/>
            <w:vAlign w:val="center"/>
          </w:tcPr>
          <w:p w:rsidR="009F7981" w:rsidRPr="009F7981" w:rsidRDefault="009F7981" w:rsidP="009F7981">
            <w:pPr>
              <w:tabs>
                <w:tab w:val="center" w:pos="4201"/>
                <w:tab w:val="right" w:leader="dot" w:pos="9298"/>
              </w:tabs>
              <w:autoSpaceDE w:val="0"/>
              <w:autoSpaceDN w:val="0"/>
              <w:jc w:val="center"/>
              <w:rPr>
                <w:rFonts w:ascii="宋体" w:eastAsia="宋体" w:hAnsi="宋体" w:cs="等线 Light"/>
                <w:color w:val="000000"/>
                <w:kern w:val="0"/>
                <w:sz w:val="18"/>
                <w:szCs w:val="18"/>
              </w:rPr>
            </w:pPr>
          </w:p>
        </w:tc>
        <w:tc>
          <w:tcPr>
            <w:tcW w:w="1952" w:type="dxa"/>
            <w:vMerge/>
            <w:vAlign w:val="center"/>
          </w:tcPr>
          <w:p w:rsidR="009F7981" w:rsidRPr="009F7981" w:rsidRDefault="009F7981" w:rsidP="009F7981">
            <w:pPr>
              <w:tabs>
                <w:tab w:val="center" w:pos="4201"/>
                <w:tab w:val="right" w:leader="dot" w:pos="9298"/>
              </w:tabs>
              <w:autoSpaceDE w:val="0"/>
              <w:autoSpaceDN w:val="0"/>
              <w:jc w:val="center"/>
              <w:rPr>
                <w:rFonts w:ascii="宋体" w:eastAsia="宋体" w:hAnsi="宋体" w:cs="等线 Light"/>
                <w:color w:val="000000"/>
                <w:kern w:val="0"/>
                <w:sz w:val="18"/>
                <w:szCs w:val="18"/>
              </w:rPr>
            </w:pPr>
          </w:p>
        </w:tc>
        <w:tc>
          <w:tcPr>
            <w:tcW w:w="3127" w:type="dxa"/>
            <w:vAlign w:val="center"/>
          </w:tcPr>
          <w:p w:rsidR="009F7981" w:rsidRPr="009F7981" w:rsidRDefault="009F7981" w:rsidP="009F7981">
            <w:pPr>
              <w:tabs>
                <w:tab w:val="center" w:pos="4201"/>
                <w:tab w:val="right" w:leader="dot" w:pos="9298"/>
              </w:tabs>
              <w:autoSpaceDE w:val="0"/>
              <w:autoSpaceDN w:val="0"/>
              <w:jc w:val="center"/>
              <w:rPr>
                <w:rFonts w:ascii="宋体" w:eastAsia="宋体" w:hAnsi="宋体" w:cs="等线 Light"/>
                <w:color w:val="000000"/>
                <w:kern w:val="0"/>
                <w:sz w:val="18"/>
                <w:szCs w:val="18"/>
              </w:rPr>
            </w:pPr>
            <w:r w:rsidRPr="009F7981">
              <w:rPr>
                <w:rFonts w:ascii="宋体" w:eastAsia="宋体" w:hAnsi="宋体" w:cs="宋体" w:hint="eastAsia"/>
                <w:bCs/>
                <w:color w:val="000000"/>
                <w:kern w:val="0"/>
                <w:sz w:val="18"/>
                <w:szCs w:val="18"/>
              </w:rPr>
              <w:t>核心指标基准水平要求</w:t>
            </w:r>
          </w:p>
        </w:tc>
      </w:tr>
    </w:tbl>
    <w:p w:rsidR="00370DDE" w:rsidRPr="00156FFD" w:rsidRDefault="00156FFD" w:rsidP="005A6F0A">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指标评价要求及等级划分符合</w:t>
      </w:r>
      <w:r w:rsidRPr="00156FFD">
        <w:rPr>
          <w:rFonts w:ascii="Times New Roman" w:eastAsia="仿宋_GB2312" w:hAnsi="Times New Roman" w:cs="Times New Roman" w:hint="eastAsia"/>
          <w:sz w:val="28"/>
          <w:szCs w:val="28"/>
        </w:rPr>
        <w:t>T/CAQP 015 T/ESF 0001</w:t>
      </w:r>
      <w:r>
        <w:rPr>
          <w:rFonts w:ascii="Times New Roman" w:eastAsia="仿宋_GB2312" w:hAnsi="Times New Roman" w:cs="Times New Roman" w:hint="eastAsia"/>
          <w:sz w:val="28"/>
          <w:szCs w:val="28"/>
        </w:rPr>
        <w:t>《</w:t>
      </w:r>
      <w:r w:rsidRPr="00156FFD">
        <w:rPr>
          <w:rFonts w:ascii="Times New Roman" w:eastAsia="仿宋_GB2312" w:hAnsi="Times New Roman" w:cs="Times New Roman" w:hint="eastAsia"/>
          <w:sz w:val="28"/>
          <w:szCs w:val="28"/>
        </w:rPr>
        <w:t>“领跑者”标准编制通则</w:t>
      </w:r>
      <w:r>
        <w:rPr>
          <w:rFonts w:ascii="Times New Roman" w:eastAsia="仿宋_GB2312" w:hAnsi="Times New Roman" w:cs="Times New Roman" w:hint="eastAsia"/>
          <w:sz w:val="28"/>
          <w:szCs w:val="28"/>
        </w:rPr>
        <w:t>》要求，与其他具体“领跑者”标准的评价方法保持一致。</w:t>
      </w:r>
    </w:p>
    <w:p w:rsidR="005A6F0A" w:rsidRPr="005A6F0A" w:rsidRDefault="005A6F0A" w:rsidP="005A6F0A">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hint="eastAsia"/>
          <w:b/>
          <w:kern w:val="44"/>
          <w:sz w:val="28"/>
          <w:szCs w:val="28"/>
        </w:rPr>
        <w:t>六</w:t>
      </w:r>
      <w:r w:rsidRPr="005A6F0A">
        <w:rPr>
          <w:rFonts w:ascii="Times New Roman" w:eastAsia="仿宋_GB2312" w:hAnsi="Times New Roman" w:cs="Times New Roman"/>
          <w:b/>
          <w:kern w:val="44"/>
          <w:sz w:val="28"/>
          <w:szCs w:val="28"/>
        </w:rPr>
        <w:t>、与国内其它法律、法规的关系</w:t>
      </w:r>
    </w:p>
    <w:p w:rsidR="005A6F0A" w:rsidRPr="005A6F0A" w:rsidRDefault="005A6F0A" w:rsidP="005A6F0A">
      <w:pPr>
        <w:spacing w:line="360" w:lineRule="auto"/>
        <w:ind w:firstLineChars="200" w:firstLine="560"/>
        <w:rPr>
          <w:rFonts w:ascii="Times New Roman" w:eastAsia="仿宋_GB2312" w:hAnsi="Times New Roman" w:cs="Times New Roman"/>
          <w:sz w:val="28"/>
          <w:szCs w:val="28"/>
        </w:rPr>
      </w:pPr>
      <w:r w:rsidRPr="005A6F0A">
        <w:rPr>
          <w:rFonts w:ascii="Times New Roman" w:eastAsia="仿宋_GB2312" w:hAnsi="Times New Roman" w:cs="Times New Roman"/>
          <w:sz w:val="28"/>
          <w:szCs w:val="28"/>
        </w:rPr>
        <w:t>制定</w:t>
      </w:r>
      <w:r w:rsidR="003716E2">
        <w:rPr>
          <w:rFonts w:ascii="Times New Roman" w:eastAsia="仿宋_GB2312" w:hAnsi="Times New Roman" w:cs="Times New Roman"/>
          <w:sz w:val="28"/>
          <w:szCs w:val="28"/>
        </w:rPr>
        <w:t>本文件</w:t>
      </w:r>
      <w:r w:rsidRPr="005A6F0A">
        <w:rPr>
          <w:rFonts w:ascii="Times New Roman" w:eastAsia="仿宋_GB2312" w:hAnsi="Times New Roman" w:cs="Times New Roman"/>
          <w:sz w:val="28"/>
          <w:szCs w:val="28"/>
        </w:rPr>
        <w:t>时依据并引用了国内有关现行有效的标准，也不违背国内其它行业标准、法律、法规及强制性标准的有关规定。</w:t>
      </w:r>
    </w:p>
    <w:p w:rsidR="005A6F0A" w:rsidRPr="005A6F0A" w:rsidRDefault="005A6F0A" w:rsidP="005A6F0A">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hint="eastAsia"/>
          <w:b/>
          <w:kern w:val="44"/>
          <w:sz w:val="28"/>
          <w:szCs w:val="28"/>
        </w:rPr>
        <w:t>七</w:t>
      </w:r>
      <w:r w:rsidRPr="005A6F0A">
        <w:rPr>
          <w:rFonts w:ascii="Times New Roman" w:eastAsia="仿宋_GB2312" w:hAnsi="Times New Roman" w:cs="Times New Roman"/>
          <w:b/>
          <w:kern w:val="44"/>
          <w:sz w:val="28"/>
          <w:szCs w:val="28"/>
        </w:rPr>
        <w:t>、标准属性</w:t>
      </w:r>
    </w:p>
    <w:p w:rsidR="005A6F0A" w:rsidRPr="005A6F0A" w:rsidRDefault="003716E2" w:rsidP="005A6F0A">
      <w:pPr>
        <w:spacing w:line="360" w:lineRule="auto"/>
        <w:ind w:firstLine="480"/>
        <w:rPr>
          <w:rFonts w:ascii="Times New Roman" w:eastAsia="仿宋" w:hAnsi="Times New Roman" w:cs="Times New Roman"/>
          <w:sz w:val="28"/>
          <w:szCs w:val="28"/>
        </w:rPr>
      </w:pPr>
      <w:r>
        <w:rPr>
          <w:rFonts w:ascii="Times New Roman" w:eastAsia="仿宋" w:hAnsi="Times New Roman" w:cs="Times New Roman"/>
          <w:sz w:val="28"/>
          <w:szCs w:val="28"/>
        </w:rPr>
        <w:t>本文件</w:t>
      </w:r>
      <w:r w:rsidR="005A6F0A" w:rsidRPr="005A6F0A">
        <w:rPr>
          <w:rFonts w:ascii="Times New Roman" w:eastAsia="仿宋" w:hAnsi="Times New Roman" w:cs="Times New Roman"/>
          <w:sz w:val="28"/>
          <w:szCs w:val="28"/>
        </w:rPr>
        <w:t>属于</w:t>
      </w:r>
      <w:r w:rsidR="005A6F0A" w:rsidRPr="005A6F0A">
        <w:rPr>
          <w:rFonts w:ascii="Times New Roman" w:eastAsia="仿宋" w:hAnsi="Times New Roman" w:cs="Times New Roman" w:hint="eastAsia"/>
          <w:sz w:val="28"/>
          <w:szCs w:val="28"/>
        </w:rPr>
        <w:t>中国</w:t>
      </w:r>
      <w:r w:rsidR="001351BC">
        <w:rPr>
          <w:rFonts w:ascii="Times New Roman" w:eastAsia="仿宋" w:hAnsi="Times New Roman" w:cs="Times New Roman" w:hint="eastAsia"/>
          <w:sz w:val="28"/>
          <w:szCs w:val="28"/>
        </w:rPr>
        <w:t>特钢企业</w:t>
      </w:r>
      <w:r w:rsidR="005A6F0A" w:rsidRPr="005A6F0A">
        <w:rPr>
          <w:rFonts w:ascii="Times New Roman" w:eastAsia="仿宋" w:hAnsi="Times New Roman" w:cs="Times New Roman" w:hint="eastAsia"/>
          <w:sz w:val="28"/>
          <w:szCs w:val="28"/>
        </w:rPr>
        <w:t>协会</w:t>
      </w:r>
      <w:r w:rsidR="005A6F0A" w:rsidRPr="005A6F0A">
        <w:rPr>
          <w:rFonts w:ascii="Times New Roman" w:eastAsia="仿宋" w:hAnsi="Times New Roman" w:cs="Times New Roman"/>
          <w:sz w:val="28"/>
          <w:szCs w:val="28"/>
        </w:rPr>
        <w:t>团体标准。</w:t>
      </w:r>
    </w:p>
    <w:p w:rsidR="005A6F0A" w:rsidRPr="005A6F0A" w:rsidRDefault="005A6F0A" w:rsidP="005A6F0A">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hint="eastAsia"/>
          <w:b/>
          <w:kern w:val="44"/>
          <w:sz w:val="28"/>
          <w:szCs w:val="28"/>
        </w:rPr>
        <w:t>八</w:t>
      </w:r>
      <w:r w:rsidRPr="005A6F0A">
        <w:rPr>
          <w:rFonts w:ascii="Times New Roman" w:eastAsia="仿宋_GB2312" w:hAnsi="Times New Roman" w:cs="Times New Roman"/>
          <w:b/>
          <w:kern w:val="44"/>
          <w:sz w:val="28"/>
          <w:szCs w:val="28"/>
        </w:rPr>
        <w:t>、标准水平及预期效果</w:t>
      </w:r>
    </w:p>
    <w:p w:rsidR="005A6F0A" w:rsidRPr="005A6F0A" w:rsidRDefault="00370DDE" w:rsidP="005A6F0A">
      <w:pPr>
        <w:spacing w:line="360" w:lineRule="auto"/>
        <w:ind w:firstLineChars="200" w:firstLine="560"/>
        <w:rPr>
          <w:rFonts w:ascii="Times New Roman" w:eastAsia="仿宋" w:hAnsi="Times New Roman" w:cs="Times New Roman"/>
          <w:sz w:val="28"/>
          <w:szCs w:val="28"/>
        </w:rPr>
      </w:pPr>
      <w:r w:rsidRPr="00370DDE">
        <w:rPr>
          <w:rFonts w:ascii="Times New Roman" w:eastAsia="仿宋" w:hAnsi="Times New Roman" w:cs="Times New Roman" w:hint="eastAsia"/>
          <w:sz w:val="28"/>
          <w:szCs w:val="28"/>
        </w:rPr>
        <w:t>在新型标准化体系中，企业标准定位为先进引领性的标准。但是企业的标准化工作缺乏参考与指导，因此很多企业标准存在编制格式不规范、指标未覆盖国家和行业标准相关要求、指标选取缺乏科学依据、指标水平不够先进等问题。该标准的制定一方面有利于指导企业编写企业标准，并可用于对企业标准的水平进行评价，另一方面可以指导第三方评估机构编制“排行榜”和</w:t>
      </w:r>
      <w:r w:rsidR="006B7301">
        <w:rPr>
          <w:rFonts w:ascii="Times New Roman" w:eastAsia="仿宋_GB2312" w:hAnsi="Times New Roman" w:cs="Times New Roman" w:hint="eastAsia"/>
          <w:sz w:val="28"/>
          <w:szCs w:val="28"/>
        </w:rPr>
        <w:t>“领跑者”</w:t>
      </w:r>
      <w:r w:rsidRPr="00370DDE">
        <w:rPr>
          <w:rFonts w:ascii="Times New Roman" w:eastAsia="仿宋" w:hAnsi="Times New Roman" w:cs="Times New Roman" w:hint="eastAsia"/>
          <w:sz w:val="28"/>
          <w:szCs w:val="28"/>
        </w:rPr>
        <w:t>评估方案并开展有关评估工作。</w:t>
      </w:r>
    </w:p>
    <w:p w:rsidR="005A6F0A" w:rsidRPr="005A6F0A" w:rsidRDefault="005A6F0A" w:rsidP="005A6F0A">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hint="eastAsia"/>
          <w:b/>
          <w:kern w:val="44"/>
          <w:sz w:val="28"/>
          <w:szCs w:val="28"/>
        </w:rPr>
        <w:lastRenderedPageBreak/>
        <w:t>九</w:t>
      </w:r>
      <w:r w:rsidRPr="005A6F0A">
        <w:rPr>
          <w:rFonts w:ascii="Times New Roman" w:eastAsia="仿宋_GB2312" w:hAnsi="Times New Roman" w:cs="Times New Roman"/>
          <w:b/>
          <w:kern w:val="44"/>
          <w:sz w:val="28"/>
          <w:szCs w:val="28"/>
        </w:rPr>
        <w:t>、贯彻要求及建议</w:t>
      </w:r>
    </w:p>
    <w:p w:rsidR="005A6F0A" w:rsidRPr="005A6F0A" w:rsidRDefault="003716E2" w:rsidP="005A6F0A">
      <w:pPr>
        <w:spacing w:line="360" w:lineRule="auto"/>
        <w:ind w:firstLineChars="175" w:firstLine="490"/>
        <w:jc w:val="left"/>
        <w:rPr>
          <w:rFonts w:ascii="Times New Roman" w:eastAsia="仿宋" w:hAnsi="Times New Roman" w:cs="Times New Roman"/>
          <w:sz w:val="28"/>
          <w:szCs w:val="28"/>
        </w:rPr>
      </w:pPr>
      <w:r>
        <w:rPr>
          <w:rFonts w:ascii="Times New Roman" w:eastAsia="仿宋" w:hAnsi="Times New Roman" w:cs="Times New Roman"/>
          <w:sz w:val="28"/>
          <w:szCs w:val="28"/>
        </w:rPr>
        <w:t>本文件</w:t>
      </w:r>
      <w:r w:rsidR="005A6F0A" w:rsidRPr="005A6F0A">
        <w:rPr>
          <w:rFonts w:ascii="Times New Roman" w:eastAsia="仿宋" w:hAnsi="Times New Roman" w:cs="Times New Roman"/>
          <w:sz w:val="28"/>
          <w:szCs w:val="28"/>
        </w:rPr>
        <w:t>归口单位为中国</w:t>
      </w:r>
      <w:r w:rsidR="001351BC">
        <w:rPr>
          <w:rFonts w:ascii="Times New Roman" w:eastAsia="仿宋" w:hAnsi="Times New Roman" w:cs="Times New Roman" w:hint="eastAsia"/>
          <w:sz w:val="28"/>
          <w:szCs w:val="28"/>
        </w:rPr>
        <w:t>特钢企业</w:t>
      </w:r>
      <w:r w:rsidR="005A6F0A" w:rsidRPr="005A6F0A">
        <w:rPr>
          <w:rFonts w:ascii="Times New Roman" w:eastAsia="仿宋" w:hAnsi="Times New Roman" w:cs="Times New Roman" w:hint="eastAsia"/>
          <w:sz w:val="28"/>
          <w:szCs w:val="28"/>
        </w:rPr>
        <w:t>协会</w:t>
      </w:r>
      <w:r w:rsidR="005A6F0A" w:rsidRPr="005A6F0A">
        <w:rPr>
          <w:rFonts w:ascii="Times New Roman" w:eastAsia="仿宋" w:hAnsi="Times New Roman" w:cs="Times New Roman"/>
          <w:sz w:val="28"/>
          <w:szCs w:val="28"/>
        </w:rPr>
        <w:t>，经过审定报批后，</w:t>
      </w:r>
      <w:r w:rsidR="005A6F0A" w:rsidRPr="005A6F0A">
        <w:rPr>
          <w:rFonts w:ascii="Times New Roman" w:eastAsia="仿宋_GB2312" w:hAnsi="Times New Roman" w:cs="Times New Roman" w:hint="eastAsia"/>
          <w:sz w:val="28"/>
          <w:szCs w:val="28"/>
        </w:rPr>
        <w:t>由</w:t>
      </w:r>
      <w:r w:rsidR="001351BC" w:rsidRPr="001351BC">
        <w:rPr>
          <w:rFonts w:ascii="Times New Roman" w:eastAsia="仿宋_GB2312" w:hAnsi="Times New Roman" w:cs="Times New Roman" w:hint="eastAsia"/>
          <w:sz w:val="28"/>
          <w:szCs w:val="28"/>
        </w:rPr>
        <w:t>中国特钢企业协会</w:t>
      </w:r>
      <w:r w:rsidR="005A6F0A" w:rsidRPr="005A6F0A">
        <w:rPr>
          <w:rFonts w:ascii="Times New Roman" w:eastAsia="仿宋_GB2312" w:hAnsi="Times New Roman" w:cs="Times New Roman" w:hint="eastAsia"/>
          <w:sz w:val="28"/>
          <w:szCs w:val="28"/>
        </w:rPr>
        <w:t>发布</w:t>
      </w:r>
      <w:r w:rsidR="005A6F0A" w:rsidRPr="005A6F0A">
        <w:rPr>
          <w:rFonts w:ascii="Times New Roman" w:eastAsia="仿宋" w:hAnsi="Times New Roman" w:cs="Times New Roman"/>
          <w:sz w:val="28"/>
          <w:szCs w:val="28"/>
        </w:rPr>
        <w:t>。建议在</w:t>
      </w:r>
      <w:r w:rsidR="00370DDE">
        <w:rPr>
          <w:rFonts w:ascii="Times New Roman" w:eastAsia="仿宋" w:hAnsi="Times New Roman" w:cs="Times New Roman" w:hint="eastAsia"/>
          <w:sz w:val="28"/>
          <w:szCs w:val="28"/>
        </w:rPr>
        <w:t>“</w:t>
      </w:r>
      <w:r w:rsidR="0061121B">
        <w:rPr>
          <w:rFonts w:ascii="Times New Roman" w:eastAsia="仿宋" w:hAnsi="Times New Roman" w:cs="Times New Roman" w:hint="eastAsia"/>
          <w:sz w:val="28"/>
          <w:szCs w:val="28"/>
        </w:rPr>
        <w:t>领跑者”标准</w:t>
      </w:r>
      <w:r w:rsidR="00370DDE">
        <w:rPr>
          <w:rFonts w:ascii="Times New Roman" w:eastAsia="仿宋" w:hAnsi="Times New Roman" w:cs="Times New Roman" w:hint="eastAsia"/>
          <w:sz w:val="28"/>
          <w:szCs w:val="28"/>
        </w:rPr>
        <w:t>评价机构</w:t>
      </w:r>
      <w:r w:rsidR="003645CC">
        <w:rPr>
          <w:rFonts w:ascii="Times New Roman" w:eastAsia="仿宋" w:hAnsi="Times New Roman" w:cs="Times New Roman" w:hint="eastAsia"/>
          <w:sz w:val="28"/>
          <w:szCs w:val="28"/>
        </w:rPr>
        <w:t>、相关生产企业</w:t>
      </w:r>
      <w:r w:rsidR="005A6F0A" w:rsidRPr="005A6F0A">
        <w:rPr>
          <w:rFonts w:ascii="Times New Roman" w:eastAsia="仿宋" w:hAnsi="Times New Roman" w:cs="Times New Roman"/>
          <w:sz w:val="28"/>
          <w:szCs w:val="28"/>
        </w:rPr>
        <w:t>宣贯执行</w:t>
      </w:r>
      <w:r w:rsidR="00370DDE">
        <w:rPr>
          <w:rFonts w:ascii="Times New Roman" w:eastAsia="仿宋" w:hAnsi="Times New Roman" w:cs="Times New Roman" w:hint="eastAsia"/>
          <w:sz w:val="28"/>
          <w:szCs w:val="28"/>
        </w:rPr>
        <w:t>。</w:t>
      </w:r>
    </w:p>
    <w:p w:rsidR="00783E38" w:rsidRPr="005A6F0A" w:rsidRDefault="00783E38"/>
    <w:sectPr w:rsidR="00783E38" w:rsidRPr="005A6F0A" w:rsidSect="00C60ED6">
      <w:footerReference w:type="even" r:id="rId8"/>
      <w:footerReference w:type="default" r:id="rId9"/>
      <w:pgSz w:w="11907" w:h="16840" w:code="9"/>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811" w:rsidRDefault="00F44811" w:rsidP="005A6F0A">
      <w:r>
        <w:separator/>
      </w:r>
    </w:p>
  </w:endnote>
  <w:endnote w:type="continuationSeparator" w:id="0">
    <w:p w:rsidR="00F44811" w:rsidRDefault="00F44811" w:rsidP="005A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default"/>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2C" w:rsidRDefault="002635F3">
    <w:pPr>
      <w:pStyle w:val="a5"/>
      <w:jc w:val="center"/>
    </w:pPr>
    <w:r>
      <w:fldChar w:fldCharType="begin"/>
    </w:r>
    <w:r w:rsidR="00715E2C">
      <w:instrText>PAGE   \* MERGEFORMAT</w:instrText>
    </w:r>
    <w:r>
      <w:fldChar w:fldCharType="separate"/>
    </w:r>
    <w:r w:rsidR="00715E2C" w:rsidRPr="00310A8E">
      <w:rPr>
        <w:noProof/>
        <w:lang w:val="zh-CN"/>
      </w:rPr>
      <w:t>6</w:t>
    </w:r>
    <w:r>
      <w:fldChar w:fldCharType="end"/>
    </w:r>
  </w:p>
  <w:p w:rsidR="00715E2C" w:rsidRDefault="00715E2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2C" w:rsidRDefault="002635F3" w:rsidP="00C60ED6">
    <w:pPr>
      <w:pStyle w:val="a5"/>
      <w:jc w:val="center"/>
    </w:pPr>
    <w:r>
      <w:fldChar w:fldCharType="begin"/>
    </w:r>
    <w:r w:rsidR="00715E2C">
      <w:instrText>PAGE   \* MERGEFORMAT</w:instrText>
    </w:r>
    <w:r>
      <w:fldChar w:fldCharType="separate"/>
    </w:r>
    <w:r w:rsidR="00965FA8" w:rsidRPr="00965FA8">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811" w:rsidRDefault="00F44811" w:rsidP="005A6F0A">
      <w:r>
        <w:separator/>
      </w:r>
    </w:p>
  </w:footnote>
  <w:footnote w:type="continuationSeparator" w:id="0">
    <w:p w:rsidR="00F44811" w:rsidRDefault="00F44811" w:rsidP="005A6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6260FA"/>
    <w:multiLevelType w:val="multilevel"/>
    <w:tmpl w:val="4F2011E8"/>
    <w:lvl w:ilvl="0">
      <w:start w:val="1"/>
      <w:numFmt w:val="decimal"/>
      <w:pStyle w:val="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4969"/>
    <w:rsid w:val="000008B8"/>
    <w:rsid w:val="00011BB4"/>
    <w:rsid w:val="00015BDD"/>
    <w:rsid w:val="00024B87"/>
    <w:rsid w:val="00027A9C"/>
    <w:rsid w:val="00027AD3"/>
    <w:rsid w:val="00037379"/>
    <w:rsid w:val="00037AD9"/>
    <w:rsid w:val="000541E0"/>
    <w:rsid w:val="00061866"/>
    <w:rsid w:val="00063603"/>
    <w:rsid w:val="000847CA"/>
    <w:rsid w:val="000A239E"/>
    <w:rsid w:val="000B3CC5"/>
    <w:rsid w:val="000C2E6C"/>
    <w:rsid w:val="000D0A5B"/>
    <w:rsid w:val="000E4DB8"/>
    <w:rsid w:val="000F0D86"/>
    <w:rsid w:val="000F3A7F"/>
    <w:rsid w:val="000F4EDD"/>
    <w:rsid w:val="000F5183"/>
    <w:rsid w:val="0010039C"/>
    <w:rsid w:val="00104825"/>
    <w:rsid w:val="0011017E"/>
    <w:rsid w:val="00113B29"/>
    <w:rsid w:val="00117113"/>
    <w:rsid w:val="001267A4"/>
    <w:rsid w:val="0013393F"/>
    <w:rsid w:val="001350E9"/>
    <w:rsid w:val="001351BC"/>
    <w:rsid w:val="001414E1"/>
    <w:rsid w:val="001512FC"/>
    <w:rsid w:val="00156FFD"/>
    <w:rsid w:val="00157247"/>
    <w:rsid w:val="00157468"/>
    <w:rsid w:val="0016019F"/>
    <w:rsid w:val="00163E34"/>
    <w:rsid w:val="00167428"/>
    <w:rsid w:val="00176600"/>
    <w:rsid w:val="00190C23"/>
    <w:rsid w:val="001A30AD"/>
    <w:rsid w:val="001A5B6F"/>
    <w:rsid w:val="001C0C28"/>
    <w:rsid w:val="001C3C21"/>
    <w:rsid w:val="001C74DE"/>
    <w:rsid w:val="001D02F9"/>
    <w:rsid w:val="001D1C23"/>
    <w:rsid w:val="001D27B7"/>
    <w:rsid w:val="001E77D9"/>
    <w:rsid w:val="001F7509"/>
    <w:rsid w:val="00200450"/>
    <w:rsid w:val="00204AEE"/>
    <w:rsid w:val="00206D72"/>
    <w:rsid w:val="00207A30"/>
    <w:rsid w:val="002102F0"/>
    <w:rsid w:val="00217630"/>
    <w:rsid w:val="00217F97"/>
    <w:rsid w:val="00230D0B"/>
    <w:rsid w:val="00230D70"/>
    <w:rsid w:val="002359F9"/>
    <w:rsid w:val="002635F3"/>
    <w:rsid w:val="00264EC4"/>
    <w:rsid w:val="00272E87"/>
    <w:rsid w:val="002764BC"/>
    <w:rsid w:val="00286581"/>
    <w:rsid w:val="002871AE"/>
    <w:rsid w:val="0029654A"/>
    <w:rsid w:val="00297AF2"/>
    <w:rsid w:val="002A4627"/>
    <w:rsid w:val="002B256C"/>
    <w:rsid w:val="002B5927"/>
    <w:rsid w:val="002C565F"/>
    <w:rsid w:val="002D04C9"/>
    <w:rsid w:val="002D147D"/>
    <w:rsid w:val="002D6E47"/>
    <w:rsid w:val="002D7653"/>
    <w:rsid w:val="002D7B20"/>
    <w:rsid w:val="002E0001"/>
    <w:rsid w:val="002E2F94"/>
    <w:rsid w:val="00320B80"/>
    <w:rsid w:val="00332A10"/>
    <w:rsid w:val="00341005"/>
    <w:rsid w:val="00343C70"/>
    <w:rsid w:val="00354D21"/>
    <w:rsid w:val="00362AEA"/>
    <w:rsid w:val="003645CC"/>
    <w:rsid w:val="00370591"/>
    <w:rsid w:val="00370DDE"/>
    <w:rsid w:val="003716E2"/>
    <w:rsid w:val="00374538"/>
    <w:rsid w:val="00381178"/>
    <w:rsid w:val="0038138A"/>
    <w:rsid w:val="00381AC6"/>
    <w:rsid w:val="003831CF"/>
    <w:rsid w:val="003962B8"/>
    <w:rsid w:val="003B0C4D"/>
    <w:rsid w:val="003E3B6A"/>
    <w:rsid w:val="003E5EB2"/>
    <w:rsid w:val="003E6D0E"/>
    <w:rsid w:val="003E78E6"/>
    <w:rsid w:val="004221BC"/>
    <w:rsid w:val="0042287E"/>
    <w:rsid w:val="004276C7"/>
    <w:rsid w:val="004341FE"/>
    <w:rsid w:val="004469DF"/>
    <w:rsid w:val="004529F8"/>
    <w:rsid w:val="004547E8"/>
    <w:rsid w:val="00497F32"/>
    <w:rsid w:val="004A069D"/>
    <w:rsid w:val="004A1539"/>
    <w:rsid w:val="004A2E49"/>
    <w:rsid w:val="004A4388"/>
    <w:rsid w:val="004C34B4"/>
    <w:rsid w:val="004C38D8"/>
    <w:rsid w:val="004C4969"/>
    <w:rsid w:val="004C7B0D"/>
    <w:rsid w:val="004D06CE"/>
    <w:rsid w:val="004D44F2"/>
    <w:rsid w:val="004E3EE1"/>
    <w:rsid w:val="004F0CD3"/>
    <w:rsid w:val="004F75C1"/>
    <w:rsid w:val="00504213"/>
    <w:rsid w:val="0050569C"/>
    <w:rsid w:val="00510D8D"/>
    <w:rsid w:val="005118B6"/>
    <w:rsid w:val="00523DF2"/>
    <w:rsid w:val="00524246"/>
    <w:rsid w:val="00531783"/>
    <w:rsid w:val="00540783"/>
    <w:rsid w:val="00543C4F"/>
    <w:rsid w:val="00553213"/>
    <w:rsid w:val="00560781"/>
    <w:rsid w:val="005616F1"/>
    <w:rsid w:val="00566B35"/>
    <w:rsid w:val="0059157E"/>
    <w:rsid w:val="00592096"/>
    <w:rsid w:val="005924C1"/>
    <w:rsid w:val="005932D2"/>
    <w:rsid w:val="0059671A"/>
    <w:rsid w:val="005A0566"/>
    <w:rsid w:val="005A1A10"/>
    <w:rsid w:val="005A6B4E"/>
    <w:rsid w:val="005A6F0A"/>
    <w:rsid w:val="005C3EF8"/>
    <w:rsid w:val="005D3296"/>
    <w:rsid w:val="005D6C11"/>
    <w:rsid w:val="005E60A6"/>
    <w:rsid w:val="005F13EC"/>
    <w:rsid w:val="005F5102"/>
    <w:rsid w:val="0061121B"/>
    <w:rsid w:val="006173C4"/>
    <w:rsid w:val="00617908"/>
    <w:rsid w:val="00620B9B"/>
    <w:rsid w:val="00624FCE"/>
    <w:rsid w:val="00643006"/>
    <w:rsid w:val="0064582B"/>
    <w:rsid w:val="00662968"/>
    <w:rsid w:val="0066361E"/>
    <w:rsid w:val="0066540B"/>
    <w:rsid w:val="00666CED"/>
    <w:rsid w:val="006730B5"/>
    <w:rsid w:val="00673FFD"/>
    <w:rsid w:val="00685CCF"/>
    <w:rsid w:val="006B7301"/>
    <w:rsid w:val="006B7A2D"/>
    <w:rsid w:val="006C0100"/>
    <w:rsid w:val="006C0276"/>
    <w:rsid w:val="006C2C1A"/>
    <w:rsid w:val="006C3E62"/>
    <w:rsid w:val="006C69EF"/>
    <w:rsid w:val="006D4DD3"/>
    <w:rsid w:val="006E2C58"/>
    <w:rsid w:val="00703493"/>
    <w:rsid w:val="0070513F"/>
    <w:rsid w:val="007052B3"/>
    <w:rsid w:val="007117FA"/>
    <w:rsid w:val="0071432D"/>
    <w:rsid w:val="007153E8"/>
    <w:rsid w:val="00715E2C"/>
    <w:rsid w:val="00716B03"/>
    <w:rsid w:val="0072201A"/>
    <w:rsid w:val="00733FB2"/>
    <w:rsid w:val="0073464D"/>
    <w:rsid w:val="00740D1B"/>
    <w:rsid w:val="007566CD"/>
    <w:rsid w:val="0076167B"/>
    <w:rsid w:val="00766C0E"/>
    <w:rsid w:val="00770CE4"/>
    <w:rsid w:val="00775056"/>
    <w:rsid w:val="00775A47"/>
    <w:rsid w:val="00783E38"/>
    <w:rsid w:val="00785AEC"/>
    <w:rsid w:val="00796549"/>
    <w:rsid w:val="007A1C24"/>
    <w:rsid w:val="007B2F39"/>
    <w:rsid w:val="007B377E"/>
    <w:rsid w:val="007B56D5"/>
    <w:rsid w:val="007E35B3"/>
    <w:rsid w:val="007F7ADD"/>
    <w:rsid w:val="00802637"/>
    <w:rsid w:val="00810015"/>
    <w:rsid w:val="00816E04"/>
    <w:rsid w:val="008309FE"/>
    <w:rsid w:val="008355DF"/>
    <w:rsid w:val="00840DDC"/>
    <w:rsid w:val="008446C6"/>
    <w:rsid w:val="00844B6B"/>
    <w:rsid w:val="008458F0"/>
    <w:rsid w:val="00851310"/>
    <w:rsid w:val="00863427"/>
    <w:rsid w:val="0087775E"/>
    <w:rsid w:val="00883663"/>
    <w:rsid w:val="00892CEF"/>
    <w:rsid w:val="00892D4F"/>
    <w:rsid w:val="008B5D9D"/>
    <w:rsid w:val="008B6643"/>
    <w:rsid w:val="008C3087"/>
    <w:rsid w:val="008C3578"/>
    <w:rsid w:val="008E323F"/>
    <w:rsid w:val="008E566C"/>
    <w:rsid w:val="008E634D"/>
    <w:rsid w:val="00913D39"/>
    <w:rsid w:val="009158CB"/>
    <w:rsid w:val="00916418"/>
    <w:rsid w:val="0091769D"/>
    <w:rsid w:val="0092577F"/>
    <w:rsid w:val="00926006"/>
    <w:rsid w:val="009278B1"/>
    <w:rsid w:val="00934DD2"/>
    <w:rsid w:val="00940E50"/>
    <w:rsid w:val="009453A1"/>
    <w:rsid w:val="0094698D"/>
    <w:rsid w:val="009474B1"/>
    <w:rsid w:val="009554C8"/>
    <w:rsid w:val="00964F99"/>
    <w:rsid w:val="00965FA8"/>
    <w:rsid w:val="009677C3"/>
    <w:rsid w:val="009912DE"/>
    <w:rsid w:val="00991D36"/>
    <w:rsid w:val="009A16CE"/>
    <w:rsid w:val="009A60E4"/>
    <w:rsid w:val="009A6CFB"/>
    <w:rsid w:val="009B1E3A"/>
    <w:rsid w:val="009B31CB"/>
    <w:rsid w:val="009B7D4F"/>
    <w:rsid w:val="009C0B83"/>
    <w:rsid w:val="009C356E"/>
    <w:rsid w:val="009D7EAA"/>
    <w:rsid w:val="009F1BB0"/>
    <w:rsid w:val="009F53C0"/>
    <w:rsid w:val="009F7981"/>
    <w:rsid w:val="00A02C9D"/>
    <w:rsid w:val="00A140CB"/>
    <w:rsid w:val="00A14585"/>
    <w:rsid w:val="00A220CE"/>
    <w:rsid w:val="00A4214F"/>
    <w:rsid w:val="00A43D13"/>
    <w:rsid w:val="00A45A94"/>
    <w:rsid w:val="00A54778"/>
    <w:rsid w:val="00A6585D"/>
    <w:rsid w:val="00A77429"/>
    <w:rsid w:val="00A81A96"/>
    <w:rsid w:val="00A83D18"/>
    <w:rsid w:val="00A939F5"/>
    <w:rsid w:val="00AA2F75"/>
    <w:rsid w:val="00AA603E"/>
    <w:rsid w:val="00AC2F36"/>
    <w:rsid w:val="00AC535E"/>
    <w:rsid w:val="00AC674C"/>
    <w:rsid w:val="00AC6A32"/>
    <w:rsid w:val="00AD5381"/>
    <w:rsid w:val="00AE3BEE"/>
    <w:rsid w:val="00AE730C"/>
    <w:rsid w:val="00AF361A"/>
    <w:rsid w:val="00AF3CE2"/>
    <w:rsid w:val="00B00731"/>
    <w:rsid w:val="00B05C26"/>
    <w:rsid w:val="00B12577"/>
    <w:rsid w:val="00B13967"/>
    <w:rsid w:val="00B1546B"/>
    <w:rsid w:val="00B1689B"/>
    <w:rsid w:val="00B24AE1"/>
    <w:rsid w:val="00B27A3B"/>
    <w:rsid w:val="00B32BC4"/>
    <w:rsid w:val="00B41D7F"/>
    <w:rsid w:val="00B55E6F"/>
    <w:rsid w:val="00B63A2B"/>
    <w:rsid w:val="00B70E46"/>
    <w:rsid w:val="00B75598"/>
    <w:rsid w:val="00B80073"/>
    <w:rsid w:val="00B9762F"/>
    <w:rsid w:val="00BA0A80"/>
    <w:rsid w:val="00BB4D4F"/>
    <w:rsid w:val="00BC20E2"/>
    <w:rsid w:val="00BC665E"/>
    <w:rsid w:val="00BC6980"/>
    <w:rsid w:val="00BC7C74"/>
    <w:rsid w:val="00BD36E8"/>
    <w:rsid w:val="00BD5812"/>
    <w:rsid w:val="00BD6E98"/>
    <w:rsid w:val="00BF0FBD"/>
    <w:rsid w:val="00BF4624"/>
    <w:rsid w:val="00BF6EB4"/>
    <w:rsid w:val="00C20241"/>
    <w:rsid w:val="00C23A0D"/>
    <w:rsid w:val="00C242FF"/>
    <w:rsid w:val="00C47479"/>
    <w:rsid w:val="00C565D8"/>
    <w:rsid w:val="00C60ED6"/>
    <w:rsid w:val="00C61F01"/>
    <w:rsid w:val="00C67CCB"/>
    <w:rsid w:val="00C71381"/>
    <w:rsid w:val="00C773F5"/>
    <w:rsid w:val="00C77D8B"/>
    <w:rsid w:val="00C85D4F"/>
    <w:rsid w:val="00C906A3"/>
    <w:rsid w:val="00CB793F"/>
    <w:rsid w:val="00CD01B7"/>
    <w:rsid w:val="00CD0987"/>
    <w:rsid w:val="00CE0042"/>
    <w:rsid w:val="00CE4AFE"/>
    <w:rsid w:val="00D004DE"/>
    <w:rsid w:val="00D07D75"/>
    <w:rsid w:val="00D16E4F"/>
    <w:rsid w:val="00D261BE"/>
    <w:rsid w:val="00D31E2E"/>
    <w:rsid w:val="00D3454F"/>
    <w:rsid w:val="00D35BD8"/>
    <w:rsid w:val="00D42AE3"/>
    <w:rsid w:val="00D43D6E"/>
    <w:rsid w:val="00D44BBC"/>
    <w:rsid w:val="00D47E5C"/>
    <w:rsid w:val="00D5312D"/>
    <w:rsid w:val="00D614AB"/>
    <w:rsid w:val="00D61CB4"/>
    <w:rsid w:val="00D65E94"/>
    <w:rsid w:val="00D6724F"/>
    <w:rsid w:val="00D72EBE"/>
    <w:rsid w:val="00D8029F"/>
    <w:rsid w:val="00D83446"/>
    <w:rsid w:val="00D85DFE"/>
    <w:rsid w:val="00DA02B8"/>
    <w:rsid w:val="00DA1A9B"/>
    <w:rsid w:val="00DA440F"/>
    <w:rsid w:val="00DB4495"/>
    <w:rsid w:val="00DB4E09"/>
    <w:rsid w:val="00DC5FC2"/>
    <w:rsid w:val="00DC638D"/>
    <w:rsid w:val="00DE3871"/>
    <w:rsid w:val="00DF433D"/>
    <w:rsid w:val="00E020DA"/>
    <w:rsid w:val="00E03783"/>
    <w:rsid w:val="00E12DF0"/>
    <w:rsid w:val="00E202AF"/>
    <w:rsid w:val="00E510BE"/>
    <w:rsid w:val="00E539AD"/>
    <w:rsid w:val="00E5496F"/>
    <w:rsid w:val="00E560E4"/>
    <w:rsid w:val="00E71BC2"/>
    <w:rsid w:val="00E82A08"/>
    <w:rsid w:val="00EA0015"/>
    <w:rsid w:val="00EA061C"/>
    <w:rsid w:val="00EA69E4"/>
    <w:rsid w:val="00EB2A2C"/>
    <w:rsid w:val="00EC28C5"/>
    <w:rsid w:val="00EC6840"/>
    <w:rsid w:val="00EC746F"/>
    <w:rsid w:val="00ED3972"/>
    <w:rsid w:val="00ED3DDD"/>
    <w:rsid w:val="00ED6661"/>
    <w:rsid w:val="00EE0705"/>
    <w:rsid w:val="00EE64D6"/>
    <w:rsid w:val="00F00ED0"/>
    <w:rsid w:val="00F0504B"/>
    <w:rsid w:val="00F21BEE"/>
    <w:rsid w:val="00F4171F"/>
    <w:rsid w:val="00F44811"/>
    <w:rsid w:val="00F46795"/>
    <w:rsid w:val="00F53827"/>
    <w:rsid w:val="00F629D2"/>
    <w:rsid w:val="00F64A58"/>
    <w:rsid w:val="00F720F5"/>
    <w:rsid w:val="00F73E3F"/>
    <w:rsid w:val="00F95750"/>
    <w:rsid w:val="00FA2863"/>
    <w:rsid w:val="00FA38DD"/>
    <w:rsid w:val="00FA3AAD"/>
    <w:rsid w:val="00FB00AD"/>
    <w:rsid w:val="00FB0ADF"/>
    <w:rsid w:val="00FB602E"/>
    <w:rsid w:val="00FB758B"/>
    <w:rsid w:val="00FC2AAE"/>
    <w:rsid w:val="00FC4879"/>
    <w:rsid w:val="00FD140A"/>
    <w:rsid w:val="00FE04C8"/>
    <w:rsid w:val="00FE0A22"/>
    <w:rsid w:val="00FE0FBF"/>
    <w:rsid w:val="00FE1412"/>
    <w:rsid w:val="00FE1547"/>
    <w:rsid w:val="00FE6CB7"/>
    <w:rsid w:val="00FF072A"/>
    <w:rsid w:val="00FF3736"/>
    <w:rsid w:val="00FF54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0E91F2-458B-4EE6-81FF-59121376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654A"/>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5A6F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A6F0A"/>
    <w:rPr>
      <w:sz w:val="18"/>
      <w:szCs w:val="18"/>
    </w:rPr>
  </w:style>
  <w:style w:type="paragraph" w:styleId="a5">
    <w:name w:val="footer"/>
    <w:basedOn w:val="a0"/>
    <w:link w:val="Char0"/>
    <w:uiPriority w:val="99"/>
    <w:unhideWhenUsed/>
    <w:rsid w:val="005A6F0A"/>
    <w:pPr>
      <w:tabs>
        <w:tab w:val="center" w:pos="4153"/>
        <w:tab w:val="right" w:pos="8306"/>
      </w:tabs>
      <w:snapToGrid w:val="0"/>
      <w:jc w:val="left"/>
    </w:pPr>
    <w:rPr>
      <w:sz w:val="18"/>
      <w:szCs w:val="18"/>
    </w:rPr>
  </w:style>
  <w:style w:type="character" w:customStyle="1" w:styleId="Char0">
    <w:name w:val="页脚 Char"/>
    <w:basedOn w:val="a1"/>
    <w:link w:val="a5"/>
    <w:uiPriority w:val="99"/>
    <w:rsid w:val="005A6F0A"/>
    <w:rPr>
      <w:sz w:val="18"/>
      <w:szCs w:val="18"/>
    </w:rPr>
  </w:style>
  <w:style w:type="table" w:customStyle="1" w:styleId="1">
    <w:name w:val="网格型1"/>
    <w:basedOn w:val="a2"/>
    <w:next w:val="a6"/>
    <w:uiPriority w:val="59"/>
    <w:qFormat/>
    <w:rsid w:val="00B00731"/>
    <w:rPr>
      <w:rFonts w:ascii="Calibri"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2"/>
    <w:qFormat/>
    <w:rsid w:val="00B00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2"/>
    <w:next w:val="a6"/>
    <w:uiPriority w:val="59"/>
    <w:qFormat/>
    <w:locked/>
    <w:rsid w:val="00B00731"/>
    <w:rPr>
      <w:rFonts w:ascii="Calibri"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2"/>
    <w:next w:val="a6"/>
    <w:uiPriority w:val="59"/>
    <w:qFormat/>
    <w:rsid w:val="00840DDC"/>
    <w:rPr>
      <w:rFonts w:ascii="Calibri"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0"/>
    <w:link w:val="Char1"/>
    <w:uiPriority w:val="99"/>
    <w:semiHidden/>
    <w:unhideWhenUsed/>
    <w:rsid w:val="00F21BEE"/>
    <w:rPr>
      <w:sz w:val="18"/>
      <w:szCs w:val="18"/>
    </w:rPr>
  </w:style>
  <w:style w:type="character" w:customStyle="1" w:styleId="Char1">
    <w:name w:val="批注框文本 Char"/>
    <w:basedOn w:val="a1"/>
    <w:link w:val="a7"/>
    <w:uiPriority w:val="99"/>
    <w:semiHidden/>
    <w:rsid w:val="00F21BEE"/>
    <w:rPr>
      <w:sz w:val="18"/>
      <w:szCs w:val="18"/>
    </w:rPr>
  </w:style>
  <w:style w:type="paragraph" w:styleId="a8">
    <w:name w:val="List Paragraph"/>
    <w:basedOn w:val="a0"/>
    <w:uiPriority w:val="34"/>
    <w:qFormat/>
    <w:rsid w:val="00EA061C"/>
    <w:pPr>
      <w:ind w:firstLineChars="200" w:firstLine="420"/>
    </w:pPr>
    <w:rPr>
      <w:rFonts w:ascii="Calibri" w:eastAsia="宋体" w:hAnsi="Calibri" w:cs="Times New Roman"/>
    </w:rPr>
  </w:style>
  <w:style w:type="paragraph" w:customStyle="1" w:styleId="a">
    <w:name w:val="正文表标题"/>
    <w:next w:val="a0"/>
    <w:qFormat/>
    <w:rsid w:val="00D65E94"/>
    <w:pPr>
      <w:numPr>
        <w:numId w:val="1"/>
      </w:numPr>
      <w:tabs>
        <w:tab w:val="num" w:pos="360"/>
      </w:tabs>
      <w:spacing w:beforeLines="50" w:afterLines="50"/>
      <w:jc w:val="center"/>
    </w:pPr>
    <w:rPr>
      <w:rFonts w:ascii="黑体" w:eastAsia="黑体" w:hAnsi="Times New Roman" w:cs="Times New Roman"/>
      <w:kern w:val="0"/>
      <w:szCs w:val="20"/>
    </w:rPr>
  </w:style>
  <w:style w:type="paragraph" w:customStyle="1" w:styleId="20">
    <w:name w:val="封面标准号2"/>
    <w:uiPriority w:val="99"/>
    <w:qFormat/>
    <w:rsid w:val="00C71381"/>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9">
    <w:name w:val="段"/>
    <w:link w:val="Char2"/>
    <w:qFormat/>
    <w:rsid w:val="00176600"/>
    <w:pPr>
      <w:tabs>
        <w:tab w:val="center" w:pos="4201"/>
        <w:tab w:val="right" w:leader="dot" w:pos="9298"/>
      </w:tabs>
      <w:autoSpaceDE w:val="0"/>
      <w:autoSpaceDN w:val="0"/>
      <w:ind w:firstLineChars="200" w:firstLine="420"/>
      <w:jc w:val="both"/>
    </w:pPr>
    <w:rPr>
      <w:rFonts w:ascii="宋体" w:eastAsia="宋体" w:hAnsi="Times New Roman" w:cs="宋体"/>
      <w:kern w:val="0"/>
      <w:szCs w:val="21"/>
    </w:rPr>
  </w:style>
  <w:style w:type="character" w:customStyle="1" w:styleId="Char2">
    <w:name w:val="段 Char"/>
    <w:basedOn w:val="a1"/>
    <w:link w:val="a9"/>
    <w:qFormat/>
    <w:locked/>
    <w:rsid w:val="00176600"/>
    <w:rPr>
      <w:rFonts w:ascii="宋体" w:eastAsia="宋体" w:hAnsi="Times New Roman" w:cs="宋体"/>
      <w:kern w:val="0"/>
      <w:szCs w:val="21"/>
    </w:rPr>
  </w:style>
  <w:style w:type="table" w:customStyle="1" w:styleId="4">
    <w:name w:val="网格型4"/>
    <w:basedOn w:val="a2"/>
    <w:next w:val="a6"/>
    <w:qFormat/>
    <w:rsid w:val="007153E8"/>
    <w:rPr>
      <w:rFonts w:ascii="宋体" w:eastAsia="宋体" w:hAnsi="Times New Roman" w:cs="宋体"/>
      <w:kern w:val="0"/>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网格型5"/>
    <w:basedOn w:val="a2"/>
    <w:next w:val="a6"/>
    <w:qFormat/>
    <w:rsid w:val="009F1BB0"/>
    <w:rPr>
      <w:rFonts w:ascii="宋体" w:eastAsia="宋体" w:hAnsi="Times New Roman" w:cs="宋体"/>
      <w:kern w:val="0"/>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网格型6"/>
    <w:basedOn w:val="a2"/>
    <w:next w:val="a6"/>
    <w:qFormat/>
    <w:rsid w:val="00916418"/>
    <w:rPr>
      <w:rFonts w:ascii="宋体" w:eastAsia="宋体" w:hAnsi="Times New Roman" w:cs="宋体"/>
      <w:kern w:val="0"/>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88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E6F2F-D8C4-45DD-8A78-CC29449CE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8</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wangzequn</dc:creator>
  <cp:keywords/>
  <dc:description/>
  <cp:lastModifiedBy>wangzequn</cp:lastModifiedBy>
  <cp:revision>201</cp:revision>
  <dcterms:created xsi:type="dcterms:W3CDTF">2019-06-21T07:44:00Z</dcterms:created>
  <dcterms:modified xsi:type="dcterms:W3CDTF">2021-06-09T05:30:00Z</dcterms:modified>
</cp:coreProperties>
</file>