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val="0"/>
          <w:kern w:val="0"/>
          <w:sz w:val="30"/>
          <w:szCs w:val="30"/>
        </w:rPr>
      </w:pPr>
      <w:bookmarkStart w:id="0" w:name="_Toc481651147"/>
      <w:r>
        <w:rPr>
          <w:rFonts w:hint="default" w:ascii="Times New Roman" w:hAnsi="Times New Roman" w:eastAsia="黑体" w:cs="Times New Roman"/>
          <w:b w:val="0"/>
          <w:bCs w:val="0"/>
          <w:kern w:val="0"/>
          <w:sz w:val="30"/>
          <w:szCs w:val="30"/>
        </w:rPr>
        <w:t>《</w:t>
      </w:r>
      <w:r>
        <w:rPr>
          <w:rFonts w:hint="default" w:ascii="Times New Roman" w:hAnsi="Times New Roman" w:eastAsia="黑体" w:cs="Times New Roman"/>
          <w:b w:val="0"/>
          <w:bCs w:val="0"/>
          <w:sz w:val="30"/>
          <w:szCs w:val="30"/>
        </w:rPr>
        <w:t xml:space="preserve">“领跑者”标准评价要求 </w:t>
      </w:r>
      <w:r>
        <w:rPr>
          <w:rFonts w:hint="eastAsia" w:ascii="Times New Roman" w:hAnsi="Times New Roman" w:eastAsia="黑体" w:cs="Times New Roman"/>
          <w:b w:val="0"/>
          <w:bCs w:val="0"/>
          <w:sz w:val="30"/>
          <w:szCs w:val="30"/>
          <w:lang w:eastAsia="zh-CN"/>
        </w:rPr>
        <w:t>热浸镀铝硅合金镀层钢板及钢带</w:t>
      </w:r>
      <w:r>
        <w:rPr>
          <w:rFonts w:hint="default" w:ascii="Times New Roman" w:hAnsi="Times New Roman" w:eastAsia="黑体" w:cs="Times New Roman"/>
          <w:b w:val="0"/>
          <w:bCs w:val="0"/>
          <w:kern w:val="0"/>
          <w:sz w:val="30"/>
          <w:szCs w:val="30"/>
        </w:rPr>
        <w:t>》团体标准编制说明</w:t>
      </w:r>
    </w:p>
    <w:bookmarkEnd w:id="0"/>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一、任务来源</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本文件由</w:t>
      </w:r>
      <w:r>
        <w:rPr>
          <w:rFonts w:hint="default" w:ascii="Times New Roman" w:hAnsi="Times New Roman" w:eastAsia="宋体" w:cs="Times New Roman"/>
          <w:kern w:val="0"/>
          <w:sz w:val="24"/>
          <w:szCs w:val="24"/>
        </w:rPr>
        <w:t>中国特钢企业协会</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sz w:val="24"/>
          <w:szCs w:val="24"/>
          <w:lang w:val="en-US" w:eastAsia="zh-CN"/>
        </w:rPr>
        <w:t>中国技术经济学会</w:t>
      </w:r>
      <w:r>
        <w:rPr>
          <w:rFonts w:hint="default" w:ascii="Times New Roman" w:hAnsi="Times New Roman" w:eastAsia="宋体" w:cs="Times New Roman"/>
          <w:sz w:val="24"/>
          <w:szCs w:val="24"/>
        </w:rPr>
        <w:t>提出并归口，冶金工业规划研究院</w:t>
      </w:r>
      <w:r>
        <w:rPr>
          <w:rFonts w:hint="default" w:ascii="Times New Roman" w:hAnsi="Times New Roman" w:eastAsia="宋体" w:cs="Times New Roman"/>
          <w:sz w:val="24"/>
          <w:szCs w:val="24"/>
          <w:lang w:val="en-US" w:eastAsia="zh-CN"/>
        </w:rPr>
        <w:t>有限公司</w:t>
      </w:r>
      <w:r>
        <w:rPr>
          <w:rFonts w:hint="eastAsia" w:ascii="Times New Roman" w:hAnsi="Times New Roman" w:eastAsia="宋体" w:cs="Times New Roman"/>
          <w:sz w:val="24"/>
          <w:szCs w:val="24"/>
          <w:lang w:val="en-US" w:eastAsia="zh-CN"/>
        </w:rPr>
        <w:t>、湖南永瑞标准化服务有限公司</w:t>
      </w:r>
      <w:r>
        <w:rPr>
          <w:rFonts w:hint="default" w:ascii="Times New Roman" w:hAnsi="Times New Roman" w:eastAsia="宋体" w:cs="Times New Roman"/>
          <w:sz w:val="24"/>
          <w:szCs w:val="24"/>
        </w:rPr>
        <w:t>作为标准</w:t>
      </w:r>
      <w:r>
        <w:rPr>
          <w:rFonts w:hint="eastAsia" w:ascii="Times New Roman" w:hAnsi="Times New Roman" w:eastAsia="宋体" w:cs="Times New Roman"/>
          <w:sz w:val="24"/>
          <w:szCs w:val="24"/>
          <w:lang w:val="en-US" w:eastAsia="zh-CN"/>
        </w:rPr>
        <w:t>组织组织协调</w:t>
      </w:r>
      <w:r>
        <w:rPr>
          <w:rFonts w:hint="default" w:ascii="Times New Roman" w:hAnsi="Times New Roman" w:eastAsia="宋体" w:cs="Times New Roman"/>
          <w:sz w:val="24"/>
          <w:szCs w:val="24"/>
        </w:rPr>
        <w:t>单位。</w:t>
      </w:r>
      <w:r>
        <w:rPr>
          <w:rFonts w:hint="default" w:ascii="Times New Roman" w:hAnsi="Times New Roman" w:eastAsia="宋体" w:cs="Times New Roman"/>
          <w:kern w:val="0"/>
          <w:sz w:val="24"/>
          <w:szCs w:val="24"/>
        </w:rPr>
        <w:t>根据中国特钢企业协会</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sz w:val="24"/>
          <w:szCs w:val="24"/>
          <w:lang w:val="en-US" w:eastAsia="zh-CN"/>
        </w:rPr>
        <w:t>中国技术经济学会</w:t>
      </w:r>
      <w:r>
        <w:rPr>
          <w:rFonts w:hint="default" w:ascii="Times New Roman" w:hAnsi="Times New Roman" w:eastAsia="宋体" w:cs="Times New Roman"/>
          <w:kern w:val="0"/>
          <w:sz w:val="24"/>
          <w:szCs w:val="24"/>
          <w:highlight w:val="none"/>
        </w:rPr>
        <w:t>202</w:t>
      </w:r>
      <w:r>
        <w:rPr>
          <w:rFonts w:hint="eastAsia"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rPr>
        <w:t>年第</w:t>
      </w:r>
      <w:r>
        <w:rPr>
          <w:rFonts w:hint="eastAsia" w:ascii="Times New Roman" w:hAnsi="Times New Roman" w:eastAsia="宋体" w:cs="Times New Roman"/>
          <w:kern w:val="0"/>
          <w:sz w:val="24"/>
          <w:szCs w:val="24"/>
          <w:highlight w:val="none"/>
          <w:lang w:val="en-US" w:eastAsia="zh-CN"/>
        </w:rPr>
        <w:t>三</w:t>
      </w:r>
      <w:r>
        <w:rPr>
          <w:rFonts w:hint="default" w:ascii="Times New Roman" w:hAnsi="Times New Roman" w:eastAsia="宋体" w:cs="Times New Roman"/>
          <w:kern w:val="0"/>
          <w:sz w:val="24"/>
          <w:szCs w:val="24"/>
          <w:highlight w:val="none"/>
        </w:rPr>
        <w:t>批团体标准制修订计划，由冶金工业规划研究院</w:t>
      </w:r>
      <w:r>
        <w:rPr>
          <w:rFonts w:hint="eastAsia" w:ascii="Times New Roman" w:hAnsi="Times New Roman" w:eastAsia="宋体" w:cs="Times New Roman"/>
          <w:kern w:val="0"/>
          <w:sz w:val="24"/>
          <w:szCs w:val="24"/>
          <w:highlight w:val="none"/>
          <w:lang w:eastAsia="zh-CN"/>
        </w:rPr>
        <w:t>、</w:t>
      </w:r>
      <w:r>
        <w:rPr>
          <w:rFonts w:hint="default" w:ascii="Times New Roman" w:hAnsi="Times New Roman" w:eastAsia="宋体" w:cs="Times New Roman"/>
          <w:sz w:val="24"/>
          <w:szCs w:val="24"/>
          <w:highlight w:val="none"/>
          <w:lang w:val="en-US" w:eastAsia="zh-CN"/>
        </w:rPr>
        <w:t>华菱安赛乐米塔尔汽车板</w:t>
      </w:r>
      <w:r>
        <w:rPr>
          <w:rFonts w:hint="default" w:ascii="Times New Roman" w:hAnsi="Times New Roman" w:eastAsia="宋体" w:cs="Times New Roman"/>
          <w:sz w:val="24"/>
          <w:szCs w:val="24"/>
          <w:lang w:val="en-US" w:eastAsia="zh-CN"/>
        </w:rPr>
        <w:t>有限公司</w:t>
      </w:r>
      <w:r>
        <w:rPr>
          <w:rFonts w:hint="default" w:ascii="Times New Roman" w:hAnsi="Times New Roman" w:eastAsia="宋体" w:cs="Times New Roman"/>
          <w:kern w:val="0"/>
          <w:sz w:val="24"/>
          <w:szCs w:val="24"/>
        </w:rPr>
        <w:t>起草</w:t>
      </w:r>
      <w:r>
        <w:rPr>
          <w:rFonts w:hint="default" w:ascii="Times New Roman" w:hAnsi="Times New Roman" w:eastAsia="宋体" w:cs="Times New Roman"/>
          <w:sz w:val="24"/>
          <w:szCs w:val="24"/>
        </w:rPr>
        <w:t>，计划于202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年完成《</w:t>
      </w:r>
      <w:r>
        <w:rPr>
          <w:rFonts w:hint="default" w:ascii="Times New Roman" w:hAnsi="Times New Roman" w:eastAsia="宋体" w:cs="Times New Roman"/>
          <w:bCs/>
          <w:kern w:val="0"/>
          <w:sz w:val="24"/>
          <w:szCs w:val="24"/>
        </w:rPr>
        <w:t xml:space="preserve">“领跑者”标准评价要求 </w:t>
      </w:r>
      <w:r>
        <w:rPr>
          <w:rFonts w:hint="eastAsia" w:ascii="Times New Roman" w:hAnsi="Times New Roman" w:eastAsia="宋体" w:cs="Times New Roman"/>
          <w:bCs/>
          <w:kern w:val="0"/>
          <w:sz w:val="24"/>
          <w:szCs w:val="24"/>
          <w:lang w:val="en-US" w:eastAsia="zh-CN"/>
        </w:rPr>
        <w:t>热浸镀铝硅合金镀层钢板及钢带</w:t>
      </w:r>
      <w:r>
        <w:rPr>
          <w:rFonts w:hint="default" w:ascii="Times New Roman" w:hAnsi="Times New Roman" w:eastAsia="宋体" w:cs="Times New Roman"/>
          <w:sz w:val="24"/>
          <w:szCs w:val="24"/>
        </w:rPr>
        <w:t>》标准的制定工作。</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二、制定本文件的目的和意义</w:t>
      </w:r>
    </w:p>
    <w:p>
      <w:pPr>
        <w:spacing w:line="360" w:lineRule="auto"/>
        <w:ind w:firstLine="480" w:firstLineChars="2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热浸镀铝硅合金镀层钢板及钢带主要用于制作汽车、建筑以及家电等行业对成形性、耐腐蚀性和耐热性有一定要求的内外覆盖件和结构件。</w:t>
      </w:r>
      <w:r>
        <w:rPr>
          <w:rFonts w:hint="default" w:ascii="Times New Roman" w:hAnsi="Times New Roman" w:eastAsia="宋体" w:cs="Times New Roman"/>
          <w:kern w:val="0"/>
          <w:sz w:val="24"/>
          <w:szCs w:val="24"/>
          <w:lang w:val="en-US" w:eastAsia="zh-CN"/>
        </w:rPr>
        <w:t>随着汽车</w:t>
      </w:r>
      <w:r>
        <w:rPr>
          <w:rFonts w:hint="eastAsia" w:ascii="Times New Roman" w:hAnsi="Times New Roman" w:eastAsia="宋体" w:cs="Times New Roman"/>
          <w:kern w:val="0"/>
          <w:sz w:val="24"/>
          <w:szCs w:val="24"/>
          <w:lang w:val="en-US" w:eastAsia="zh-CN"/>
        </w:rPr>
        <w:t>、家电行业</w:t>
      </w:r>
      <w:r>
        <w:rPr>
          <w:rFonts w:hint="default" w:ascii="Times New Roman" w:hAnsi="Times New Roman" w:eastAsia="宋体" w:cs="Times New Roman"/>
          <w:kern w:val="0"/>
          <w:sz w:val="24"/>
          <w:szCs w:val="24"/>
          <w:lang w:val="en-US" w:eastAsia="zh-CN"/>
        </w:rPr>
        <w:t>的发展，安全</w:t>
      </w:r>
      <w:r>
        <w:rPr>
          <w:rFonts w:hint="eastAsia" w:ascii="Times New Roman" w:hAnsi="Times New Roman" w:eastAsia="宋体" w:cs="Times New Roman"/>
          <w:kern w:val="0"/>
          <w:sz w:val="24"/>
          <w:szCs w:val="24"/>
          <w:lang w:val="en-US" w:eastAsia="zh-CN"/>
        </w:rPr>
        <w:t>性高</w:t>
      </w:r>
      <w:r>
        <w:rPr>
          <w:rFonts w:hint="default" w:ascii="Times New Roman" w:hAnsi="Times New Roman" w:eastAsia="宋体" w:cs="Times New Roman"/>
          <w:kern w:val="0"/>
          <w:sz w:val="24"/>
          <w:szCs w:val="24"/>
          <w:lang w:val="en-US" w:eastAsia="zh-CN"/>
        </w:rPr>
        <w:t>、节材节耗、绿色环保、</w:t>
      </w:r>
      <w:r>
        <w:rPr>
          <w:rFonts w:hint="eastAsia" w:ascii="Times New Roman" w:hAnsi="Times New Roman" w:eastAsia="宋体" w:cs="Times New Roman"/>
          <w:kern w:val="0"/>
          <w:sz w:val="24"/>
          <w:szCs w:val="24"/>
          <w:lang w:val="en-US" w:eastAsia="zh-CN"/>
        </w:rPr>
        <w:t>轻量化的热浸镀铝硅合金镀层钢板及钢带产品</w:t>
      </w:r>
      <w:r>
        <w:rPr>
          <w:rFonts w:hint="default" w:ascii="Times New Roman" w:hAnsi="Times New Roman" w:eastAsia="宋体" w:cs="Times New Roman"/>
          <w:kern w:val="0"/>
          <w:sz w:val="24"/>
          <w:szCs w:val="24"/>
          <w:lang w:val="en-US" w:eastAsia="zh-CN"/>
        </w:rPr>
        <w:t>，满足了中国对</w:t>
      </w:r>
      <w:r>
        <w:rPr>
          <w:rFonts w:hint="eastAsia" w:ascii="Times New Roman" w:hAnsi="Times New Roman" w:eastAsia="宋体" w:cs="Times New Roman"/>
          <w:kern w:val="0"/>
          <w:sz w:val="24"/>
          <w:szCs w:val="24"/>
          <w:lang w:val="en-US" w:eastAsia="zh-CN"/>
        </w:rPr>
        <w:t>汽车行业、建筑行业、家电行业用</w:t>
      </w:r>
      <w:r>
        <w:rPr>
          <w:rFonts w:hint="default" w:ascii="Times New Roman" w:hAnsi="Times New Roman" w:eastAsia="宋体" w:cs="Times New Roman"/>
          <w:kern w:val="0"/>
          <w:sz w:val="24"/>
          <w:szCs w:val="24"/>
          <w:lang w:val="en-US" w:eastAsia="zh-CN"/>
        </w:rPr>
        <w:t>钢日益增长的需求。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放开搞活企业标准是标准化改革的重大举措。《标准化法》要求企业标准不得低于强制性标准，鼓励企业制定高于推荐性标准的企业标准，并提出支持利用自主创新技术制定企业标准。2018年，市场监管总局等八部委发布《关于实施企业标准“领跑者”制度的意见》（国市监标准〔2018〕84号）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w:t>
      </w:r>
    </w:p>
    <w:p>
      <w:pPr>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为切实发挥企业标准对质量提升的引领作用，本项目将通过制定</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产品领跑者标准，</w:t>
      </w:r>
      <w:r>
        <w:rPr>
          <w:rFonts w:hint="default" w:ascii="Times New Roman" w:hAnsi="Times New Roman" w:eastAsia="宋体" w:cs="Times New Roman"/>
          <w:sz w:val="24"/>
          <w:szCs w:val="24"/>
          <w:lang w:val="en-US" w:eastAsia="zh-CN"/>
        </w:rPr>
        <w:t>通过对各指标的等级划分，鼓励企业对标领跑者，通过技术创新和技术改造，提高生产</w:t>
      </w: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的企业标准水平，</w:t>
      </w:r>
      <w:r>
        <w:rPr>
          <w:rFonts w:hint="default" w:ascii="Times New Roman" w:hAnsi="Times New Roman" w:eastAsia="宋体" w:cs="Times New Roman"/>
          <w:sz w:val="24"/>
          <w:szCs w:val="24"/>
        </w:rPr>
        <w:t>帮助相关机构制定企业标准“领跑者”评估方案并开展该产品企业标准领跑者的评价工作，有利于加深社会对该产品企业标准的认识。同时，该标准也将有助于指导生产企业提升企业标准水平，促进产品质量提升</w:t>
      </w:r>
      <w:r>
        <w:rPr>
          <w:rFonts w:hint="default" w:ascii="Times New Roman" w:hAnsi="Times New Roman" w:eastAsia="宋体" w:cs="Times New Roman"/>
          <w:sz w:val="24"/>
          <w:szCs w:val="24"/>
          <w:lang w:val="en-US" w:eastAsia="zh-CN"/>
        </w:rPr>
        <w:t>和行业发展</w:t>
      </w:r>
      <w:r>
        <w:rPr>
          <w:rFonts w:hint="default" w:ascii="Times New Roman" w:hAnsi="Times New Roman" w:eastAsia="宋体" w:cs="Times New Roman"/>
          <w:sz w:val="24"/>
          <w:szCs w:val="24"/>
        </w:rPr>
        <w:t>。</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三、标准编制过程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冶金工业规划研究院</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华菱安赛乐米塔尔汽车板有限公司共同</w:t>
      </w:r>
      <w:r>
        <w:rPr>
          <w:rFonts w:hint="default" w:ascii="Times New Roman" w:hAnsi="Times New Roman" w:eastAsia="宋体" w:cs="Times New Roman"/>
          <w:sz w:val="24"/>
          <w:szCs w:val="24"/>
        </w:rPr>
        <w:t xml:space="preserve">承担了《“领跑者”标准评价要求 </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 xml:space="preserve">》团体标准的编制工作，组建了该团体标准起草小组并开展工作。在《“领跑者”标准评价要求 </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》标准制定过程中，起草小组认真查阅有关资料、收集相关数据信息，调研行业内生产技术水平和企业标准指标，进行本团体标准的编制工作。</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主要编制过程如下：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初</w:t>
      </w:r>
      <w:r>
        <w:rPr>
          <w:rFonts w:hint="default" w:ascii="Times New Roman" w:hAnsi="Times New Roman" w:eastAsia="宋体" w:cs="Times New Roman"/>
          <w:sz w:val="24"/>
          <w:szCs w:val="24"/>
        </w:rPr>
        <w:t>，中国特钢企业协会</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中国技术经济学会</w:t>
      </w:r>
      <w:r>
        <w:rPr>
          <w:rFonts w:hint="default" w:ascii="Times New Roman" w:hAnsi="Times New Roman" w:eastAsia="宋体" w:cs="Times New Roman"/>
          <w:sz w:val="24"/>
          <w:szCs w:val="24"/>
        </w:rPr>
        <w:t>团体标准化工作委员会（以下简称团标委）秘书处给各位委员发出团体标准立项函审单。到立项函审截止日期，没有委员提出不同意见。</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底</w:t>
      </w:r>
      <w:r>
        <w:rPr>
          <w:rFonts w:hint="default" w:ascii="Times New Roman" w:hAnsi="Times New Roman" w:eastAsia="宋体" w:cs="Times New Roman"/>
          <w:sz w:val="24"/>
          <w:szCs w:val="24"/>
        </w:rPr>
        <w:t>，团标委正式下达《“领跑者”标准</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》团体标准立项计划</w:t>
      </w:r>
      <w:r>
        <w:rPr>
          <w:rFonts w:hint="default" w:ascii="Times New Roman" w:hAnsi="Times New Roman" w:eastAsia="宋体" w:cs="Times New Roman"/>
          <w:sz w:val="24"/>
          <w:szCs w:val="24"/>
          <w:highlight w:val="none"/>
        </w:rPr>
        <w:t>（202</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年第</w:t>
      </w:r>
      <w:r>
        <w:rPr>
          <w:rFonts w:hint="eastAsia" w:ascii="Times New Roman" w:hAnsi="Times New Roman" w:eastAsia="宋体" w:cs="Times New Roman"/>
          <w:sz w:val="24"/>
          <w:szCs w:val="24"/>
          <w:highlight w:val="none"/>
          <w:lang w:val="en-US" w:eastAsia="zh-CN"/>
        </w:rPr>
        <w:t>三</w:t>
      </w:r>
      <w:r>
        <w:rPr>
          <w:rFonts w:hint="default" w:ascii="Times New Roman" w:hAnsi="Times New Roman" w:eastAsia="宋体" w:cs="Times New Roman"/>
          <w:sz w:val="24"/>
          <w:szCs w:val="24"/>
          <w:highlight w:val="none"/>
        </w:rPr>
        <w:t>批）。</w:t>
      </w:r>
      <w:r>
        <w:rPr>
          <w:rFonts w:hint="default" w:ascii="Times New Roman" w:hAnsi="Times New Roman" w:eastAsia="宋体" w:cs="Times New Roman"/>
          <w:sz w:val="24"/>
          <w:szCs w:val="24"/>
        </w:rPr>
        <w:t>团体标准立项后，冶金工业规划研究院</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华菱安赛乐米塔尔汽车板有限公司</w:t>
      </w:r>
      <w:r>
        <w:rPr>
          <w:rFonts w:hint="default" w:ascii="Times New Roman" w:hAnsi="Times New Roman" w:eastAsia="宋体" w:cs="Times New Roman"/>
          <w:sz w:val="24"/>
          <w:szCs w:val="24"/>
        </w:rPr>
        <w:t>相关人员组成标准起草组，提出了标准编制计划和任务分工，并开始标准编制工作。</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2020年</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eastAsia="zh-CN"/>
        </w:rPr>
        <w:t>初</w:t>
      </w:r>
      <w:r>
        <w:rPr>
          <w:rFonts w:hint="default" w:ascii="Times New Roman" w:hAnsi="Times New Roman" w:eastAsia="宋体" w:cs="Times New Roman"/>
          <w:sz w:val="24"/>
          <w:szCs w:val="24"/>
          <w:lang w:eastAsia="zh-CN"/>
        </w:rPr>
        <w:t>：形成征求意见稿并发出征求意见。</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四、标准编制原则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本文件根据T/CAQP 015 T/ESF 0001《“领跑者”标准编制通则》进行编制。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《“领跑者”标准</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》标准编制所参考的依据为国家有关法律法规以及强制性标准要求、国家及行业产品或服务标准、国内或国际先进产品标准等。</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五、主要技术内容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5.1</w:t>
      </w:r>
      <w:r>
        <w:rPr>
          <w:rFonts w:hint="default" w:ascii="Times New Roman" w:hAnsi="Times New Roman" w:eastAsia="黑体" w:cs="Times New Roman"/>
          <w:sz w:val="24"/>
          <w:szCs w:val="24"/>
        </w:rPr>
        <w:t>标准编写格式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标准内容符合GB/T 1.1-2020的规定。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本文件规定了</w:t>
      </w:r>
      <w:r>
        <w:rPr>
          <w:rFonts w:hint="eastAsia" w:ascii="Times New Roman" w:hAnsi="Times New Roman" w:eastAsia="宋体" w:cs="Times New Roman"/>
          <w:sz w:val="24"/>
          <w:szCs w:val="24"/>
          <w:lang w:eastAsia="zh-CN"/>
        </w:rPr>
        <w:t>热浸镀铝硅合金镀层钢板及钢带</w:t>
      </w:r>
      <w:r>
        <w:rPr>
          <w:rFonts w:hint="default" w:ascii="Times New Roman" w:hAnsi="Times New Roman" w:eastAsia="宋体" w:cs="Times New Roman"/>
          <w:sz w:val="24"/>
          <w:szCs w:val="24"/>
        </w:rPr>
        <w:t>（以下简称盘条）“领跑者”标准的术语和定义、评价指标体系、评价方法及等级划分。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5.2 适用范围</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本文件规定了</w:t>
      </w: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“领跑者”产品标准评价的术语和定义、技术要求、评价指标体系和评价方法。</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本文件适用于家电和汽车用</w:t>
      </w:r>
      <w:r>
        <w:rPr>
          <w:rFonts w:hint="eastAsia" w:ascii="Times New Roman" w:hAnsi="Times New Roman" w:eastAsia="宋体" w:cs="Times New Roman"/>
          <w:sz w:val="24"/>
          <w:szCs w:val="24"/>
          <w:lang w:val="en-US" w:eastAsia="zh-CN"/>
        </w:rPr>
        <w:t>厚度为</w:t>
      </w:r>
      <w:r>
        <w:rPr>
          <w:rFonts w:hint="default" w:ascii="Times New Roman" w:hAnsi="Times New Roman" w:eastAsia="宋体" w:cs="Times New Roman"/>
          <w:sz w:val="24"/>
          <w:szCs w:val="24"/>
          <w:lang w:val="en-US" w:eastAsia="zh-CN"/>
        </w:rPr>
        <w:t xml:space="preserve"> 0.30mm～3.00mm 的连续热浸镀铝硅合金镀层钢板及钢带</w:t>
      </w:r>
      <w:r>
        <w:rPr>
          <w:rFonts w:hint="eastAsia" w:ascii="Times New Roman" w:hAnsi="Times New Roman" w:eastAsia="宋体" w:cs="Times New Roman"/>
          <w:sz w:val="24"/>
          <w:szCs w:val="24"/>
          <w:lang w:val="en-US" w:eastAsia="zh-CN"/>
        </w:rPr>
        <w:t>产品</w:t>
      </w:r>
      <w:r>
        <w:rPr>
          <w:rFonts w:hint="default" w:ascii="Times New Roman" w:hAnsi="Times New Roman" w:eastAsia="宋体" w:cs="Times New Roman"/>
          <w:sz w:val="24"/>
          <w:szCs w:val="24"/>
          <w:lang w:val="en-US" w:eastAsia="zh-CN"/>
        </w:rPr>
        <w:t>的企业标准“领跑者”评价。企业在制定企业标准时可参照使用，相关机构在制定企业标准“领跑者”评估方案时也可参照使用。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5.3术语和定义</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GB/T 36399界定的术语和定义适用于本文件。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5.4基本要求</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1）生产企业近三年，企业无较大环境、安全、质量事故。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2）企业应未列入国家信用信息严重失信主体相关名录。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3）企业应建立并运行符合产品或服务的管理体系。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4）鼓励企业按照有关标准建立并运行相关管理体系，产品应为量产产品，服务应为规模化提供的服务。</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5）生产企业有毒有害物质及限制材料的使用应符合GB/T 30512的规定。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5.5主要内容</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“领跑者”标准的评价指标分为：基本要求、基础指标、核心指标和创新性指标。基础指标为表面质量</w:t>
      </w:r>
      <w:r>
        <w:rPr>
          <w:rFonts w:hint="eastAsia" w:ascii="Times New Roman" w:hAnsi="Times New Roman" w:eastAsia="宋体" w:cs="Times New Roman"/>
          <w:sz w:val="24"/>
          <w:szCs w:val="24"/>
          <w:lang w:val="en-US" w:eastAsia="zh-CN"/>
        </w:rPr>
        <w:t>、尺寸、外形、重量及允许偏差、钢的化学成分、镀层重量、屈服强度、抗拉强度、拉伸应变痕、耐高温性能、耐中性盐雾腐蚀性能</w:t>
      </w:r>
      <w:r>
        <w:rPr>
          <w:rFonts w:hint="default" w:ascii="Times New Roman" w:hAnsi="Times New Roman" w:eastAsia="宋体" w:cs="Times New Roman"/>
          <w:sz w:val="24"/>
          <w:szCs w:val="24"/>
          <w:lang w:val="en-US" w:eastAsia="zh-CN"/>
        </w:rPr>
        <w:t>。核心指标</w:t>
      </w:r>
      <w:r>
        <w:rPr>
          <w:rFonts w:hint="eastAsia" w:ascii="Times New Roman" w:hAnsi="Times New Roman" w:eastAsia="宋体" w:cs="Times New Roman"/>
          <w:sz w:val="24"/>
          <w:szCs w:val="24"/>
          <w:lang w:val="en-US" w:eastAsia="zh-CN"/>
        </w:rPr>
        <w:t>为延伸率、塑性应变化、应变硬化指数</w:t>
      </w:r>
      <w:r>
        <w:rPr>
          <w:rFonts w:hint="eastAsia" w:ascii="Times New Roman" w:hAnsi="Times New Roman" w:eastAsia="宋体"/>
          <w:color w:val="000000"/>
          <w:szCs w:val="22"/>
          <w:lang w:val="en-US" w:eastAsia="zh-CN"/>
        </w:rPr>
        <w:t>。</w:t>
      </w:r>
      <w:r>
        <w:rPr>
          <w:rFonts w:hint="default" w:ascii="Times New Roman" w:hAnsi="Times New Roman" w:eastAsia="宋体" w:cs="Times New Roman"/>
          <w:sz w:val="24"/>
          <w:szCs w:val="24"/>
          <w:lang w:val="en-US" w:eastAsia="zh-CN"/>
        </w:rPr>
        <w:t>创新性指标为</w:t>
      </w:r>
      <w:r>
        <w:rPr>
          <w:rFonts w:hint="eastAsia" w:ascii="Times New Roman" w:hAnsi="Times New Roman" w:eastAsia="宋体" w:cs="Times New Roman"/>
          <w:sz w:val="24"/>
          <w:szCs w:val="24"/>
          <w:lang w:val="en-US" w:eastAsia="zh-CN"/>
        </w:rPr>
        <w:t>镀层的化学成分、</w:t>
      </w:r>
      <w:bookmarkStart w:id="2" w:name="_GoBack"/>
      <w:bookmarkEnd w:id="2"/>
      <w:r>
        <w:rPr>
          <w:rFonts w:hint="eastAsia" w:ascii="Times New Roman" w:hAnsi="Times New Roman" w:eastAsia="宋体" w:cs="Times New Roman"/>
          <w:sz w:val="24"/>
          <w:szCs w:val="24"/>
          <w:lang w:val="en-US" w:eastAsia="zh-CN"/>
        </w:rPr>
        <w:t>铝花尺寸、极限规格。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5.6指标选取原则</w:t>
      </w:r>
    </w:p>
    <w:p>
      <w:pPr>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5.6.1</w:t>
      </w:r>
      <w:r>
        <w:rPr>
          <w:rFonts w:hint="default" w:ascii="Times New Roman" w:hAnsi="Times New Roman" w:eastAsia="黑体" w:cs="Times New Roman"/>
          <w:sz w:val="24"/>
          <w:szCs w:val="24"/>
        </w:rPr>
        <w:t>基础指标的选取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后续使用中对产品</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lang w:val="en-US" w:eastAsia="zh-CN"/>
        </w:rPr>
        <w:t>表面质量、</w:t>
      </w:r>
      <w:r>
        <w:rPr>
          <w:rFonts w:hint="eastAsia" w:ascii="Times New Roman" w:hAnsi="Times New Roman" w:eastAsia="宋体" w:cs="Times New Roman"/>
          <w:sz w:val="24"/>
          <w:szCs w:val="24"/>
          <w:lang w:val="en-US" w:eastAsia="zh-CN"/>
        </w:rPr>
        <w:t>尺寸、外形、重量及允许偏差、钢的化学成分、镀层重量、屈服强度、抗拉强度、拉伸应变痕、耐高温性能、耐中性盐雾腐蚀性能</w:t>
      </w:r>
      <w:r>
        <w:rPr>
          <w:rFonts w:hint="default" w:ascii="Times New Roman" w:hAnsi="Times New Roman" w:eastAsia="宋体" w:cs="Times New Roman"/>
          <w:sz w:val="24"/>
          <w:szCs w:val="24"/>
          <w:lang w:val="en-US" w:eastAsia="zh-CN"/>
        </w:rPr>
        <w:t>有一定的基本要求，但也不过分追求更高要求，因此将此</w:t>
      </w:r>
      <w:r>
        <w:rPr>
          <w:rFonts w:hint="eastAsia" w:ascii="Times New Roman" w:hAnsi="Times New Roman" w:eastAsia="宋体" w:cs="Times New Roman"/>
          <w:sz w:val="24"/>
          <w:szCs w:val="24"/>
          <w:lang w:val="en-US" w:eastAsia="zh-CN"/>
        </w:rPr>
        <w:t>九</w:t>
      </w:r>
      <w:r>
        <w:rPr>
          <w:rFonts w:hint="default" w:ascii="Times New Roman" w:hAnsi="Times New Roman" w:eastAsia="宋体" w:cs="Times New Roman"/>
          <w:sz w:val="24"/>
          <w:szCs w:val="24"/>
          <w:lang w:val="en-US" w:eastAsia="zh-CN"/>
        </w:rPr>
        <w:t>项设为基础指标。</w:t>
      </w:r>
    </w:p>
    <w:p>
      <w:pPr>
        <w:spacing w:line="360" w:lineRule="auto"/>
        <w:ind w:firstLine="480" w:firstLineChars="200"/>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5.6.2核心指标的选取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核心指标</w:t>
      </w:r>
      <w:r>
        <w:rPr>
          <w:rFonts w:hint="eastAsia" w:ascii="Times New Roman" w:hAnsi="Times New Roman" w:eastAsia="宋体" w:cs="Times New Roman"/>
          <w:sz w:val="24"/>
          <w:szCs w:val="24"/>
          <w:lang w:val="en-US" w:eastAsia="zh-CN"/>
        </w:rPr>
        <w:t>为延伸率、塑性应变化、应变硬化指数。延伸率、塑性应变化、应变硬化指数是</w:t>
      </w:r>
      <w:r>
        <w:rPr>
          <w:rFonts w:hint="default" w:ascii="Times New Roman" w:hAnsi="Times New Roman" w:eastAsia="宋体" w:cs="Times New Roman"/>
          <w:sz w:val="24"/>
          <w:szCs w:val="24"/>
          <w:lang w:val="en-US" w:eastAsia="zh-CN"/>
        </w:rPr>
        <w:t>产品的核心性能指标，</w:t>
      </w:r>
      <w:r>
        <w:rPr>
          <w:rFonts w:hint="eastAsia" w:ascii="Times New Roman" w:hAnsi="Times New Roman" w:eastAsia="宋体" w:cs="Times New Roman"/>
          <w:sz w:val="24"/>
          <w:szCs w:val="24"/>
          <w:lang w:val="en-US" w:eastAsia="zh-CN"/>
        </w:rPr>
        <w:t>决定了热浸镀铝硅合金镀层钢板及钢带后续使用的质量。</w:t>
      </w:r>
    </w:p>
    <w:p>
      <w:pPr>
        <w:spacing w:line="360" w:lineRule="auto"/>
        <w:ind w:firstLine="480" w:firstLineChars="200"/>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5.6.3创新性指标的选取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创新指标为镀层的化学成分</w:t>
      </w:r>
      <w:r>
        <w:rPr>
          <w:rFonts w:hint="eastAsia" w:ascii="Times New Roman" w:hAnsi="Times New Roman" w:eastAsia="宋体"/>
          <w:color w:val="000000"/>
          <w:kern w:val="0"/>
          <w:szCs w:val="21"/>
          <w:lang w:val="en-US" w:eastAsia="zh-CN" w:bidi="ar"/>
        </w:rPr>
        <w:t>、</w:t>
      </w:r>
      <w:r>
        <w:rPr>
          <w:rFonts w:hint="eastAsia" w:ascii="Times New Roman" w:hAnsi="Times New Roman" w:eastAsia="宋体" w:cs="Times New Roman"/>
          <w:sz w:val="24"/>
          <w:szCs w:val="24"/>
          <w:lang w:val="en-US" w:eastAsia="zh-CN"/>
        </w:rPr>
        <w:t>铝花尺寸、极限规格，铝花尺寸决定了产品的使用性能，极限规格代表着钢铁行业热浸镀铝硅合金镀层钢板及钢带细分领域的创新发展方向，</w:t>
      </w:r>
      <w:r>
        <w:rPr>
          <w:rFonts w:hint="default" w:ascii="Times New Roman" w:hAnsi="Times New Roman" w:eastAsia="宋体" w:cs="Times New Roman"/>
          <w:sz w:val="24"/>
          <w:szCs w:val="24"/>
          <w:lang w:val="en-US" w:eastAsia="zh-CN"/>
        </w:rPr>
        <w:t>因此创新性指标中将此</w:t>
      </w:r>
      <w:r>
        <w:rPr>
          <w:rFonts w:hint="eastAsia" w:ascii="Times New Roman" w:hAnsi="Times New Roman" w:eastAsia="宋体" w:cs="Times New Roman"/>
          <w:sz w:val="24"/>
          <w:szCs w:val="24"/>
          <w:lang w:val="en-US" w:eastAsia="zh-CN"/>
        </w:rPr>
        <w:t>两项</w:t>
      </w:r>
      <w:r>
        <w:rPr>
          <w:rFonts w:hint="default" w:ascii="Times New Roman" w:hAnsi="Times New Roman" w:eastAsia="宋体" w:cs="Times New Roman"/>
          <w:sz w:val="24"/>
          <w:szCs w:val="24"/>
          <w:lang w:val="en-US" w:eastAsia="zh-CN"/>
        </w:rPr>
        <w:t>列入。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5.7 评价方法</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“领跑者”标准应将评价结果划分为一级、二级和三级，各等级所对应的划分依据见表1。达到三级要求及以上的企业标准并按照有关要求进行自我声明公开后均可进入</w:t>
      </w: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企业标准排行榜。达到一级要求的企业标准，且按照有关要求进行自我声明公开后，其标准和符合标准的产品或服务可以直接进入</w:t>
      </w:r>
      <w:r>
        <w:rPr>
          <w:rFonts w:hint="eastAsia" w:ascii="Times New Roman" w:hAnsi="Times New Roman" w:eastAsia="宋体" w:cs="Times New Roman"/>
          <w:sz w:val="24"/>
          <w:szCs w:val="24"/>
          <w:lang w:val="en-US" w:eastAsia="zh-CN"/>
        </w:rPr>
        <w:t>热浸镀铝硅合金镀层钢板及钢带</w:t>
      </w:r>
      <w:r>
        <w:rPr>
          <w:rFonts w:hint="default" w:ascii="Times New Roman" w:hAnsi="Times New Roman" w:eastAsia="宋体" w:cs="Times New Roman"/>
          <w:sz w:val="24"/>
          <w:szCs w:val="24"/>
          <w:lang w:val="en-US" w:eastAsia="zh-CN"/>
        </w:rPr>
        <w:t>企业标准“领跑者”候选名单。</w:t>
      </w:r>
    </w:p>
    <w:p>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color w:val="000000"/>
          <w:sz w:val="24"/>
          <w:szCs w:val="24"/>
        </w:rPr>
        <w:t>表</w:t>
      </w:r>
      <w:r>
        <w:rPr>
          <w:rFonts w:hint="default" w:ascii="Times New Roman" w:hAnsi="Times New Roman" w:eastAsia="黑体" w:cs="Times New Roman"/>
          <w:color w:val="000000"/>
          <w:sz w:val="24"/>
          <w:szCs w:val="24"/>
          <w:lang w:val="en-US" w:eastAsia="zh-CN"/>
        </w:rPr>
        <w:t xml:space="preserve">1 </w:t>
      </w:r>
      <w:r>
        <w:rPr>
          <w:rFonts w:hint="default" w:ascii="Times New Roman" w:hAnsi="Times New Roman" w:eastAsia="黑体" w:cs="Times New Roman"/>
          <w:color w:val="000000"/>
          <w:sz w:val="24"/>
          <w:szCs w:val="24"/>
        </w:rPr>
        <w:t xml:space="preserve"> </w:t>
      </w:r>
      <w:r>
        <w:rPr>
          <w:rFonts w:hint="default" w:ascii="Times New Roman" w:hAnsi="Times New Roman" w:eastAsia="黑体" w:cs="Times New Roman"/>
          <w:sz w:val="24"/>
          <w:szCs w:val="24"/>
        </w:rPr>
        <w:t>指标评价要求等级划分</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7"/>
        <w:gridCol w:w="1238"/>
        <w:gridCol w:w="1643"/>
        <w:gridCol w:w="1509"/>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2217"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
                <w:bCs/>
                <w:color w:val="000000"/>
                <w:sz w:val="21"/>
                <w:szCs w:val="21"/>
              </w:rPr>
            </w:pPr>
            <w:bookmarkStart w:id="1" w:name="_Hlk35975549"/>
            <w:r>
              <w:rPr>
                <w:rFonts w:hint="default" w:ascii="Times New Roman" w:hAnsi="Times New Roman" w:cs="Times New Roman"/>
                <w:b/>
                <w:bCs/>
                <w:color w:val="000000"/>
                <w:sz w:val="21"/>
                <w:szCs w:val="21"/>
              </w:rPr>
              <w:t>评价等级</w:t>
            </w:r>
          </w:p>
        </w:tc>
        <w:tc>
          <w:tcPr>
            <w:tcW w:w="6079" w:type="dxa"/>
            <w:gridSpan w:val="4"/>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满足条件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一级</w:t>
            </w:r>
          </w:p>
        </w:tc>
        <w:tc>
          <w:tcPr>
            <w:tcW w:w="1238" w:type="dxa"/>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先进水平要求</w:t>
            </w:r>
          </w:p>
        </w:tc>
        <w:tc>
          <w:tcPr>
            <w:tcW w:w="1689"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新性指标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先进水平要求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二级</w:t>
            </w:r>
          </w:p>
        </w:tc>
        <w:tc>
          <w:tcPr>
            <w:tcW w:w="1238" w:type="dxa"/>
            <w:tcBorders>
              <w:bottom w:val="single" w:color="auto" w:sz="4" w:space="0"/>
            </w:tcBorders>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平均水平要求</w:t>
            </w:r>
          </w:p>
        </w:tc>
        <w:tc>
          <w:tcPr>
            <w:tcW w:w="1689"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创新性指标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平均水平要求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三级</w:t>
            </w:r>
          </w:p>
        </w:tc>
        <w:tc>
          <w:tcPr>
            <w:tcW w:w="1238" w:type="dxa"/>
            <w:tcBorders>
              <w:bottom w:val="single" w:color="auto" w:sz="4" w:space="0"/>
            </w:tcBorders>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tcBorders>
              <w:bottom w:val="single" w:color="auto" w:sz="4" w:space="0"/>
              <w:right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基准水平要求</w:t>
            </w:r>
          </w:p>
        </w:tc>
        <w:tc>
          <w:tcPr>
            <w:tcW w:w="1689" w:type="dxa"/>
            <w:tcBorders>
              <w:top w:val="single" w:color="auto" w:sz="4" w:space="0"/>
              <w:left w:val="single" w:color="auto" w:sz="4" w:space="0"/>
              <w:bottom w:val="single" w:color="auto" w:sz="4" w:space="0"/>
              <w:right w:val="single" w:color="auto" w:sz="4" w:space="0"/>
              <w:tl2br w:val="nil"/>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r>
      <w:bookmarkEnd w:id="1"/>
    </w:tbl>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指标评价要求及等级划分符合T/CAQP 015 T/ESF 0001《“领跑者”标准编制通则》要求，与其他具体“领跑者”标准的评价方法保持一致。</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六、与国内其它法律、法规的关系</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制定本文件时依据并引用了国内有关现行有效的标准，也不违背国内其它行业标准、法律、法规及强制性标准的有关规定。</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七、标准属性</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本文件属于中国特钢企业协会、中国技术经济学会团体标准。</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八、标准水平及预期效果</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领跑者”评估方案并开展有关评估工作。</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九、贯彻要求及建议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本文件归口单位为中国特钢企业协会团体标准化工作委员会，经过审定报批后，由中国特钢企业协会、中国技术经济学会联合发布。建议在“领跑者”标准评价机构、相关生产企业宣贯执行。</w:t>
      </w:r>
    </w:p>
    <w:p>
      <w:pPr>
        <w:rPr>
          <w:rFonts w:hint="default" w:ascii="Times New Roman" w:hAnsi="Times New Roman" w:cs="Times New Roman"/>
        </w:rPr>
      </w:pP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969"/>
    <w:rsid w:val="00011BB4"/>
    <w:rsid w:val="00015BDD"/>
    <w:rsid w:val="00027A9C"/>
    <w:rsid w:val="00027AD3"/>
    <w:rsid w:val="00037379"/>
    <w:rsid w:val="00037AD9"/>
    <w:rsid w:val="000541E0"/>
    <w:rsid w:val="00061866"/>
    <w:rsid w:val="00063603"/>
    <w:rsid w:val="000847CA"/>
    <w:rsid w:val="00093A71"/>
    <w:rsid w:val="00094B96"/>
    <w:rsid w:val="00096C4E"/>
    <w:rsid w:val="000A239E"/>
    <w:rsid w:val="000B3CC5"/>
    <w:rsid w:val="000C2E6C"/>
    <w:rsid w:val="000D0A5B"/>
    <w:rsid w:val="000E4DB8"/>
    <w:rsid w:val="000F0D86"/>
    <w:rsid w:val="000F3A7F"/>
    <w:rsid w:val="000F4EDD"/>
    <w:rsid w:val="0010039C"/>
    <w:rsid w:val="00104825"/>
    <w:rsid w:val="0011017E"/>
    <w:rsid w:val="00113B29"/>
    <w:rsid w:val="00117113"/>
    <w:rsid w:val="00125C49"/>
    <w:rsid w:val="001267A4"/>
    <w:rsid w:val="0013393F"/>
    <w:rsid w:val="001350E9"/>
    <w:rsid w:val="001351BC"/>
    <w:rsid w:val="001414E1"/>
    <w:rsid w:val="001512FC"/>
    <w:rsid w:val="00156FFD"/>
    <w:rsid w:val="00157247"/>
    <w:rsid w:val="0016019F"/>
    <w:rsid w:val="00163E34"/>
    <w:rsid w:val="00167428"/>
    <w:rsid w:val="00176600"/>
    <w:rsid w:val="001A30AD"/>
    <w:rsid w:val="001A5B6F"/>
    <w:rsid w:val="001C0C28"/>
    <w:rsid w:val="001C3C21"/>
    <w:rsid w:val="001C74DE"/>
    <w:rsid w:val="001C7ACB"/>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526D3"/>
    <w:rsid w:val="00264EC4"/>
    <w:rsid w:val="00272E87"/>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506E"/>
    <w:rsid w:val="004469DF"/>
    <w:rsid w:val="004529F8"/>
    <w:rsid w:val="004966BA"/>
    <w:rsid w:val="00497F32"/>
    <w:rsid w:val="004A069D"/>
    <w:rsid w:val="004A1539"/>
    <w:rsid w:val="004A2E49"/>
    <w:rsid w:val="004A4388"/>
    <w:rsid w:val="004C34B4"/>
    <w:rsid w:val="004C38D8"/>
    <w:rsid w:val="004C4969"/>
    <w:rsid w:val="004D06CE"/>
    <w:rsid w:val="004D44F2"/>
    <w:rsid w:val="004E3EE1"/>
    <w:rsid w:val="004F0CD3"/>
    <w:rsid w:val="004F75C1"/>
    <w:rsid w:val="00504213"/>
    <w:rsid w:val="00504A8F"/>
    <w:rsid w:val="0050569C"/>
    <w:rsid w:val="00510D8D"/>
    <w:rsid w:val="00523DF2"/>
    <w:rsid w:val="00524246"/>
    <w:rsid w:val="00531783"/>
    <w:rsid w:val="00540783"/>
    <w:rsid w:val="00543C4F"/>
    <w:rsid w:val="00553213"/>
    <w:rsid w:val="00560781"/>
    <w:rsid w:val="005616F1"/>
    <w:rsid w:val="00566B35"/>
    <w:rsid w:val="0059186B"/>
    <w:rsid w:val="00592096"/>
    <w:rsid w:val="005924C1"/>
    <w:rsid w:val="005932D2"/>
    <w:rsid w:val="0059671A"/>
    <w:rsid w:val="005A0566"/>
    <w:rsid w:val="005A1A10"/>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C7864"/>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411F8"/>
    <w:rsid w:val="007566CD"/>
    <w:rsid w:val="0076101E"/>
    <w:rsid w:val="0076167B"/>
    <w:rsid w:val="00766C0E"/>
    <w:rsid w:val="00770CE4"/>
    <w:rsid w:val="00775056"/>
    <w:rsid w:val="00775A47"/>
    <w:rsid w:val="00783E38"/>
    <w:rsid w:val="00785AEC"/>
    <w:rsid w:val="0079471A"/>
    <w:rsid w:val="00796549"/>
    <w:rsid w:val="007A1C24"/>
    <w:rsid w:val="007B2F39"/>
    <w:rsid w:val="007B377E"/>
    <w:rsid w:val="007B56D5"/>
    <w:rsid w:val="007E35B3"/>
    <w:rsid w:val="007F7ADD"/>
    <w:rsid w:val="00802637"/>
    <w:rsid w:val="00810015"/>
    <w:rsid w:val="00816E04"/>
    <w:rsid w:val="008309FE"/>
    <w:rsid w:val="008355DF"/>
    <w:rsid w:val="00840DDC"/>
    <w:rsid w:val="00840F1A"/>
    <w:rsid w:val="008446C6"/>
    <w:rsid w:val="00844B6B"/>
    <w:rsid w:val="008458F0"/>
    <w:rsid w:val="00851310"/>
    <w:rsid w:val="00853EB2"/>
    <w:rsid w:val="00854074"/>
    <w:rsid w:val="00863427"/>
    <w:rsid w:val="0087775E"/>
    <w:rsid w:val="00883663"/>
    <w:rsid w:val="00892CEF"/>
    <w:rsid w:val="00892D4F"/>
    <w:rsid w:val="008B5D9D"/>
    <w:rsid w:val="008B6643"/>
    <w:rsid w:val="008C3087"/>
    <w:rsid w:val="008C3578"/>
    <w:rsid w:val="008D4B9D"/>
    <w:rsid w:val="008E323F"/>
    <w:rsid w:val="008E566C"/>
    <w:rsid w:val="008E634D"/>
    <w:rsid w:val="00913D39"/>
    <w:rsid w:val="009158CB"/>
    <w:rsid w:val="00916418"/>
    <w:rsid w:val="0091769D"/>
    <w:rsid w:val="0092577F"/>
    <w:rsid w:val="00926006"/>
    <w:rsid w:val="009278B1"/>
    <w:rsid w:val="00934DD2"/>
    <w:rsid w:val="00940E50"/>
    <w:rsid w:val="009453A1"/>
    <w:rsid w:val="0094698D"/>
    <w:rsid w:val="009474B1"/>
    <w:rsid w:val="00964F99"/>
    <w:rsid w:val="009677C3"/>
    <w:rsid w:val="009912DE"/>
    <w:rsid w:val="00991D36"/>
    <w:rsid w:val="009A16CE"/>
    <w:rsid w:val="009A60E4"/>
    <w:rsid w:val="009A6CFB"/>
    <w:rsid w:val="009B1E3A"/>
    <w:rsid w:val="009B31CB"/>
    <w:rsid w:val="009B7D4F"/>
    <w:rsid w:val="009C0B83"/>
    <w:rsid w:val="009C356E"/>
    <w:rsid w:val="009D2346"/>
    <w:rsid w:val="009F1BB0"/>
    <w:rsid w:val="009F53C0"/>
    <w:rsid w:val="00A02C9D"/>
    <w:rsid w:val="00A140CB"/>
    <w:rsid w:val="00A220CE"/>
    <w:rsid w:val="00A4214F"/>
    <w:rsid w:val="00A43D13"/>
    <w:rsid w:val="00A45A94"/>
    <w:rsid w:val="00A54778"/>
    <w:rsid w:val="00A6585D"/>
    <w:rsid w:val="00A77429"/>
    <w:rsid w:val="00A81A96"/>
    <w:rsid w:val="00A83D18"/>
    <w:rsid w:val="00A939F5"/>
    <w:rsid w:val="00AA603E"/>
    <w:rsid w:val="00AC2F36"/>
    <w:rsid w:val="00AC535E"/>
    <w:rsid w:val="00AC674C"/>
    <w:rsid w:val="00AC6A32"/>
    <w:rsid w:val="00AD5381"/>
    <w:rsid w:val="00AE3BEE"/>
    <w:rsid w:val="00AE730C"/>
    <w:rsid w:val="00AF361A"/>
    <w:rsid w:val="00B00731"/>
    <w:rsid w:val="00B05C26"/>
    <w:rsid w:val="00B12577"/>
    <w:rsid w:val="00B13967"/>
    <w:rsid w:val="00B1546B"/>
    <w:rsid w:val="00B1689B"/>
    <w:rsid w:val="00B17F43"/>
    <w:rsid w:val="00B24AE1"/>
    <w:rsid w:val="00B27A3B"/>
    <w:rsid w:val="00B32BC4"/>
    <w:rsid w:val="00B41D7F"/>
    <w:rsid w:val="00B4577E"/>
    <w:rsid w:val="00B55E6F"/>
    <w:rsid w:val="00B63A2B"/>
    <w:rsid w:val="00B70E46"/>
    <w:rsid w:val="00B741EA"/>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60ED6"/>
    <w:rsid w:val="00C61F01"/>
    <w:rsid w:val="00C67CCB"/>
    <w:rsid w:val="00C71381"/>
    <w:rsid w:val="00C773F5"/>
    <w:rsid w:val="00C77D8B"/>
    <w:rsid w:val="00C85D4F"/>
    <w:rsid w:val="00C906A3"/>
    <w:rsid w:val="00CB17B1"/>
    <w:rsid w:val="00CB793F"/>
    <w:rsid w:val="00CD01B7"/>
    <w:rsid w:val="00CD0987"/>
    <w:rsid w:val="00CD445D"/>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614AB"/>
    <w:rsid w:val="00D61CB4"/>
    <w:rsid w:val="00D65E94"/>
    <w:rsid w:val="00D6724F"/>
    <w:rsid w:val="00D72EBE"/>
    <w:rsid w:val="00D8029F"/>
    <w:rsid w:val="00D83446"/>
    <w:rsid w:val="00D85DFE"/>
    <w:rsid w:val="00DA02B8"/>
    <w:rsid w:val="00DA1A9B"/>
    <w:rsid w:val="00DA440F"/>
    <w:rsid w:val="00DB4495"/>
    <w:rsid w:val="00DB4E09"/>
    <w:rsid w:val="00DB5C37"/>
    <w:rsid w:val="00DC5FC2"/>
    <w:rsid w:val="00DC638D"/>
    <w:rsid w:val="00DD081F"/>
    <w:rsid w:val="00DD263E"/>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6795"/>
    <w:rsid w:val="00F53827"/>
    <w:rsid w:val="00F629D2"/>
    <w:rsid w:val="00F64A58"/>
    <w:rsid w:val="00F720F5"/>
    <w:rsid w:val="00F73E3F"/>
    <w:rsid w:val="00FA2863"/>
    <w:rsid w:val="00FA38DD"/>
    <w:rsid w:val="00FB00AD"/>
    <w:rsid w:val="00FB0ADF"/>
    <w:rsid w:val="00FB602E"/>
    <w:rsid w:val="00FB758B"/>
    <w:rsid w:val="00FC2AAE"/>
    <w:rsid w:val="00FC4879"/>
    <w:rsid w:val="00FD140A"/>
    <w:rsid w:val="00FE04C8"/>
    <w:rsid w:val="00FE0A22"/>
    <w:rsid w:val="00FE0FBF"/>
    <w:rsid w:val="00FE1412"/>
    <w:rsid w:val="00FE1547"/>
    <w:rsid w:val="00FE61C6"/>
    <w:rsid w:val="00FE6CB7"/>
    <w:rsid w:val="00FF072A"/>
    <w:rsid w:val="00FF3736"/>
    <w:rsid w:val="05C61145"/>
    <w:rsid w:val="06457EC3"/>
    <w:rsid w:val="0695629C"/>
    <w:rsid w:val="08744FD4"/>
    <w:rsid w:val="0D774535"/>
    <w:rsid w:val="0F62273A"/>
    <w:rsid w:val="0FC758D2"/>
    <w:rsid w:val="10ED58B6"/>
    <w:rsid w:val="115128C5"/>
    <w:rsid w:val="115B7204"/>
    <w:rsid w:val="118C7ED0"/>
    <w:rsid w:val="13186518"/>
    <w:rsid w:val="15CD60D9"/>
    <w:rsid w:val="162A090D"/>
    <w:rsid w:val="17791235"/>
    <w:rsid w:val="17885530"/>
    <w:rsid w:val="17EE1DD8"/>
    <w:rsid w:val="185013CD"/>
    <w:rsid w:val="185B1F8A"/>
    <w:rsid w:val="1929170F"/>
    <w:rsid w:val="21562DFB"/>
    <w:rsid w:val="222B6BFD"/>
    <w:rsid w:val="23E735B6"/>
    <w:rsid w:val="24B25DA4"/>
    <w:rsid w:val="24EF431D"/>
    <w:rsid w:val="252057AA"/>
    <w:rsid w:val="257D2C39"/>
    <w:rsid w:val="263C6FD4"/>
    <w:rsid w:val="29881978"/>
    <w:rsid w:val="2B0D7689"/>
    <w:rsid w:val="2BB05DC4"/>
    <w:rsid w:val="2C095D6F"/>
    <w:rsid w:val="2C7B7FA9"/>
    <w:rsid w:val="2C822D3D"/>
    <w:rsid w:val="2CF20D18"/>
    <w:rsid w:val="2DA556C7"/>
    <w:rsid w:val="2E9D7869"/>
    <w:rsid w:val="2EA038AC"/>
    <w:rsid w:val="2F903F91"/>
    <w:rsid w:val="317A75FB"/>
    <w:rsid w:val="31B65B23"/>
    <w:rsid w:val="32C1291B"/>
    <w:rsid w:val="346F6C43"/>
    <w:rsid w:val="37892B70"/>
    <w:rsid w:val="37E53B3D"/>
    <w:rsid w:val="38F5346B"/>
    <w:rsid w:val="3A964942"/>
    <w:rsid w:val="3C6F0266"/>
    <w:rsid w:val="3EBA5DB9"/>
    <w:rsid w:val="3F2901C9"/>
    <w:rsid w:val="3F5B4F07"/>
    <w:rsid w:val="3F5D031B"/>
    <w:rsid w:val="3FBA0501"/>
    <w:rsid w:val="3FBD7B3C"/>
    <w:rsid w:val="408448E8"/>
    <w:rsid w:val="412C6C2B"/>
    <w:rsid w:val="43F6333F"/>
    <w:rsid w:val="441B2E61"/>
    <w:rsid w:val="455A46B1"/>
    <w:rsid w:val="46BD33E3"/>
    <w:rsid w:val="473A1E78"/>
    <w:rsid w:val="488B18EB"/>
    <w:rsid w:val="49B82D94"/>
    <w:rsid w:val="4AE96ED6"/>
    <w:rsid w:val="4B10194C"/>
    <w:rsid w:val="4CF53022"/>
    <w:rsid w:val="4D145297"/>
    <w:rsid w:val="4D690334"/>
    <w:rsid w:val="4F5D5E16"/>
    <w:rsid w:val="4FE31CAF"/>
    <w:rsid w:val="50B61553"/>
    <w:rsid w:val="50F157F2"/>
    <w:rsid w:val="51533C87"/>
    <w:rsid w:val="527E7DF2"/>
    <w:rsid w:val="53161B7B"/>
    <w:rsid w:val="5A0C3809"/>
    <w:rsid w:val="5B2E179C"/>
    <w:rsid w:val="5DF67697"/>
    <w:rsid w:val="5FE556BD"/>
    <w:rsid w:val="63B036DA"/>
    <w:rsid w:val="65361B8C"/>
    <w:rsid w:val="654D4A95"/>
    <w:rsid w:val="667102DA"/>
    <w:rsid w:val="678473AC"/>
    <w:rsid w:val="69830172"/>
    <w:rsid w:val="6BC2400C"/>
    <w:rsid w:val="6D9D3A90"/>
    <w:rsid w:val="6DBC2AE8"/>
    <w:rsid w:val="6FAA2C7A"/>
    <w:rsid w:val="73664E92"/>
    <w:rsid w:val="736C13BD"/>
    <w:rsid w:val="73FA2C3E"/>
    <w:rsid w:val="750847C7"/>
    <w:rsid w:val="77E83FA7"/>
    <w:rsid w:val="78176152"/>
    <w:rsid w:val="781F4291"/>
    <w:rsid w:val="79702BC0"/>
    <w:rsid w:val="7BD6073B"/>
    <w:rsid w:val="7C154280"/>
    <w:rsid w:val="7C367076"/>
    <w:rsid w:val="7E31665E"/>
    <w:rsid w:val="7EF1044E"/>
    <w:rsid w:val="7F102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table" w:customStyle="1" w:styleId="11">
    <w:name w:val="网格型1"/>
    <w:basedOn w:val="6"/>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2"/>
    <w:basedOn w:val="6"/>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3"/>
    <w:basedOn w:val="6"/>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8"/>
    <w:link w:val="2"/>
    <w:semiHidden/>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正文表标题"/>
    <w:next w:val="1"/>
    <w:qFormat/>
    <w:uiPriority w:val="0"/>
    <w:pPr>
      <w:numPr>
        <w:ilvl w:val="0"/>
        <w:numId w:val="1"/>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7">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8">
    <w:name w:val="段"/>
    <w:link w:val="19"/>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19">
    <w:name w:val="段 Char"/>
    <w:basedOn w:val="8"/>
    <w:link w:val="18"/>
    <w:qFormat/>
    <w:locked/>
    <w:uiPriority w:val="0"/>
    <w:rPr>
      <w:rFonts w:ascii="宋体" w:hAnsi="Times New Roman" w:eastAsia="宋体" w:cs="宋体"/>
      <w:kern w:val="0"/>
      <w:szCs w:val="21"/>
    </w:rPr>
  </w:style>
  <w:style w:type="table" w:customStyle="1" w:styleId="20">
    <w:name w:val="网格型4"/>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
    <w:name w:val="网格型5"/>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网格型6"/>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目次、标准名称标题"/>
    <w:basedOn w:val="24"/>
    <w:next w:val="18"/>
    <w:qFormat/>
    <w:uiPriority w:val="99"/>
    <w:pPr>
      <w:spacing w:line="460" w:lineRule="exact"/>
    </w:pPr>
  </w:style>
  <w:style w:type="paragraph" w:customStyle="1" w:styleId="24">
    <w:name w:val="前言、引言标题"/>
    <w:next w:val="1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B5185-4AF2-4E0E-AF3D-80036CB3F473}">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652</Words>
  <Characters>3722</Characters>
  <Lines>31</Lines>
  <Paragraphs>8</Paragraphs>
  <TotalTime>1</TotalTime>
  <ScaleCrop>false</ScaleCrop>
  <LinksUpToDate>false</LinksUpToDate>
  <CharactersWithSpaces>4366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2019-06-21T07:44:00Z</dcterms:created>
  <dc:creator>wangzequn</dc:creator>
  <cp:lastModifiedBy>谷谷</cp:lastModifiedBy>
  <dcterms:modified xsi:type="dcterms:W3CDTF">2021-06-07T01:39:29Z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00B81329F0264FB984FE1D29D7C2E378</vt:lpwstr>
  </property>
</Properties>
</file>