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黑体" w:cs="Times New Roman"/>
          <w:b w:val="0"/>
          <w:bCs w:val="0"/>
          <w:kern w:val="0"/>
          <w:sz w:val="30"/>
          <w:szCs w:val="30"/>
        </w:rPr>
      </w:pPr>
      <w:bookmarkStart w:id="0" w:name="_Toc481651147"/>
      <w:r>
        <w:rPr>
          <w:rFonts w:hint="default" w:ascii="Times New Roman" w:hAnsi="Times New Roman" w:eastAsia="黑体" w:cs="Times New Roman"/>
          <w:b w:val="0"/>
          <w:bCs w:val="0"/>
          <w:kern w:val="0"/>
          <w:sz w:val="30"/>
          <w:szCs w:val="30"/>
        </w:rPr>
        <w:t>《</w:t>
      </w:r>
      <w:r>
        <w:rPr>
          <w:rFonts w:hint="default" w:ascii="Times New Roman" w:hAnsi="Times New Roman" w:eastAsia="黑体" w:cs="Times New Roman"/>
          <w:b w:val="0"/>
          <w:bCs w:val="0"/>
          <w:sz w:val="30"/>
          <w:szCs w:val="30"/>
        </w:rPr>
        <w:t>“领跑者”标准评价要求 汽车用高强度冷连轧热成形钢板及钢带</w:t>
      </w:r>
      <w:r>
        <w:rPr>
          <w:rFonts w:hint="default" w:ascii="Times New Roman" w:hAnsi="Times New Roman" w:eastAsia="黑体" w:cs="Times New Roman"/>
          <w:b w:val="0"/>
          <w:bCs w:val="0"/>
          <w:kern w:val="0"/>
          <w:sz w:val="30"/>
          <w:szCs w:val="30"/>
        </w:rPr>
        <w:t>》团体标准编制说明</w:t>
      </w:r>
    </w:p>
    <w:bookmarkEnd w:id="0"/>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一、任务来源</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本文件由</w:t>
      </w:r>
      <w:r>
        <w:rPr>
          <w:rFonts w:hint="default" w:ascii="Times New Roman" w:hAnsi="Times New Roman" w:eastAsia="宋体" w:cs="Times New Roman"/>
          <w:kern w:val="0"/>
          <w:sz w:val="24"/>
          <w:szCs w:val="24"/>
        </w:rPr>
        <w:t>中国特钢企业协会</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sz w:val="24"/>
          <w:szCs w:val="24"/>
          <w:lang w:val="en-US" w:eastAsia="zh-CN"/>
        </w:rPr>
        <w:t>中国技术经济学会</w:t>
      </w:r>
      <w:r>
        <w:rPr>
          <w:rFonts w:hint="default" w:ascii="Times New Roman" w:hAnsi="Times New Roman" w:eastAsia="宋体" w:cs="Times New Roman"/>
          <w:sz w:val="24"/>
          <w:szCs w:val="24"/>
        </w:rPr>
        <w:t>提出并归口，冶金工业规划研究院</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highlight w:val="none"/>
          <w:lang w:val="en-US" w:eastAsia="zh-CN"/>
        </w:rPr>
        <w:t>湖南永瑞标准化服务有限公司</w:t>
      </w:r>
      <w:r>
        <w:rPr>
          <w:rFonts w:hint="default" w:ascii="Times New Roman" w:hAnsi="Times New Roman" w:eastAsia="宋体" w:cs="Times New Roman"/>
          <w:sz w:val="24"/>
          <w:szCs w:val="24"/>
          <w:highlight w:val="none"/>
        </w:rPr>
        <w:t>作为标准组织协调单位。</w:t>
      </w:r>
      <w:r>
        <w:rPr>
          <w:rFonts w:hint="default" w:ascii="Times New Roman" w:hAnsi="Times New Roman" w:eastAsia="宋体" w:cs="Times New Roman"/>
          <w:kern w:val="0"/>
          <w:sz w:val="24"/>
          <w:szCs w:val="24"/>
          <w:highlight w:val="none"/>
        </w:rPr>
        <w:t>根据中国特钢企业协会</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sz w:val="24"/>
          <w:szCs w:val="24"/>
          <w:highlight w:val="none"/>
          <w:lang w:val="en-US" w:eastAsia="zh-CN"/>
        </w:rPr>
        <w:t>中国技术经济学会</w:t>
      </w:r>
      <w:r>
        <w:rPr>
          <w:rFonts w:hint="default" w:ascii="Times New Roman" w:hAnsi="Times New Roman" w:eastAsia="宋体" w:cs="Times New Roman"/>
          <w:kern w:val="0"/>
          <w:sz w:val="24"/>
          <w:szCs w:val="24"/>
          <w:highlight w:val="none"/>
        </w:rPr>
        <w:t>202</w:t>
      </w:r>
      <w:r>
        <w:rPr>
          <w:rFonts w:hint="eastAsia" w:ascii="Times New Roman" w:hAnsi="Times New Roman" w:eastAsia="宋体" w:cs="Times New Roman"/>
          <w:kern w:val="0"/>
          <w:sz w:val="24"/>
          <w:szCs w:val="24"/>
          <w:highlight w:val="none"/>
          <w:lang w:val="en-US" w:eastAsia="zh-CN"/>
        </w:rPr>
        <w:t>1</w:t>
      </w:r>
      <w:r>
        <w:rPr>
          <w:rFonts w:hint="default" w:ascii="Times New Roman" w:hAnsi="Times New Roman" w:eastAsia="宋体" w:cs="Times New Roman"/>
          <w:kern w:val="0"/>
          <w:sz w:val="24"/>
          <w:szCs w:val="24"/>
          <w:highlight w:val="none"/>
        </w:rPr>
        <w:t>年第</w:t>
      </w:r>
      <w:r>
        <w:rPr>
          <w:rFonts w:hint="eastAsia" w:ascii="Times New Roman" w:hAnsi="Times New Roman" w:eastAsia="宋体" w:cs="Times New Roman"/>
          <w:kern w:val="0"/>
          <w:sz w:val="24"/>
          <w:szCs w:val="24"/>
          <w:highlight w:val="none"/>
          <w:lang w:val="en-US" w:eastAsia="zh-CN"/>
        </w:rPr>
        <w:t>三</w:t>
      </w:r>
      <w:r>
        <w:rPr>
          <w:rFonts w:hint="default" w:ascii="Times New Roman" w:hAnsi="Times New Roman" w:eastAsia="宋体" w:cs="Times New Roman"/>
          <w:kern w:val="0"/>
          <w:sz w:val="24"/>
          <w:szCs w:val="24"/>
          <w:highlight w:val="none"/>
        </w:rPr>
        <w:t>批团体标准制修订计划，由冶金工业规划研究院</w:t>
      </w:r>
      <w:r>
        <w:rPr>
          <w:rFonts w:hint="eastAsia" w:ascii="Times New Roman" w:hAnsi="Times New Roman" w:eastAsia="宋体" w:cs="Times New Roman"/>
          <w:kern w:val="0"/>
          <w:sz w:val="24"/>
          <w:szCs w:val="24"/>
          <w:highlight w:val="none"/>
          <w:lang w:eastAsia="zh-CN"/>
        </w:rPr>
        <w:t>、</w:t>
      </w:r>
      <w:r>
        <w:rPr>
          <w:rFonts w:hint="default" w:ascii="Times New Roman" w:hAnsi="Times New Roman" w:eastAsia="宋体" w:cs="Times New Roman"/>
          <w:sz w:val="24"/>
          <w:szCs w:val="24"/>
          <w:highlight w:val="none"/>
          <w:lang w:val="en-US" w:eastAsia="zh-CN"/>
        </w:rPr>
        <w:t>华菱安赛</w:t>
      </w:r>
      <w:r>
        <w:rPr>
          <w:rFonts w:hint="default" w:ascii="Times New Roman" w:hAnsi="Times New Roman" w:eastAsia="宋体" w:cs="Times New Roman"/>
          <w:sz w:val="24"/>
          <w:szCs w:val="24"/>
          <w:lang w:val="en-US" w:eastAsia="zh-CN"/>
        </w:rPr>
        <w:t>乐米塔尔汽车板有限公司、</w:t>
      </w:r>
      <w:r>
        <w:rPr>
          <w:rFonts w:hint="default" w:ascii="Times New Roman" w:hAnsi="Times New Roman" w:eastAsia="宋体" w:cs="Times New Roman"/>
          <w:kern w:val="0"/>
          <w:sz w:val="24"/>
          <w:szCs w:val="24"/>
        </w:rPr>
        <w:t>起草</w:t>
      </w:r>
      <w:r>
        <w:rPr>
          <w:rFonts w:hint="default" w:ascii="Times New Roman" w:hAnsi="Times New Roman" w:eastAsia="宋体" w:cs="Times New Roman"/>
          <w:sz w:val="24"/>
          <w:szCs w:val="24"/>
        </w:rPr>
        <w:t>，计划于202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年完成《</w:t>
      </w:r>
      <w:r>
        <w:rPr>
          <w:rFonts w:hint="default" w:ascii="Times New Roman" w:hAnsi="Times New Roman" w:eastAsia="宋体" w:cs="Times New Roman"/>
          <w:bCs/>
          <w:kern w:val="0"/>
          <w:sz w:val="24"/>
          <w:szCs w:val="24"/>
        </w:rPr>
        <w:t xml:space="preserve">“领跑者”标准评价要求 </w:t>
      </w:r>
      <w:r>
        <w:rPr>
          <w:rFonts w:hint="default" w:ascii="Times New Roman" w:hAnsi="Times New Roman" w:eastAsia="宋体" w:cs="Times New Roman"/>
          <w:bCs/>
          <w:kern w:val="0"/>
          <w:sz w:val="24"/>
          <w:szCs w:val="24"/>
          <w:lang w:val="en-US" w:eastAsia="zh-CN"/>
        </w:rPr>
        <w:t>汽车用高强度冷连轧热成形钢板及钢带</w:t>
      </w:r>
      <w:r>
        <w:rPr>
          <w:rFonts w:hint="default" w:ascii="Times New Roman" w:hAnsi="Times New Roman" w:eastAsia="宋体" w:cs="Times New Roman"/>
          <w:sz w:val="24"/>
          <w:szCs w:val="24"/>
        </w:rPr>
        <w:t>》标准的制定工作。</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二、制定本文件的目的和意义</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汽车用高强度冷连轧热成形钢板及钢带是汽车制造行业重要原材料之一，广泛用于制造汽车中可见部件、结构件、底盘件和车轮钢部件等。其质量不仅决定了汽车的质量，也成为促进汽车工业行业进步重要的因素之一。随着汽车行业的发展，产品技术优势逐渐突出，主要表现在本产品技术更安全、节材节耗、绿色环保、表面涂层更轻捷、更光洁，满足了中国对轻量化汽车钢日益增长的需求。</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放开搞活企业标准是标准化改革的重大举措。《标准化法》要求企业标准不得低于强制性标准，鼓励企业制定高于推荐性标准的企业标准，并提出支持利用自主创新技术制定企业标准。2018年，市场监管总局等八部委发布《关于实施企业标准“领跑者”制度的意见》（国市监标准〔2018〕84号）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w:t>
      </w:r>
    </w:p>
    <w:p>
      <w:pPr>
        <w:spacing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为切实发挥企业标准对质量提升的引领作用，本项目将通过制定</w:t>
      </w:r>
      <w:r>
        <w:rPr>
          <w:rFonts w:hint="default" w:ascii="Times New Roman" w:hAnsi="Times New Roman" w:eastAsia="宋体" w:cs="Times New Roman"/>
          <w:sz w:val="24"/>
          <w:szCs w:val="24"/>
          <w:lang w:eastAsia="zh-CN"/>
        </w:rPr>
        <w:t>汽车用高强度冷连轧热成形钢板及钢带</w:t>
      </w:r>
      <w:r>
        <w:rPr>
          <w:rFonts w:hint="default" w:ascii="Times New Roman" w:hAnsi="Times New Roman" w:eastAsia="宋体" w:cs="Times New Roman"/>
          <w:sz w:val="24"/>
          <w:szCs w:val="24"/>
        </w:rPr>
        <w:t>产品领跑者标准，</w:t>
      </w:r>
      <w:r>
        <w:rPr>
          <w:rFonts w:hint="default" w:ascii="Times New Roman" w:hAnsi="Times New Roman" w:eastAsia="宋体" w:cs="Times New Roman"/>
          <w:sz w:val="24"/>
          <w:szCs w:val="24"/>
          <w:lang w:val="en-US" w:eastAsia="zh-CN"/>
        </w:rPr>
        <w:t>通过对各指标的等级划分，鼓励企业对标领跑者，通过技术创新和技术改造，提高生产高强度冷连轧热成形钢板及钢带的企业标准水平，</w:t>
      </w:r>
      <w:r>
        <w:rPr>
          <w:rFonts w:hint="default" w:ascii="Times New Roman" w:hAnsi="Times New Roman" w:eastAsia="宋体" w:cs="Times New Roman"/>
          <w:sz w:val="24"/>
          <w:szCs w:val="24"/>
        </w:rPr>
        <w:t>帮助相关机构制定企业标准“领跑者”评估方案并开展该产品企业标准领跑者的评价工作，有利于加深社会对该产品企业标准的认识。同时，该标准也将有助于指导生产企业提升企业标准水平，促进产品质量提升</w:t>
      </w:r>
      <w:r>
        <w:rPr>
          <w:rFonts w:hint="default" w:ascii="Times New Roman" w:hAnsi="Times New Roman" w:eastAsia="宋体" w:cs="Times New Roman"/>
          <w:sz w:val="24"/>
          <w:szCs w:val="24"/>
          <w:lang w:val="en-US" w:eastAsia="zh-CN"/>
        </w:rPr>
        <w:t>和行业发展</w:t>
      </w:r>
      <w:r>
        <w:rPr>
          <w:rFonts w:hint="default" w:ascii="Times New Roman" w:hAnsi="Times New Roman" w:eastAsia="宋体" w:cs="Times New Roman"/>
          <w:sz w:val="24"/>
          <w:szCs w:val="24"/>
        </w:rPr>
        <w:t>。</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三、标准编制过程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冶金工业规划研究院</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华菱安赛乐米塔尔汽车板有限公司共同</w:t>
      </w:r>
      <w:r>
        <w:rPr>
          <w:rFonts w:hint="default" w:ascii="Times New Roman" w:hAnsi="Times New Roman" w:eastAsia="宋体" w:cs="Times New Roman"/>
          <w:sz w:val="24"/>
          <w:szCs w:val="24"/>
        </w:rPr>
        <w:t xml:space="preserve">承担了《“领跑者”标准评价要求 </w:t>
      </w:r>
      <w:r>
        <w:rPr>
          <w:rFonts w:hint="default" w:ascii="Times New Roman" w:hAnsi="Times New Roman" w:eastAsia="宋体" w:cs="Times New Roman"/>
          <w:sz w:val="24"/>
          <w:szCs w:val="24"/>
          <w:lang w:eastAsia="zh-CN"/>
        </w:rPr>
        <w:t>汽车用高强度冷连轧热成形钢板及钢带</w:t>
      </w:r>
      <w:r>
        <w:rPr>
          <w:rFonts w:hint="default" w:ascii="Times New Roman" w:hAnsi="Times New Roman" w:eastAsia="宋体" w:cs="Times New Roman"/>
          <w:sz w:val="24"/>
          <w:szCs w:val="24"/>
        </w:rPr>
        <w:t xml:space="preserve">》团体标准的编制工作，组建了该团体标准起草小组并开展工作。在《“领跑者”标准评价要求 </w:t>
      </w:r>
      <w:r>
        <w:rPr>
          <w:rFonts w:hint="default" w:ascii="Times New Roman" w:hAnsi="Times New Roman" w:eastAsia="宋体" w:cs="Times New Roman"/>
          <w:sz w:val="24"/>
          <w:szCs w:val="24"/>
          <w:lang w:eastAsia="zh-CN"/>
        </w:rPr>
        <w:t>汽车用高强度冷连轧热成形钢板及钢带</w:t>
      </w:r>
      <w:r>
        <w:rPr>
          <w:rFonts w:hint="default" w:ascii="Times New Roman" w:hAnsi="Times New Roman" w:eastAsia="宋体" w:cs="Times New Roman"/>
          <w:sz w:val="24"/>
          <w:szCs w:val="24"/>
        </w:rPr>
        <w:t>》标准制定过程中，起草小组认真查阅有关资料、收集相关数据信息，调研行业内生产技术水平和企业标准指标，进行本团体标准的编制工作。</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主要编制过程如下：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初</w:t>
      </w:r>
      <w:r>
        <w:rPr>
          <w:rFonts w:hint="default" w:ascii="Times New Roman" w:hAnsi="Times New Roman" w:eastAsia="宋体" w:cs="Times New Roman"/>
          <w:sz w:val="24"/>
          <w:szCs w:val="24"/>
        </w:rPr>
        <w:t>，中国特钢企业协会</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中国技术经济学会</w:t>
      </w:r>
      <w:r>
        <w:rPr>
          <w:rFonts w:hint="default" w:ascii="Times New Roman" w:hAnsi="Times New Roman" w:eastAsia="宋体" w:cs="Times New Roman"/>
          <w:sz w:val="24"/>
          <w:szCs w:val="24"/>
        </w:rPr>
        <w:t>团体标准化工作委员会（以下简称团标委）秘书处给各位委员发出团体标准立项函审单。到立项函审截止日期，没有委员提出不同意见。</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2020年</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底</w:t>
      </w:r>
      <w:r>
        <w:rPr>
          <w:rFonts w:hint="default" w:ascii="Times New Roman" w:hAnsi="Times New Roman" w:eastAsia="宋体" w:cs="Times New Roman"/>
          <w:sz w:val="24"/>
          <w:szCs w:val="24"/>
        </w:rPr>
        <w:t>，团标委正式下达《“领跑者”标准</w:t>
      </w:r>
      <w:r>
        <w:rPr>
          <w:rFonts w:hint="default" w:ascii="Times New Roman" w:hAnsi="Times New Roman" w:eastAsia="宋体" w:cs="Times New Roman"/>
          <w:sz w:val="24"/>
          <w:szCs w:val="24"/>
          <w:lang w:eastAsia="zh-CN"/>
        </w:rPr>
        <w:t>汽车用高强度冷连轧热成形钢板及钢带</w:t>
      </w:r>
      <w:r>
        <w:rPr>
          <w:rFonts w:hint="default" w:ascii="Times New Roman" w:hAnsi="Times New Roman" w:eastAsia="宋体" w:cs="Times New Roman"/>
          <w:sz w:val="24"/>
          <w:szCs w:val="24"/>
        </w:rPr>
        <w:t>》团体标准立项计划</w:t>
      </w:r>
      <w:r>
        <w:rPr>
          <w:rFonts w:hint="default" w:ascii="Times New Roman" w:hAnsi="Times New Roman" w:eastAsia="宋体" w:cs="Times New Roman"/>
          <w:sz w:val="24"/>
          <w:szCs w:val="24"/>
          <w:highlight w:val="none"/>
        </w:rPr>
        <w:t>（202</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年第</w:t>
      </w:r>
      <w:r>
        <w:rPr>
          <w:rFonts w:hint="eastAsia" w:ascii="Times New Roman" w:hAnsi="Times New Roman" w:eastAsia="宋体" w:cs="Times New Roman"/>
          <w:sz w:val="24"/>
          <w:szCs w:val="24"/>
          <w:highlight w:val="none"/>
          <w:lang w:val="en-US" w:eastAsia="zh-CN"/>
        </w:rPr>
        <w:t>三</w:t>
      </w:r>
      <w:r>
        <w:rPr>
          <w:rFonts w:hint="default" w:ascii="Times New Roman" w:hAnsi="Times New Roman" w:eastAsia="宋体" w:cs="Times New Roman"/>
          <w:sz w:val="24"/>
          <w:szCs w:val="24"/>
          <w:highlight w:val="none"/>
        </w:rPr>
        <w:t>批）</w:t>
      </w:r>
      <w:r>
        <w:rPr>
          <w:rFonts w:hint="default" w:ascii="Times New Roman" w:hAnsi="Times New Roman" w:eastAsia="宋体" w:cs="Times New Roman"/>
          <w:sz w:val="24"/>
          <w:szCs w:val="24"/>
        </w:rPr>
        <w:t>。团体标准</w:t>
      </w:r>
      <w:bookmarkStart w:id="2" w:name="_GoBack"/>
      <w:bookmarkEnd w:id="2"/>
      <w:r>
        <w:rPr>
          <w:rFonts w:hint="default" w:ascii="Times New Roman" w:hAnsi="Times New Roman" w:eastAsia="宋体" w:cs="Times New Roman"/>
          <w:sz w:val="24"/>
          <w:szCs w:val="24"/>
        </w:rPr>
        <w:t>立项后，冶金工业规划研究院</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华菱安赛乐米塔尔汽车板有限公司</w:t>
      </w:r>
      <w:r>
        <w:rPr>
          <w:rFonts w:hint="default" w:ascii="Times New Roman" w:hAnsi="Times New Roman" w:eastAsia="宋体" w:cs="Times New Roman"/>
          <w:sz w:val="24"/>
          <w:szCs w:val="24"/>
        </w:rPr>
        <w:t>相关人员组成标准起草组，提出了标准编制计划和任务分工，并开始标准编制工作。</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2020年</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lang w:val="en-US" w:eastAsia="zh-CN"/>
        </w:rPr>
        <w:t>初</w:t>
      </w:r>
      <w:r>
        <w:rPr>
          <w:rFonts w:hint="default" w:ascii="Times New Roman" w:hAnsi="Times New Roman" w:eastAsia="宋体" w:cs="Times New Roman"/>
          <w:sz w:val="24"/>
          <w:szCs w:val="24"/>
          <w:lang w:eastAsia="zh-CN"/>
        </w:rPr>
        <w:t>：形成征求意见稿并发出征求意见。</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四、标准编制原则</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本文件根据T/CAQP 015 T/ESF 0001《“领跑者”标准编制通则》进行编制。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《“领跑者”标准</w:t>
      </w:r>
      <w:r>
        <w:rPr>
          <w:rFonts w:hint="default" w:ascii="Times New Roman" w:hAnsi="Times New Roman" w:eastAsia="宋体" w:cs="Times New Roman"/>
          <w:sz w:val="24"/>
          <w:szCs w:val="24"/>
          <w:lang w:eastAsia="zh-CN"/>
        </w:rPr>
        <w:t>汽车用高强度冷连轧热成形钢板及钢带</w:t>
      </w:r>
      <w:r>
        <w:rPr>
          <w:rFonts w:hint="default" w:ascii="Times New Roman" w:hAnsi="Times New Roman" w:eastAsia="宋体" w:cs="Times New Roman"/>
          <w:sz w:val="24"/>
          <w:szCs w:val="24"/>
        </w:rPr>
        <w:t>》标准编制所参考的依据为国家有关法律法规以及强制性标准要求、国家及行业产品或服务标准、国内或国际先进产品标准等。</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五、主要技术内容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5.1</w:t>
      </w:r>
      <w:r>
        <w:rPr>
          <w:rFonts w:hint="default" w:ascii="Times New Roman" w:hAnsi="Times New Roman" w:eastAsia="黑体" w:cs="Times New Roman"/>
          <w:sz w:val="24"/>
          <w:szCs w:val="24"/>
        </w:rPr>
        <w:t>标准编写格式</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标准内容符合GB/T 1.1-2020的规定。</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本文件规定了</w:t>
      </w:r>
      <w:r>
        <w:rPr>
          <w:rFonts w:hint="default" w:ascii="Times New Roman" w:hAnsi="Times New Roman" w:eastAsia="宋体" w:cs="Times New Roman"/>
          <w:sz w:val="24"/>
          <w:szCs w:val="24"/>
          <w:lang w:eastAsia="zh-CN"/>
        </w:rPr>
        <w:t>汽车用高强度冷连轧热成形钢板及钢带</w:t>
      </w:r>
      <w:r>
        <w:rPr>
          <w:rFonts w:hint="default" w:ascii="Times New Roman" w:hAnsi="Times New Roman" w:eastAsia="宋体" w:cs="Times New Roman"/>
          <w:sz w:val="24"/>
          <w:szCs w:val="24"/>
        </w:rPr>
        <w:t>（以下简称盘条）“领跑者”标准的术语和定义、评价指标体系、评价方法及等级划分。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5.2 适用范围</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本文件规定了汽车用高强度冷连轧热成形钢板及钢带“领跑者”产品标准评价的术语和定义、技术要求、评价指标体系和评价方法。</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适用于制造汽车安全结构件，厚度范围为0.50mm～3.00mm的汽车用高强度冷连轧热成形钢板及钢带产品的企业标准“领跑者”评价。企业在制定企业标准时可参照使用，相关机构在制定企业标准“领跑者”评估方案时也可参照使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5.3术语和定义</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GB/T 34566界定的术语和定义适用于本文件。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5.4基本要求</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1）生产企业近三年，企业无较大环境、安全、质量事故。 </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2）企业应未列入国家信用信息严重失信主体相关名录。 </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3）企业应建立并运行符合产品或服务的管理体系。 </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4）鼓励企业按照有关标准建立并运行相关管理体系，产品应为量产产品，服务应为规模化提供的服务。</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5）生产企业有毒有害物质及限制材料的使用应符合GB/T 30512的规定。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5.5主要内容</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汽车用高强度冷连轧热成形钢板及钢带“领跑者”标准的评价指标分为：基本要求、基础指标、核心指标和创新性指标。基础指标为基础指标</w:t>
      </w:r>
      <w:r>
        <w:rPr>
          <w:rFonts w:hint="eastAsia" w:ascii="Times New Roman" w:hAnsi="Times New Roman" w:eastAsia="宋体" w:cs="Times New Roman"/>
          <w:sz w:val="24"/>
          <w:szCs w:val="24"/>
          <w:lang w:val="en-US" w:eastAsia="zh-CN"/>
        </w:rPr>
        <w:t>为</w:t>
      </w:r>
      <w:r>
        <w:rPr>
          <w:rFonts w:hint="default" w:ascii="Times New Roman" w:hAnsi="Times New Roman" w:eastAsia="宋体" w:cs="Times New Roman"/>
          <w:sz w:val="24"/>
          <w:szCs w:val="24"/>
          <w:lang w:val="en-US" w:eastAsia="zh-CN"/>
        </w:rPr>
        <w:t>表面质量、尺寸、外形、重量及允许偏差和镀层的化学成分、</w:t>
      </w:r>
      <w:r>
        <w:rPr>
          <w:rFonts w:hint="eastAsia" w:ascii="Times New Roman" w:hAnsi="Times New Roman" w:eastAsia="宋体" w:cs="Times New Roman"/>
          <w:sz w:val="24"/>
          <w:szCs w:val="24"/>
          <w:lang w:val="en-US" w:eastAsia="zh-CN"/>
        </w:rPr>
        <w:t>热成形之前的力学性能参数，包含：</w:t>
      </w:r>
      <w:r>
        <w:rPr>
          <w:rFonts w:hint="default" w:ascii="Times New Roman" w:hAnsi="Times New Roman" w:eastAsia="宋体" w:cs="Times New Roman"/>
          <w:sz w:val="24"/>
          <w:szCs w:val="24"/>
          <w:lang w:val="en-US" w:eastAsia="zh-CN"/>
        </w:rPr>
        <w:t>屈服强度、抗拉强度、延伸率、镀层重量、镀层等效厚度。核心指标</w:t>
      </w:r>
      <w:r>
        <w:rPr>
          <w:rFonts w:hint="eastAsia" w:ascii="Times New Roman" w:hAnsi="Times New Roman" w:eastAsia="宋体" w:cs="Times New Roman"/>
          <w:sz w:val="24"/>
          <w:szCs w:val="24"/>
          <w:lang w:val="en-US" w:eastAsia="zh-CN"/>
        </w:rPr>
        <w:t>为热成形之后的力学性能参数，包括：</w:t>
      </w:r>
      <w:r>
        <w:rPr>
          <w:rFonts w:hint="default" w:ascii="Times New Roman" w:hAnsi="Times New Roman" w:eastAsia="宋体" w:cs="Times New Roman"/>
          <w:sz w:val="24"/>
          <w:szCs w:val="24"/>
          <w:lang w:val="en-US" w:eastAsia="zh-CN"/>
        </w:rPr>
        <w:t>屈服强度、抗拉强度、硬度、折弯角。创新性指标为耐中性盐雾腐蚀性能、镀层结构、拼焊技术。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5.6指标选取原则</w:t>
      </w:r>
    </w:p>
    <w:p>
      <w:pPr>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5.6.1</w:t>
      </w:r>
      <w:r>
        <w:rPr>
          <w:rFonts w:hint="default" w:ascii="Times New Roman" w:hAnsi="Times New Roman" w:eastAsia="黑体" w:cs="Times New Roman"/>
          <w:sz w:val="24"/>
          <w:szCs w:val="24"/>
        </w:rPr>
        <w:t>基础指标的选取</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汽车用高强度冷连轧热成形钢板及钢带后续使用中将进行</w:t>
      </w:r>
      <w:r>
        <w:rPr>
          <w:rFonts w:hint="eastAsia" w:ascii="Times New Roman" w:hAnsi="Times New Roman" w:eastAsia="宋体" w:cs="Times New Roman"/>
          <w:sz w:val="24"/>
          <w:szCs w:val="24"/>
          <w:lang w:val="en-US" w:eastAsia="zh-CN"/>
        </w:rPr>
        <w:t>热成形</w:t>
      </w:r>
      <w:r>
        <w:rPr>
          <w:rFonts w:hint="default" w:ascii="Times New Roman" w:hAnsi="Times New Roman" w:eastAsia="宋体" w:cs="Times New Roman"/>
          <w:sz w:val="24"/>
          <w:szCs w:val="24"/>
          <w:lang w:val="en-US" w:eastAsia="zh-CN"/>
        </w:rPr>
        <w:t>加工，对产品</w:t>
      </w:r>
      <w:r>
        <w:rPr>
          <w:rFonts w:hint="eastAsia"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lang w:val="en-US" w:eastAsia="zh-CN"/>
        </w:rPr>
        <w:t>表面质量</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尺寸、外形、重量及允许偏差和镀层的化学成分、</w:t>
      </w:r>
      <w:r>
        <w:rPr>
          <w:rFonts w:hint="eastAsia" w:ascii="Times New Roman" w:hAnsi="Times New Roman" w:eastAsia="宋体" w:cs="Times New Roman"/>
          <w:sz w:val="24"/>
          <w:szCs w:val="24"/>
          <w:lang w:val="en-US" w:eastAsia="zh-CN"/>
        </w:rPr>
        <w:t>热成形之前的力学性能参数，包含：</w:t>
      </w:r>
      <w:r>
        <w:rPr>
          <w:rFonts w:hint="default" w:ascii="Times New Roman" w:hAnsi="Times New Roman" w:eastAsia="宋体" w:cs="Times New Roman"/>
          <w:sz w:val="24"/>
          <w:szCs w:val="24"/>
          <w:lang w:val="en-US" w:eastAsia="zh-CN"/>
        </w:rPr>
        <w:t>屈服强度、抗拉强度、延伸率、镀层重量、镀层等效厚度</w:t>
      </w:r>
      <w:r>
        <w:rPr>
          <w:rFonts w:hint="eastAsia" w:ascii="Times New Roman" w:hAnsi="Times New Roman" w:eastAsia="宋体" w:cs="Times New Roman"/>
          <w:sz w:val="24"/>
          <w:szCs w:val="24"/>
          <w:lang w:val="en-US" w:eastAsia="zh-CN"/>
        </w:rPr>
        <w:t>等参数</w:t>
      </w:r>
      <w:r>
        <w:rPr>
          <w:rFonts w:hint="default" w:ascii="Times New Roman" w:hAnsi="Times New Roman" w:eastAsia="宋体" w:cs="Times New Roman"/>
          <w:sz w:val="24"/>
          <w:szCs w:val="24"/>
          <w:lang w:val="en-US" w:eastAsia="zh-CN"/>
        </w:rPr>
        <w:t>有一定的基本要求，但也不过分追求更高要求，因此将此</w:t>
      </w:r>
      <w:r>
        <w:rPr>
          <w:rFonts w:hint="eastAsia" w:ascii="Times New Roman" w:hAnsi="Times New Roman" w:eastAsia="宋体" w:cs="Times New Roman"/>
          <w:sz w:val="24"/>
          <w:szCs w:val="24"/>
          <w:lang w:val="en-US" w:eastAsia="zh-CN"/>
        </w:rPr>
        <w:t>九</w:t>
      </w:r>
      <w:r>
        <w:rPr>
          <w:rFonts w:hint="default" w:ascii="Times New Roman" w:hAnsi="Times New Roman" w:eastAsia="宋体" w:cs="Times New Roman"/>
          <w:sz w:val="24"/>
          <w:szCs w:val="24"/>
          <w:lang w:val="en-US" w:eastAsia="zh-CN"/>
        </w:rPr>
        <w:t>项设为基础指标。</w:t>
      </w:r>
    </w:p>
    <w:p>
      <w:pPr>
        <w:spacing w:line="360" w:lineRule="auto"/>
        <w:ind w:firstLine="480" w:firstLineChars="200"/>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5.6.2核心指标的选取</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核心指标</w:t>
      </w:r>
      <w:r>
        <w:rPr>
          <w:rFonts w:hint="eastAsia" w:ascii="Times New Roman" w:hAnsi="Times New Roman" w:eastAsia="宋体" w:cs="Times New Roman"/>
          <w:sz w:val="24"/>
          <w:szCs w:val="24"/>
          <w:lang w:val="en-US" w:eastAsia="zh-CN"/>
        </w:rPr>
        <w:t>为热成形之后的力学性能参数，包括：</w:t>
      </w:r>
      <w:r>
        <w:rPr>
          <w:rFonts w:hint="default" w:ascii="Times New Roman" w:hAnsi="Times New Roman" w:eastAsia="宋体" w:cs="Times New Roman"/>
          <w:sz w:val="24"/>
          <w:szCs w:val="24"/>
          <w:lang w:val="en-US" w:eastAsia="zh-CN"/>
        </w:rPr>
        <w:t>屈服强度、抗拉强度、硬度、折弯角</w:t>
      </w:r>
      <w:r>
        <w:rPr>
          <w:rFonts w:hint="eastAsia" w:ascii="Times New Roman" w:hAnsi="Times New Roman" w:eastAsia="宋体" w:cs="Times New Roman"/>
          <w:sz w:val="24"/>
          <w:szCs w:val="24"/>
          <w:lang w:val="en-US" w:eastAsia="zh-CN"/>
        </w:rPr>
        <w:t>。热成形之后的</w:t>
      </w:r>
      <w:r>
        <w:rPr>
          <w:rFonts w:hint="default" w:ascii="Times New Roman" w:hAnsi="Times New Roman" w:eastAsia="宋体" w:cs="Times New Roman"/>
          <w:sz w:val="24"/>
          <w:szCs w:val="24"/>
          <w:lang w:val="en-US" w:eastAsia="zh-CN"/>
        </w:rPr>
        <w:t>力学性能是该产品的核心性能指标，</w:t>
      </w:r>
      <w:r>
        <w:rPr>
          <w:rFonts w:hint="eastAsia" w:ascii="Times New Roman" w:hAnsi="Times New Roman" w:eastAsia="宋体" w:cs="Times New Roman"/>
          <w:sz w:val="24"/>
          <w:szCs w:val="24"/>
          <w:lang w:val="en-US" w:eastAsia="zh-CN"/>
        </w:rPr>
        <w:t>决定了</w:t>
      </w:r>
      <w:r>
        <w:rPr>
          <w:rFonts w:hint="default" w:ascii="Times New Roman" w:hAnsi="Times New Roman" w:eastAsia="宋体" w:cs="Times New Roman"/>
          <w:sz w:val="24"/>
          <w:szCs w:val="24"/>
          <w:lang w:val="en-US" w:eastAsia="zh-CN"/>
        </w:rPr>
        <w:t>汽车用高强度冷连轧热成形钢板及钢带</w:t>
      </w:r>
      <w:r>
        <w:rPr>
          <w:rFonts w:hint="eastAsia" w:ascii="Times New Roman" w:hAnsi="Times New Roman" w:eastAsia="宋体" w:cs="Times New Roman"/>
          <w:sz w:val="24"/>
          <w:szCs w:val="24"/>
          <w:lang w:val="en-US" w:eastAsia="zh-CN"/>
        </w:rPr>
        <w:t>后续使用的质量。</w:t>
      </w:r>
    </w:p>
    <w:p>
      <w:pPr>
        <w:spacing w:line="360" w:lineRule="auto"/>
        <w:ind w:firstLine="480" w:firstLineChars="200"/>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5.6.3创新性指标的选取</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创新指标为</w:t>
      </w:r>
      <w:r>
        <w:rPr>
          <w:rFonts w:hint="default" w:ascii="Times New Roman" w:hAnsi="Times New Roman" w:eastAsia="宋体" w:cs="Times New Roman"/>
          <w:sz w:val="24"/>
          <w:szCs w:val="24"/>
          <w:lang w:val="en-US" w:eastAsia="zh-CN"/>
        </w:rPr>
        <w:t>耐中性盐雾腐蚀性能、镀层结构、拼焊技术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耐中性盐雾腐蚀性能</w:t>
      </w:r>
      <w:r>
        <w:rPr>
          <w:rFonts w:hint="eastAsia" w:ascii="Times New Roman" w:hAnsi="Times New Roman" w:eastAsia="宋体" w:cs="Times New Roman"/>
          <w:sz w:val="24"/>
          <w:szCs w:val="24"/>
          <w:lang w:val="en-US" w:eastAsia="zh-CN"/>
        </w:rPr>
        <w:t>决定了产品的使用寿命，镀层结构为产品的核心关键，拼焊技术为钢铁行业</w:t>
      </w:r>
      <w:r>
        <w:rPr>
          <w:rFonts w:hint="default" w:ascii="Times New Roman" w:hAnsi="Times New Roman" w:eastAsia="宋体" w:cs="Times New Roman"/>
          <w:sz w:val="24"/>
          <w:szCs w:val="24"/>
          <w:lang w:val="en-US" w:eastAsia="zh-CN"/>
        </w:rPr>
        <w:t>汽车用高强度冷连轧热成形钢板及钢带</w:t>
      </w:r>
      <w:r>
        <w:rPr>
          <w:rFonts w:hint="eastAsia" w:ascii="Times New Roman" w:hAnsi="Times New Roman" w:eastAsia="宋体" w:cs="Times New Roman"/>
          <w:sz w:val="24"/>
          <w:szCs w:val="24"/>
          <w:lang w:val="en-US" w:eastAsia="zh-CN"/>
        </w:rPr>
        <w:t>细分领域的创新发展方向，</w:t>
      </w:r>
      <w:r>
        <w:rPr>
          <w:rFonts w:hint="default" w:ascii="Times New Roman" w:hAnsi="Times New Roman" w:eastAsia="宋体" w:cs="Times New Roman"/>
          <w:sz w:val="24"/>
          <w:szCs w:val="24"/>
          <w:lang w:val="en-US" w:eastAsia="zh-CN"/>
        </w:rPr>
        <w:t>因此创新性指标中将此三项列入。</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outlineLvl w:val="1"/>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5.7 评价方法</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汽车用高强度冷连轧热成形钢板及钢带“领跑者”标准应将评价结果划分为一级、二级和三级，各等级所对应的划分依据见表1。达到三级要求及以上的企业标准并按照有关要求进行自我声明公开后均可进入汽车用高强度冷连轧热成形钢板及钢带企业标准排行榜。达到一级要求的企业标准，且按照有关要求进行自我声明公开后，其标准和符合标准的产品或服务可以直接进入汽车用高强度冷连轧热成形钢板及钢带企业标准“领跑者”候选名单。</w:t>
      </w:r>
    </w:p>
    <w:p>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Times New Roman" w:hAnsi="Times New Roman" w:eastAsia="黑体" w:cs="Times New Roman"/>
          <w:color w:val="000000"/>
          <w:sz w:val="24"/>
          <w:szCs w:val="24"/>
        </w:rPr>
      </w:pPr>
    </w:p>
    <w:p>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Times New Roman" w:hAnsi="Times New Roman" w:eastAsia="黑体" w:cs="Times New Roman"/>
          <w:color w:val="000000"/>
          <w:sz w:val="24"/>
          <w:szCs w:val="24"/>
        </w:rPr>
      </w:pPr>
    </w:p>
    <w:p>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Times New Roman" w:hAnsi="Times New Roman" w:eastAsia="黑体" w:cs="Times New Roman"/>
          <w:color w:val="000000"/>
          <w:sz w:val="24"/>
          <w:szCs w:val="24"/>
        </w:rPr>
      </w:pPr>
    </w:p>
    <w:p>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color w:val="000000"/>
          <w:sz w:val="24"/>
          <w:szCs w:val="24"/>
        </w:rPr>
        <w:t>表</w:t>
      </w:r>
      <w:r>
        <w:rPr>
          <w:rFonts w:hint="default" w:ascii="Times New Roman" w:hAnsi="Times New Roman" w:eastAsia="黑体" w:cs="Times New Roman"/>
          <w:color w:val="000000"/>
          <w:sz w:val="24"/>
          <w:szCs w:val="24"/>
          <w:lang w:val="en-US" w:eastAsia="zh-CN"/>
        </w:rPr>
        <w:t xml:space="preserve">1 </w:t>
      </w:r>
      <w:r>
        <w:rPr>
          <w:rFonts w:hint="default" w:ascii="Times New Roman" w:hAnsi="Times New Roman" w:eastAsia="黑体" w:cs="Times New Roman"/>
          <w:color w:val="000000"/>
          <w:sz w:val="24"/>
          <w:szCs w:val="24"/>
        </w:rPr>
        <w:t xml:space="preserve"> </w:t>
      </w:r>
      <w:r>
        <w:rPr>
          <w:rFonts w:hint="default" w:ascii="Times New Roman" w:hAnsi="Times New Roman" w:eastAsia="黑体" w:cs="Times New Roman"/>
          <w:sz w:val="24"/>
          <w:szCs w:val="24"/>
        </w:rPr>
        <w:t>指标评价要求等级划分</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7"/>
        <w:gridCol w:w="1238"/>
        <w:gridCol w:w="1643"/>
        <w:gridCol w:w="1509"/>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jc w:val="center"/>
        </w:trPr>
        <w:tc>
          <w:tcPr>
            <w:tcW w:w="2217"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
                <w:bCs/>
                <w:color w:val="000000"/>
                <w:sz w:val="21"/>
                <w:szCs w:val="21"/>
              </w:rPr>
            </w:pPr>
            <w:bookmarkStart w:id="1" w:name="_Hlk35975549"/>
            <w:r>
              <w:rPr>
                <w:rFonts w:hint="default" w:ascii="Times New Roman" w:hAnsi="Times New Roman" w:cs="Times New Roman"/>
                <w:b/>
                <w:bCs/>
                <w:color w:val="000000"/>
                <w:sz w:val="21"/>
                <w:szCs w:val="21"/>
              </w:rPr>
              <w:t>评价等级</w:t>
            </w:r>
          </w:p>
        </w:tc>
        <w:tc>
          <w:tcPr>
            <w:tcW w:w="6079" w:type="dxa"/>
            <w:gridSpan w:val="4"/>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满足条件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2217"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一级</w:t>
            </w:r>
          </w:p>
        </w:tc>
        <w:tc>
          <w:tcPr>
            <w:tcW w:w="1238" w:type="dxa"/>
            <w:vAlign w:val="center"/>
          </w:tcPr>
          <w:p>
            <w:pPr>
              <w:pStyle w:val="18"/>
              <w:keepNext w:val="0"/>
              <w:keepLines w:val="0"/>
              <w:pageBreakBefore w:val="0"/>
              <w:widowControl/>
              <w:numPr>
                <w:ilvl w:val="0"/>
                <w:numId w:val="0"/>
              </w:numPr>
              <w:tabs>
                <w:tab w:val="left" w:pos="360"/>
                <w:tab w:val="clear" w:pos="4201"/>
                <w:tab w:val="clear" w:pos="9298"/>
              </w:tabs>
              <w:kinsoku/>
              <w:wordWrap/>
              <w:overflowPunct w:val="0"/>
              <w:topLinePunct w:val="0"/>
              <w:autoSpaceDE w:val="0"/>
              <w:autoSpaceDN w:val="0"/>
              <w:bidi w:val="0"/>
              <w:adjustRightInd/>
              <w:snapToGrid/>
              <w:spacing w:line="240" w:lineRule="auto"/>
              <w:ind w:left="0"/>
              <w:jc w:val="center"/>
              <w:textAlignment w:val="baseline"/>
              <w:outlineLvl w:val="4"/>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基本要求</w:t>
            </w:r>
          </w:p>
        </w:tc>
        <w:tc>
          <w:tcPr>
            <w:tcW w:w="1643"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基础指标要求</w:t>
            </w:r>
          </w:p>
        </w:tc>
        <w:tc>
          <w:tcPr>
            <w:tcW w:w="1509"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核心指标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先进水平要求</w:t>
            </w:r>
          </w:p>
        </w:tc>
        <w:tc>
          <w:tcPr>
            <w:tcW w:w="1689" w:type="dxa"/>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新性指标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先进水平要求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2217"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二级</w:t>
            </w:r>
          </w:p>
        </w:tc>
        <w:tc>
          <w:tcPr>
            <w:tcW w:w="1238" w:type="dxa"/>
            <w:tcBorders>
              <w:bottom w:val="single" w:color="auto" w:sz="4" w:space="0"/>
            </w:tcBorders>
            <w:vAlign w:val="center"/>
          </w:tcPr>
          <w:p>
            <w:pPr>
              <w:pStyle w:val="18"/>
              <w:keepNext w:val="0"/>
              <w:keepLines w:val="0"/>
              <w:pageBreakBefore w:val="0"/>
              <w:widowControl/>
              <w:numPr>
                <w:ilvl w:val="0"/>
                <w:numId w:val="0"/>
              </w:numPr>
              <w:tabs>
                <w:tab w:val="left" w:pos="360"/>
                <w:tab w:val="clear" w:pos="4201"/>
                <w:tab w:val="clear" w:pos="9298"/>
              </w:tabs>
              <w:kinsoku/>
              <w:wordWrap/>
              <w:overflowPunct w:val="0"/>
              <w:topLinePunct w:val="0"/>
              <w:autoSpaceDE w:val="0"/>
              <w:autoSpaceDN w:val="0"/>
              <w:bidi w:val="0"/>
              <w:adjustRightInd/>
              <w:snapToGrid/>
              <w:spacing w:line="240" w:lineRule="auto"/>
              <w:ind w:left="0"/>
              <w:jc w:val="center"/>
              <w:textAlignment w:val="baseline"/>
              <w:outlineLvl w:val="4"/>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基本要求</w:t>
            </w:r>
          </w:p>
        </w:tc>
        <w:tc>
          <w:tcPr>
            <w:tcW w:w="1643"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基础指标要求</w:t>
            </w:r>
          </w:p>
        </w:tc>
        <w:tc>
          <w:tcPr>
            <w:tcW w:w="1509"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核心指标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平均水平要求</w:t>
            </w:r>
          </w:p>
        </w:tc>
        <w:tc>
          <w:tcPr>
            <w:tcW w:w="1689"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创新性指标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平均水平要求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2217"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三级</w:t>
            </w:r>
          </w:p>
        </w:tc>
        <w:tc>
          <w:tcPr>
            <w:tcW w:w="1238" w:type="dxa"/>
            <w:tcBorders>
              <w:bottom w:val="single" w:color="auto" w:sz="4" w:space="0"/>
            </w:tcBorders>
            <w:vAlign w:val="center"/>
          </w:tcPr>
          <w:p>
            <w:pPr>
              <w:pStyle w:val="18"/>
              <w:keepNext w:val="0"/>
              <w:keepLines w:val="0"/>
              <w:pageBreakBefore w:val="0"/>
              <w:widowControl/>
              <w:numPr>
                <w:ilvl w:val="0"/>
                <w:numId w:val="0"/>
              </w:numPr>
              <w:tabs>
                <w:tab w:val="left" w:pos="360"/>
                <w:tab w:val="clear" w:pos="4201"/>
                <w:tab w:val="clear" w:pos="9298"/>
              </w:tabs>
              <w:kinsoku/>
              <w:wordWrap/>
              <w:overflowPunct w:val="0"/>
              <w:topLinePunct w:val="0"/>
              <w:autoSpaceDE w:val="0"/>
              <w:autoSpaceDN w:val="0"/>
              <w:bidi w:val="0"/>
              <w:adjustRightInd/>
              <w:snapToGrid/>
              <w:spacing w:line="240" w:lineRule="auto"/>
              <w:ind w:left="0"/>
              <w:jc w:val="center"/>
              <w:textAlignment w:val="baseline"/>
              <w:outlineLvl w:val="4"/>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基本要求</w:t>
            </w:r>
          </w:p>
        </w:tc>
        <w:tc>
          <w:tcPr>
            <w:tcW w:w="1643" w:type="dxa"/>
            <w:tcBorders>
              <w:bottom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基础指标要求</w:t>
            </w:r>
          </w:p>
        </w:tc>
        <w:tc>
          <w:tcPr>
            <w:tcW w:w="1509" w:type="dxa"/>
            <w:tcBorders>
              <w:bottom w:val="single" w:color="auto" w:sz="4" w:space="0"/>
              <w:right w:val="single" w:color="auto" w:sz="4" w:space="0"/>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核心指标</w:t>
            </w:r>
          </w:p>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基准水平要求</w:t>
            </w:r>
          </w:p>
        </w:tc>
        <w:tc>
          <w:tcPr>
            <w:tcW w:w="1689" w:type="dxa"/>
            <w:tcBorders>
              <w:top w:val="single" w:color="auto" w:sz="4" w:space="0"/>
              <w:left w:val="single" w:color="auto" w:sz="4" w:space="0"/>
              <w:bottom w:val="single" w:color="auto" w:sz="4" w:space="0"/>
              <w:right w:val="single" w:color="auto" w:sz="4" w:space="0"/>
              <w:tl2br w:val="nil"/>
            </w:tcBorders>
            <w:vAlign w:val="center"/>
          </w:tcPr>
          <w:p>
            <w:pPr>
              <w:pStyle w:val="18"/>
              <w:keepNext w:val="0"/>
              <w:keepLines w:val="0"/>
              <w:pageBreakBefore w:val="0"/>
              <w:widowControl/>
              <w:numPr>
                <w:ilvl w:val="0"/>
                <w:numId w:val="0"/>
              </w:numPr>
              <w:kinsoku/>
              <w:wordWrap/>
              <w:topLinePunct w:val="0"/>
              <w:autoSpaceDE w:val="0"/>
              <w:autoSpaceDN w:val="0"/>
              <w:bidi w:val="0"/>
              <w:adjustRightInd/>
              <w:snapToGrid/>
              <w:spacing w:line="240" w:lineRule="auto"/>
              <w:ind w:left="0"/>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w:t>
            </w:r>
          </w:p>
        </w:tc>
      </w:tr>
      <w:bookmarkEnd w:id="1"/>
    </w:tbl>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指标评价要求及等级划分符合T/CAQP 015 T/ESF 0001《“领跑者”标准编制通则》要求，与其他具体“领跑者”标准的评价方法保持一致。</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六、与国内其它法律、法规的关系</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制定本文件时依据并引用了国内有关现行有效的标准，也不违背国内其它行业标准、法律、法规及强制性标准的有关规定。</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七、标准属性</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本文件属于中国特钢企业协会、中国技术经济学会团体标准。</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八、标准水平及预期效果</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新型标准化体系中，企业标准定位为先进引领性的标准。但是企业的标准化工作缺乏参考与指导，因此很多企业标准存在编制格式不规范、指标未覆盖国家和行业标准相关要求、指标选取缺乏科学依据、指标水平不够先进等问题。该标准的制定一方面有利于指导企业编写企业标准，并可用于对企业标准的水平进行评价，另一方面可以指导第三方评估机构编制“排行榜”和“领跑者”评估方案并开展有关评估工作。</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b w:val="0"/>
          <w:bCs/>
          <w:kern w:val="44"/>
          <w:sz w:val="24"/>
          <w:szCs w:val="24"/>
        </w:rPr>
      </w:pPr>
      <w:r>
        <w:rPr>
          <w:rFonts w:hint="default" w:ascii="Times New Roman" w:hAnsi="Times New Roman" w:eastAsia="黑体" w:cs="Times New Roman"/>
          <w:b w:val="0"/>
          <w:bCs/>
          <w:kern w:val="44"/>
          <w:sz w:val="24"/>
          <w:szCs w:val="24"/>
        </w:rPr>
        <w:t>九、贯彻要求及建议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本文件归口单位为中国特钢企业协会团体标准化工作委员会</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经过审定报批后，由中国特钢企业协会、中国技术经济学会联合发布。建议在“领跑者”标准评价机构、相关生产企业宣贯执行。</w:t>
      </w:r>
    </w:p>
    <w:p>
      <w:pPr>
        <w:rPr>
          <w:rFonts w:hint="default" w:ascii="Times New Roman" w:hAnsi="Times New Roman" w:cs="Times New Roman"/>
        </w:rPr>
      </w:pP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969"/>
    <w:rsid w:val="00011BB4"/>
    <w:rsid w:val="00015BDD"/>
    <w:rsid w:val="00027A9C"/>
    <w:rsid w:val="00027AD3"/>
    <w:rsid w:val="00037379"/>
    <w:rsid w:val="00037AD9"/>
    <w:rsid w:val="000541E0"/>
    <w:rsid w:val="00061866"/>
    <w:rsid w:val="00063603"/>
    <w:rsid w:val="000847CA"/>
    <w:rsid w:val="00093A71"/>
    <w:rsid w:val="00094B96"/>
    <w:rsid w:val="00096C4E"/>
    <w:rsid w:val="000A239E"/>
    <w:rsid w:val="000B3CC5"/>
    <w:rsid w:val="000C2E6C"/>
    <w:rsid w:val="000D0A5B"/>
    <w:rsid w:val="000E4DB8"/>
    <w:rsid w:val="000F0D86"/>
    <w:rsid w:val="000F3A7F"/>
    <w:rsid w:val="000F4EDD"/>
    <w:rsid w:val="0010039C"/>
    <w:rsid w:val="00104825"/>
    <w:rsid w:val="0011017E"/>
    <w:rsid w:val="00113B29"/>
    <w:rsid w:val="00117113"/>
    <w:rsid w:val="00125C49"/>
    <w:rsid w:val="001267A4"/>
    <w:rsid w:val="0013393F"/>
    <w:rsid w:val="001350E9"/>
    <w:rsid w:val="001351BC"/>
    <w:rsid w:val="001414E1"/>
    <w:rsid w:val="001512FC"/>
    <w:rsid w:val="00156FFD"/>
    <w:rsid w:val="00157247"/>
    <w:rsid w:val="0016019F"/>
    <w:rsid w:val="00163E34"/>
    <w:rsid w:val="00167428"/>
    <w:rsid w:val="00176600"/>
    <w:rsid w:val="001A30AD"/>
    <w:rsid w:val="001A5B6F"/>
    <w:rsid w:val="001C0C28"/>
    <w:rsid w:val="001C3C21"/>
    <w:rsid w:val="001C74DE"/>
    <w:rsid w:val="001C7ACB"/>
    <w:rsid w:val="001D02F9"/>
    <w:rsid w:val="001D1C23"/>
    <w:rsid w:val="001D27B7"/>
    <w:rsid w:val="001E77D9"/>
    <w:rsid w:val="001F7509"/>
    <w:rsid w:val="00200450"/>
    <w:rsid w:val="00204AEE"/>
    <w:rsid w:val="00206D72"/>
    <w:rsid w:val="00207A30"/>
    <w:rsid w:val="002102F0"/>
    <w:rsid w:val="00217630"/>
    <w:rsid w:val="00217F97"/>
    <w:rsid w:val="00230D0B"/>
    <w:rsid w:val="00230D70"/>
    <w:rsid w:val="002359F9"/>
    <w:rsid w:val="002526D3"/>
    <w:rsid w:val="00264EC4"/>
    <w:rsid w:val="00272E87"/>
    <w:rsid w:val="002764BC"/>
    <w:rsid w:val="00286581"/>
    <w:rsid w:val="002871AE"/>
    <w:rsid w:val="0029654A"/>
    <w:rsid w:val="00297AF2"/>
    <w:rsid w:val="002A4627"/>
    <w:rsid w:val="002B256C"/>
    <w:rsid w:val="002B5927"/>
    <w:rsid w:val="002C565F"/>
    <w:rsid w:val="002D04C9"/>
    <w:rsid w:val="002D147D"/>
    <w:rsid w:val="002D6E47"/>
    <w:rsid w:val="002D7653"/>
    <w:rsid w:val="002D7B20"/>
    <w:rsid w:val="002E0001"/>
    <w:rsid w:val="002E2F94"/>
    <w:rsid w:val="00320B80"/>
    <w:rsid w:val="00332A10"/>
    <w:rsid w:val="00341005"/>
    <w:rsid w:val="00343C70"/>
    <w:rsid w:val="00354D21"/>
    <w:rsid w:val="00362AEA"/>
    <w:rsid w:val="003645CC"/>
    <w:rsid w:val="00370591"/>
    <w:rsid w:val="00370DDE"/>
    <w:rsid w:val="00374538"/>
    <w:rsid w:val="00381178"/>
    <w:rsid w:val="0038138A"/>
    <w:rsid w:val="00381AC6"/>
    <w:rsid w:val="003831CF"/>
    <w:rsid w:val="003962B8"/>
    <w:rsid w:val="003B0C4D"/>
    <w:rsid w:val="003E3B6A"/>
    <w:rsid w:val="003E5EB2"/>
    <w:rsid w:val="003E6D0E"/>
    <w:rsid w:val="003E78E6"/>
    <w:rsid w:val="004221BC"/>
    <w:rsid w:val="0042287E"/>
    <w:rsid w:val="004276C7"/>
    <w:rsid w:val="004341FE"/>
    <w:rsid w:val="0044506E"/>
    <w:rsid w:val="004469DF"/>
    <w:rsid w:val="004529F8"/>
    <w:rsid w:val="004966BA"/>
    <w:rsid w:val="00497F32"/>
    <w:rsid w:val="004A069D"/>
    <w:rsid w:val="004A1539"/>
    <w:rsid w:val="004A2E49"/>
    <w:rsid w:val="004A4388"/>
    <w:rsid w:val="004C34B4"/>
    <w:rsid w:val="004C38D8"/>
    <w:rsid w:val="004C4969"/>
    <w:rsid w:val="004D06CE"/>
    <w:rsid w:val="004D44F2"/>
    <w:rsid w:val="004E3EE1"/>
    <w:rsid w:val="004F0CD3"/>
    <w:rsid w:val="004F75C1"/>
    <w:rsid w:val="00504213"/>
    <w:rsid w:val="00504A8F"/>
    <w:rsid w:val="0050569C"/>
    <w:rsid w:val="00510D8D"/>
    <w:rsid w:val="00523DF2"/>
    <w:rsid w:val="00524246"/>
    <w:rsid w:val="00531783"/>
    <w:rsid w:val="00540783"/>
    <w:rsid w:val="00543C4F"/>
    <w:rsid w:val="00553213"/>
    <w:rsid w:val="00560781"/>
    <w:rsid w:val="005616F1"/>
    <w:rsid w:val="00566B35"/>
    <w:rsid w:val="0059186B"/>
    <w:rsid w:val="00592096"/>
    <w:rsid w:val="005924C1"/>
    <w:rsid w:val="005932D2"/>
    <w:rsid w:val="0059671A"/>
    <w:rsid w:val="005A0566"/>
    <w:rsid w:val="005A1A10"/>
    <w:rsid w:val="005A6F0A"/>
    <w:rsid w:val="005C3EF8"/>
    <w:rsid w:val="005D3296"/>
    <w:rsid w:val="005D6C11"/>
    <w:rsid w:val="005E60A6"/>
    <w:rsid w:val="005F13EC"/>
    <w:rsid w:val="005F5102"/>
    <w:rsid w:val="0061121B"/>
    <w:rsid w:val="006173C4"/>
    <w:rsid w:val="00617908"/>
    <w:rsid w:val="00620B9B"/>
    <w:rsid w:val="00624FCE"/>
    <w:rsid w:val="00643006"/>
    <w:rsid w:val="0064582B"/>
    <w:rsid w:val="00662968"/>
    <w:rsid w:val="0066361E"/>
    <w:rsid w:val="0066540B"/>
    <w:rsid w:val="00666CED"/>
    <w:rsid w:val="006730B5"/>
    <w:rsid w:val="00673FFD"/>
    <w:rsid w:val="00685CCF"/>
    <w:rsid w:val="006B7301"/>
    <w:rsid w:val="006B7A2D"/>
    <w:rsid w:val="006C0100"/>
    <w:rsid w:val="006C0276"/>
    <w:rsid w:val="006C2C1A"/>
    <w:rsid w:val="006C3E62"/>
    <w:rsid w:val="006C69EF"/>
    <w:rsid w:val="006C7864"/>
    <w:rsid w:val="006D4DD3"/>
    <w:rsid w:val="006E2C58"/>
    <w:rsid w:val="00703493"/>
    <w:rsid w:val="0070513F"/>
    <w:rsid w:val="007052B3"/>
    <w:rsid w:val="007117FA"/>
    <w:rsid w:val="0071432D"/>
    <w:rsid w:val="007153E8"/>
    <w:rsid w:val="00715E2C"/>
    <w:rsid w:val="00716B03"/>
    <w:rsid w:val="0072201A"/>
    <w:rsid w:val="00733FB2"/>
    <w:rsid w:val="0073464D"/>
    <w:rsid w:val="00740D1B"/>
    <w:rsid w:val="007411F8"/>
    <w:rsid w:val="007566CD"/>
    <w:rsid w:val="0076101E"/>
    <w:rsid w:val="0076167B"/>
    <w:rsid w:val="00766C0E"/>
    <w:rsid w:val="00770CE4"/>
    <w:rsid w:val="00775056"/>
    <w:rsid w:val="00775A47"/>
    <w:rsid w:val="00783E38"/>
    <w:rsid w:val="00785AEC"/>
    <w:rsid w:val="0079471A"/>
    <w:rsid w:val="00796549"/>
    <w:rsid w:val="007A1C24"/>
    <w:rsid w:val="007B2F39"/>
    <w:rsid w:val="007B377E"/>
    <w:rsid w:val="007B56D5"/>
    <w:rsid w:val="007E35B3"/>
    <w:rsid w:val="007F7ADD"/>
    <w:rsid w:val="00802637"/>
    <w:rsid w:val="00810015"/>
    <w:rsid w:val="00816E04"/>
    <w:rsid w:val="008309FE"/>
    <w:rsid w:val="008355DF"/>
    <w:rsid w:val="00840DDC"/>
    <w:rsid w:val="00840F1A"/>
    <w:rsid w:val="008446C6"/>
    <w:rsid w:val="00844B6B"/>
    <w:rsid w:val="008458F0"/>
    <w:rsid w:val="00851310"/>
    <w:rsid w:val="00853EB2"/>
    <w:rsid w:val="00854074"/>
    <w:rsid w:val="00863427"/>
    <w:rsid w:val="0087775E"/>
    <w:rsid w:val="00883663"/>
    <w:rsid w:val="00892CEF"/>
    <w:rsid w:val="00892D4F"/>
    <w:rsid w:val="008B5D9D"/>
    <w:rsid w:val="008B6643"/>
    <w:rsid w:val="008C3087"/>
    <w:rsid w:val="008C3578"/>
    <w:rsid w:val="008D4B9D"/>
    <w:rsid w:val="008E323F"/>
    <w:rsid w:val="008E566C"/>
    <w:rsid w:val="008E634D"/>
    <w:rsid w:val="00913D39"/>
    <w:rsid w:val="009158CB"/>
    <w:rsid w:val="00916418"/>
    <w:rsid w:val="0091769D"/>
    <w:rsid w:val="0092577F"/>
    <w:rsid w:val="00926006"/>
    <w:rsid w:val="009278B1"/>
    <w:rsid w:val="00934DD2"/>
    <w:rsid w:val="00940E50"/>
    <w:rsid w:val="009453A1"/>
    <w:rsid w:val="0094698D"/>
    <w:rsid w:val="009474B1"/>
    <w:rsid w:val="00964F99"/>
    <w:rsid w:val="009677C3"/>
    <w:rsid w:val="009912DE"/>
    <w:rsid w:val="00991D36"/>
    <w:rsid w:val="009A16CE"/>
    <w:rsid w:val="009A60E4"/>
    <w:rsid w:val="009A6CFB"/>
    <w:rsid w:val="009B1E3A"/>
    <w:rsid w:val="009B31CB"/>
    <w:rsid w:val="009B7D4F"/>
    <w:rsid w:val="009C0B83"/>
    <w:rsid w:val="009C356E"/>
    <w:rsid w:val="009D2346"/>
    <w:rsid w:val="009F1BB0"/>
    <w:rsid w:val="009F53C0"/>
    <w:rsid w:val="00A02C9D"/>
    <w:rsid w:val="00A140CB"/>
    <w:rsid w:val="00A220CE"/>
    <w:rsid w:val="00A4214F"/>
    <w:rsid w:val="00A43D13"/>
    <w:rsid w:val="00A45A94"/>
    <w:rsid w:val="00A54778"/>
    <w:rsid w:val="00A6585D"/>
    <w:rsid w:val="00A77429"/>
    <w:rsid w:val="00A81A96"/>
    <w:rsid w:val="00A83D18"/>
    <w:rsid w:val="00A939F5"/>
    <w:rsid w:val="00AA603E"/>
    <w:rsid w:val="00AC2F36"/>
    <w:rsid w:val="00AC535E"/>
    <w:rsid w:val="00AC674C"/>
    <w:rsid w:val="00AC6A32"/>
    <w:rsid w:val="00AD5381"/>
    <w:rsid w:val="00AE3BEE"/>
    <w:rsid w:val="00AE730C"/>
    <w:rsid w:val="00AF361A"/>
    <w:rsid w:val="00B00731"/>
    <w:rsid w:val="00B05C26"/>
    <w:rsid w:val="00B12577"/>
    <w:rsid w:val="00B13967"/>
    <w:rsid w:val="00B1546B"/>
    <w:rsid w:val="00B1689B"/>
    <w:rsid w:val="00B17F43"/>
    <w:rsid w:val="00B24AE1"/>
    <w:rsid w:val="00B27A3B"/>
    <w:rsid w:val="00B32BC4"/>
    <w:rsid w:val="00B41D7F"/>
    <w:rsid w:val="00B4577E"/>
    <w:rsid w:val="00B55E6F"/>
    <w:rsid w:val="00B63A2B"/>
    <w:rsid w:val="00B70E46"/>
    <w:rsid w:val="00B741EA"/>
    <w:rsid w:val="00B80073"/>
    <w:rsid w:val="00B9762F"/>
    <w:rsid w:val="00BA0A80"/>
    <w:rsid w:val="00BB4D4F"/>
    <w:rsid w:val="00BC20E2"/>
    <w:rsid w:val="00BC665E"/>
    <w:rsid w:val="00BC6980"/>
    <w:rsid w:val="00BC7C74"/>
    <w:rsid w:val="00BD36E8"/>
    <w:rsid w:val="00BD5812"/>
    <w:rsid w:val="00BD6E98"/>
    <w:rsid w:val="00BF0FBD"/>
    <w:rsid w:val="00BF4624"/>
    <w:rsid w:val="00BF6EB4"/>
    <w:rsid w:val="00C20241"/>
    <w:rsid w:val="00C23A0D"/>
    <w:rsid w:val="00C242FF"/>
    <w:rsid w:val="00C47479"/>
    <w:rsid w:val="00C60ED6"/>
    <w:rsid w:val="00C61F01"/>
    <w:rsid w:val="00C67CCB"/>
    <w:rsid w:val="00C71381"/>
    <w:rsid w:val="00C773F5"/>
    <w:rsid w:val="00C77D8B"/>
    <w:rsid w:val="00C85D4F"/>
    <w:rsid w:val="00C906A3"/>
    <w:rsid w:val="00CB17B1"/>
    <w:rsid w:val="00CB793F"/>
    <w:rsid w:val="00CD01B7"/>
    <w:rsid w:val="00CD0987"/>
    <w:rsid w:val="00CD445D"/>
    <w:rsid w:val="00CE0042"/>
    <w:rsid w:val="00CE4AFE"/>
    <w:rsid w:val="00D004DE"/>
    <w:rsid w:val="00D07D75"/>
    <w:rsid w:val="00D16E4F"/>
    <w:rsid w:val="00D261BE"/>
    <w:rsid w:val="00D31E2E"/>
    <w:rsid w:val="00D3454F"/>
    <w:rsid w:val="00D35BD8"/>
    <w:rsid w:val="00D42AE3"/>
    <w:rsid w:val="00D43D6E"/>
    <w:rsid w:val="00D44BBC"/>
    <w:rsid w:val="00D47E5C"/>
    <w:rsid w:val="00D5312D"/>
    <w:rsid w:val="00D614AB"/>
    <w:rsid w:val="00D61CB4"/>
    <w:rsid w:val="00D65E94"/>
    <w:rsid w:val="00D6724F"/>
    <w:rsid w:val="00D72EBE"/>
    <w:rsid w:val="00D8029F"/>
    <w:rsid w:val="00D83446"/>
    <w:rsid w:val="00D85DFE"/>
    <w:rsid w:val="00DA02B8"/>
    <w:rsid w:val="00DA1A9B"/>
    <w:rsid w:val="00DA440F"/>
    <w:rsid w:val="00DB4495"/>
    <w:rsid w:val="00DB4E09"/>
    <w:rsid w:val="00DB5C37"/>
    <w:rsid w:val="00DC5FC2"/>
    <w:rsid w:val="00DC638D"/>
    <w:rsid w:val="00DD081F"/>
    <w:rsid w:val="00DD263E"/>
    <w:rsid w:val="00DE3871"/>
    <w:rsid w:val="00DF433D"/>
    <w:rsid w:val="00E020DA"/>
    <w:rsid w:val="00E03783"/>
    <w:rsid w:val="00E12DF0"/>
    <w:rsid w:val="00E202AF"/>
    <w:rsid w:val="00E510BE"/>
    <w:rsid w:val="00E539AD"/>
    <w:rsid w:val="00E5496F"/>
    <w:rsid w:val="00E560E4"/>
    <w:rsid w:val="00E71BC2"/>
    <w:rsid w:val="00E82A08"/>
    <w:rsid w:val="00EA0015"/>
    <w:rsid w:val="00EA061C"/>
    <w:rsid w:val="00EA69E4"/>
    <w:rsid w:val="00EB2A2C"/>
    <w:rsid w:val="00EC28C5"/>
    <w:rsid w:val="00EC6840"/>
    <w:rsid w:val="00EC746F"/>
    <w:rsid w:val="00ED3972"/>
    <w:rsid w:val="00ED3DDD"/>
    <w:rsid w:val="00ED6661"/>
    <w:rsid w:val="00EE0705"/>
    <w:rsid w:val="00EE64D6"/>
    <w:rsid w:val="00F00ED0"/>
    <w:rsid w:val="00F0504B"/>
    <w:rsid w:val="00F21BEE"/>
    <w:rsid w:val="00F4171F"/>
    <w:rsid w:val="00F46795"/>
    <w:rsid w:val="00F53827"/>
    <w:rsid w:val="00F629D2"/>
    <w:rsid w:val="00F64A58"/>
    <w:rsid w:val="00F720F5"/>
    <w:rsid w:val="00F73E3F"/>
    <w:rsid w:val="00FA2863"/>
    <w:rsid w:val="00FA38DD"/>
    <w:rsid w:val="00FB00AD"/>
    <w:rsid w:val="00FB0ADF"/>
    <w:rsid w:val="00FB602E"/>
    <w:rsid w:val="00FB758B"/>
    <w:rsid w:val="00FC2AAE"/>
    <w:rsid w:val="00FC4879"/>
    <w:rsid w:val="00FD140A"/>
    <w:rsid w:val="00FE04C8"/>
    <w:rsid w:val="00FE0A22"/>
    <w:rsid w:val="00FE0FBF"/>
    <w:rsid w:val="00FE1412"/>
    <w:rsid w:val="00FE1547"/>
    <w:rsid w:val="00FE61C6"/>
    <w:rsid w:val="00FE6CB7"/>
    <w:rsid w:val="00FF072A"/>
    <w:rsid w:val="00FF3736"/>
    <w:rsid w:val="05C61145"/>
    <w:rsid w:val="06457EC3"/>
    <w:rsid w:val="0D774535"/>
    <w:rsid w:val="10ED58B6"/>
    <w:rsid w:val="115128C5"/>
    <w:rsid w:val="115B7204"/>
    <w:rsid w:val="14FF3A03"/>
    <w:rsid w:val="17791235"/>
    <w:rsid w:val="17885530"/>
    <w:rsid w:val="185013CD"/>
    <w:rsid w:val="185B1F8A"/>
    <w:rsid w:val="1929170F"/>
    <w:rsid w:val="1F92461A"/>
    <w:rsid w:val="21261410"/>
    <w:rsid w:val="252057AA"/>
    <w:rsid w:val="257D2C39"/>
    <w:rsid w:val="263C6FD4"/>
    <w:rsid w:val="2B0D7689"/>
    <w:rsid w:val="2C7B7FA9"/>
    <w:rsid w:val="2C822D3D"/>
    <w:rsid w:val="2CF20D18"/>
    <w:rsid w:val="2E9D7869"/>
    <w:rsid w:val="31B65B23"/>
    <w:rsid w:val="31E33B7B"/>
    <w:rsid w:val="37892B70"/>
    <w:rsid w:val="3C6F0266"/>
    <w:rsid w:val="3E0647EA"/>
    <w:rsid w:val="3F2901C9"/>
    <w:rsid w:val="3FBA0501"/>
    <w:rsid w:val="408448E8"/>
    <w:rsid w:val="43F6333F"/>
    <w:rsid w:val="441B2E61"/>
    <w:rsid w:val="455A46B1"/>
    <w:rsid w:val="49B82D94"/>
    <w:rsid w:val="4AE96ED6"/>
    <w:rsid w:val="4B10194C"/>
    <w:rsid w:val="4CF53022"/>
    <w:rsid w:val="4F5D5E16"/>
    <w:rsid w:val="50B61553"/>
    <w:rsid w:val="50F157F2"/>
    <w:rsid w:val="51533C87"/>
    <w:rsid w:val="527E7DF2"/>
    <w:rsid w:val="55963663"/>
    <w:rsid w:val="5701718B"/>
    <w:rsid w:val="5FE556BD"/>
    <w:rsid w:val="63B036DA"/>
    <w:rsid w:val="667102DA"/>
    <w:rsid w:val="6D9D3A90"/>
    <w:rsid w:val="6FAA2C7A"/>
    <w:rsid w:val="71620571"/>
    <w:rsid w:val="750847C7"/>
    <w:rsid w:val="77E83FA7"/>
    <w:rsid w:val="78176152"/>
    <w:rsid w:val="781F4291"/>
    <w:rsid w:val="78A829CD"/>
    <w:rsid w:val="79702BC0"/>
    <w:rsid w:val="7BD6073B"/>
    <w:rsid w:val="7C367076"/>
    <w:rsid w:val="7F102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table" w:customStyle="1" w:styleId="11">
    <w:name w:val="网格型1"/>
    <w:basedOn w:val="6"/>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2"/>
    <w:basedOn w:val="6"/>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网格型3"/>
    <w:basedOn w:val="6"/>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8"/>
    <w:link w:val="2"/>
    <w:semiHidden/>
    <w:qFormat/>
    <w:uiPriority w:val="99"/>
    <w:rPr>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正文表标题"/>
    <w:next w:val="1"/>
    <w:qFormat/>
    <w:uiPriority w:val="0"/>
    <w:pPr>
      <w:numPr>
        <w:ilvl w:val="0"/>
        <w:numId w:val="1"/>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7">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8">
    <w:name w:val="段"/>
    <w:link w:val="19"/>
    <w:qFormat/>
    <w:uiPriority w:val="0"/>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character" w:customStyle="1" w:styleId="19">
    <w:name w:val="段 Char"/>
    <w:basedOn w:val="8"/>
    <w:link w:val="18"/>
    <w:qFormat/>
    <w:locked/>
    <w:uiPriority w:val="0"/>
    <w:rPr>
      <w:rFonts w:ascii="宋体" w:hAnsi="Times New Roman" w:eastAsia="宋体" w:cs="宋体"/>
      <w:kern w:val="0"/>
      <w:szCs w:val="21"/>
    </w:rPr>
  </w:style>
  <w:style w:type="table" w:customStyle="1" w:styleId="20">
    <w:name w:val="网格型4"/>
    <w:basedOn w:val="6"/>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
    <w:name w:val="网格型5"/>
    <w:basedOn w:val="6"/>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
    <w:name w:val="网格型6"/>
    <w:basedOn w:val="6"/>
    <w:qFormat/>
    <w:uiPriority w:val="0"/>
    <w:rPr>
      <w:rFonts w:ascii="宋体" w:hAnsi="Times New Roman" w:eastAsia="宋体"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
    <w:name w:val="目次、标准名称标题"/>
    <w:basedOn w:val="24"/>
    <w:next w:val="18"/>
    <w:qFormat/>
    <w:uiPriority w:val="99"/>
    <w:pPr>
      <w:spacing w:line="460" w:lineRule="exact"/>
    </w:pPr>
  </w:style>
  <w:style w:type="paragraph" w:customStyle="1" w:styleId="24">
    <w:name w:val="前言、引言标题"/>
    <w:next w:val="18"/>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B5185-4AF2-4E0E-AF3D-80036CB3F473}">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652</Words>
  <Characters>3722</Characters>
  <Lines>31</Lines>
  <Paragraphs>8</Paragraphs>
  <TotalTime>1</TotalTime>
  <ScaleCrop>false</ScaleCrop>
  <LinksUpToDate>false</LinksUpToDate>
  <CharactersWithSpaces>4366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2019-06-21T07:44:00Z</dcterms:created>
  <dc:creator>wangzequn</dc:creator>
  <cp:lastModifiedBy>谷谷</cp:lastModifiedBy>
  <dcterms:modified xsi:type="dcterms:W3CDTF">2021-06-07T01:40:31Z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00B81329F0264FB984FE1D29D7C2E378</vt:lpwstr>
  </property>
</Properties>
</file>