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kern w:val="0"/>
          <w:sz w:val="28"/>
          <w:szCs w:val="22"/>
        </w:rPr>
      </w:pPr>
      <w:r>
        <w:rPr>
          <w:rFonts w:ascii="Times New Roman" w:hAnsi="Times New Roman" w:eastAsia="宋体"/>
          <w:szCs w:val="22"/>
        </w:rPr>
        <mc:AlternateContent>
          <mc:Choice Requires="wps">
            <w:drawing>
              <wp:anchor distT="45720" distB="45720" distL="114300" distR="114300" simplePos="0" relativeHeight="251661312" behindDoc="0" locked="0" layoutInCell="1" allowOverlap="1">
                <wp:simplePos x="0" y="0"/>
                <wp:positionH relativeFrom="column">
                  <wp:posOffset>-42545</wp:posOffset>
                </wp:positionH>
                <wp:positionV relativeFrom="paragraph">
                  <wp:posOffset>107950</wp:posOffset>
                </wp:positionV>
                <wp:extent cx="1263650" cy="534670"/>
                <wp:effectExtent l="0" t="0" r="0" b="0"/>
                <wp:wrapSquare wrapText="bothSides"/>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263650" cy="534670"/>
                        </a:xfrm>
                        <a:prstGeom prst="rect">
                          <a:avLst/>
                        </a:prstGeom>
                        <a:noFill/>
                        <a:ln>
                          <a:noFill/>
                        </a:ln>
                        <a:effectLst/>
                      </wps:spPr>
                      <wps:txbx>
                        <w:txbxContent>
                          <w:p>
                            <w:pPr>
                              <w:rPr>
                                <w:rFonts w:ascii="黑体" w:hAnsi="黑体" w:eastAsia="黑体"/>
                                <w:kern w:val="0"/>
                                <w:szCs w:val="21"/>
                              </w:rPr>
                            </w:pPr>
                            <w:r>
                              <w:rPr>
                                <w:rFonts w:hint="eastAsia" w:ascii="黑体" w:hAnsi="黑体" w:eastAsia="黑体"/>
                                <w:kern w:val="0"/>
                                <w:szCs w:val="21"/>
                              </w:rPr>
                              <w:t>ICS</w:t>
                            </w:r>
                            <w:r>
                              <w:rPr>
                                <w:rFonts w:ascii="黑体" w:hAnsi="黑体" w:eastAsia="黑体"/>
                                <w:kern w:val="0"/>
                                <w:szCs w:val="21"/>
                              </w:rPr>
                              <w:t xml:space="preserve"> *****</w:t>
                            </w:r>
                          </w:p>
                          <w:p>
                            <w:pPr>
                              <w:rPr>
                                <w:rFonts w:ascii="黑体" w:hAnsi="黑体" w:eastAsia="黑体"/>
                                <w:szCs w:val="21"/>
                              </w:rPr>
                            </w:pPr>
                            <w:r>
                              <w:rPr>
                                <w:rFonts w:ascii="黑体" w:hAnsi="黑体" w:eastAsia="黑体"/>
                                <w:kern w:val="0"/>
                                <w:szCs w:val="21"/>
                              </w:rPr>
                              <w:t>CCS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5pt;margin-top:8.5pt;height:42.1pt;width:99.5pt;mso-wrap-distance-bottom:3.6pt;mso-wrap-distance-left:9pt;mso-wrap-distance-right:9pt;mso-wrap-distance-top:3.6pt;z-index:251661312;mso-width-relative:page;mso-height-relative:page;" filled="f" stroked="f" coordsize="21600,21600" o:gfxdata="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Rmsh1wAAAAkB&#10;AAAPAAAAAAAAAAEAIAAAACIAAABkcnMvZG93bnJldi54bWxQSwECFAAUAAAACACHTuJAzXFu7RwC&#10;AAAlBAAADgAAAAAAAAABACAAAAAmAQAAZHJzL2Uyb0RvYy54bWxQSwUGAAAAAAYABgBZAQAAtAUA&#10;AAAA&#10;">
                <v:fill on="f" focussize="0,0"/>
                <v:stroke on="f"/>
                <v:imagedata o:title=""/>
                <o:lock v:ext="edit" aspectratio="f"/>
                <v:textbox>
                  <w:txbxContent>
                    <w:p>
                      <w:pPr>
                        <w:rPr>
                          <w:rFonts w:ascii="黑体" w:hAnsi="黑体" w:eastAsia="黑体"/>
                          <w:kern w:val="0"/>
                          <w:szCs w:val="21"/>
                        </w:rPr>
                      </w:pPr>
                      <w:r>
                        <w:rPr>
                          <w:rFonts w:hint="eastAsia" w:ascii="黑体" w:hAnsi="黑体" w:eastAsia="黑体"/>
                          <w:kern w:val="0"/>
                          <w:szCs w:val="21"/>
                        </w:rPr>
                        <w:t>ICS</w:t>
                      </w:r>
                      <w:r>
                        <w:rPr>
                          <w:rFonts w:ascii="黑体" w:hAnsi="黑体" w:eastAsia="黑体"/>
                          <w:kern w:val="0"/>
                          <w:szCs w:val="21"/>
                        </w:rPr>
                        <w:t xml:space="preserve"> *****</w:t>
                      </w:r>
                    </w:p>
                    <w:p>
                      <w:pPr>
                        <w:rPr>
                          <w:rFonts w:ascii="黑体" w:hAnsi="黑体" w:eastAsia="黑体"/>
                          <w:szCs w:val="21"/>
                        </w:rPr>
                      </w:pPr>
                      <w:r>
                        <w:rPr>
                          <w:rFonts w:ascii="黑体" w:hAnsi="黑体" w:eastAsia="黑体"/>
                          <w:kern w:val="0"/>
                          <w:szCs w:val="21"/>
                        </w:rPr>
                        <w:t>CCS *****</w:t>
                      </w:r>
                    </w:p>
                  </w:txbxContent>
                </v:textbox>
                <w10:wrap type="square"/>
              </v:shape>
            </w:pict>
          </mc:Fallback>
        </mc:AlternateContent>
      </w:r>
    </w:p>
    <w:p>
      <w:pPr>
        <w:jc w:val="center"/>
        <w:rPr>
          <w:rFonts w:ascii="Times New Roman" w:hAnsi="Times New Roman" w:eastAsia="黑体"/>
          <w:kern w:val="0"/>
          <w:sz w:val="28"/>
        </w:rPr>
      </w:pPr>
    </w:p>
    <w:p>
      <w:pPr>
        <w:jc w:val="center"/>
        <w:rPr>
          <w:rFonts w:ascii="Times New Roman" w:hAnsi="Times New Roman" w:eastAsia="方正小标宋简体"/>
          <w:kern w:val="0"/>
          <w:sz w:val="84"/>
          <w:szCs w:val="22"/>
        </w:rPr>
      </w:pPr>
      <w:r>
        <w:rPr>
          <w:rFonts w:ascii="Times New Roman" w:hAnsi="Times New Roman" w:eastAsia="方正小标宋简体"/>
          <w:kern w:val="0"/>
          <w:sz w:val="84"/>
          <w:szCs w:val="22"/>
        </w:rPr>
        <w:t>团   体   标   准</w:t>
      </w:r>
    </w:p>
    <w:p>
      <w:pPr>
        <w:ind w:right="-50" w:rightChars="-24"/>
        <w:jc w:val="right"/>
        <w:rPr>
          <w:rFonts w:ascii="Times New Roman" w:hAnsi="Times New Roman" w:eastAsia="黑体"/>
          <w:kern w:val="0"/>
          <w:sz w:val="28"/>
        </w:rPr>
      </w:pPr>
      <w:r>
        <w:rPr>
          <w:rFonts w:ascii="Times New Roman" w:hAnsi="Times New Roman" w:eastAsia="黑体"/>
          <w:kern w:val="0"/>
          <w:sz w:val="28"/>
        </w:rPr>
        <w:t>T/CSTE XXXX—2021</w:t>
      </w:r>
    </w:p>
    <w:p>
      <w:pPr>
        <w:rPr>
          <w:rFonts w:ascii="Times New Roman" w:hAnsi="Times New Roman" w:eastAsia="宋体"/>
          <w:kern w:val="0"/>
          <w:szCs w:val="22"/>
        </w:rPr>
      </w:pPr>
      <w:r>
        <w:rPr>
          <w:rFonts w:ascii="Times New Roman" w:hAnsi="Times New Roman" w:eastAsia="Times New Roman"/>
          <w:kern w:val="0"/>
          <w:szCs w:val="22"/>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28575</wp:posOffset>
                </wp:positionV>
                <wp:extent cx="597027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9702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pt;margin-top:2.25pt;height:0pt;width:470.1pt;z-index:251664384;mso-width-relative:page;mso-height-relative:page;" filled="f" stroked="t" coordsize="21600,21600" o:gfxdata="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Nm73tQAAAAFAQAADwAAAAAAAAABACAAAAAiAAAAZHJzL2Rvd25yZXYueG1s&#10;UEsBAhQAFAAAAAgAh07iQL5z3678AQAA7AMAAA4AAAAAAAAAAQAgAAAAIwEAAGRycy9lMm9Eb2Mu&#10;eG1sUEsFBgAAAAAGAAYAWQEAAJEFAAAAAA==&#10;">
                <v:fill on="f" focussize="0,0"/>
                <v:stroke color="#000000" joinstyle="round"/>
                <v:imagedata o:title=""/>
                <o:lock v:ext="edit" aspectratio="f"/>
              </v:shape>
            </w:pict>
          </mc:Fallback>
        </mc:AlternateContent>
      </w:r>
    </w:p>
    <w:p>
      <w:pPr>
        <w:rPr>
          <w:rFonts w:ascii="Times New Roman" w:hAnsi="Times New Roman" w:eastAsia="Times New Roman"/>
          <w:kern w:val="0"/>
          <w:szCs w:val="22"/>
        </w:rPr>
      </w:pPr>
    </w:p>
    <w:p>
      <w:pPr>
        <w:rPr>
          <w:rFonts w:ascii="Times New Roman" w:hAnsi="Times New Roman" w:eastAsia="Times New Roman"/>
          <w:kern w:val="0"/>
          <w:szCs w:val="22"/>
        </w:rPr>
      </w:pPr>
    </w:p>
    <w:p>
      <w:pPr>
        <w:rPr>
          <w:rFonts w:ascii="Times New Roman" w:hAnsi="Times New Roman" w:eastAsia="Times New Roman"/>
          <w:kern w:val="0"/>
          <w:szCs w:val="22"/>
        </w:rPr>
      </w:pPr>
      <w:r>
        <w:rPr>
          <w:rFonts w:ascii="Times New Roman" w:hAnsi="Times New Roman" w:eastAsia="Times New Roman"/>
          <w:kern w:val="0"/>
          <w:szCs w:val="22"/>
        </w:rPr>
        <mc:AlternateContent>
          <mc:Choice Requires="wps">
            <w:drawing>
              <wp:anchor distT="45720" distB="45720" distL="114300" distR="114300" simplePos="0" relativeHeight="251662336" behindDoc="0" locked="0" layoutInCell="1" allowOverlap="1">
                <wp:simplePos x="0" y="0"/>
                <wp:positionH relativeFrom="column">
                  <wp:posOffset>-5080</wp:posOffset>
                </wp:positionH>
                <wp:positionV relativeFrom="paragraph">
                  <wp:posOffset>270510</wp:posOffset>
                </wp:positionV>
                <wp:extent cx="5954395" cy="1922145"/>
                <wp:effectExtent l="0" t="0" r="0" b="0"/>
                <wp:wrapSquare wrapText="bothSides"/>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316345" cy="1215390"/>
                        </a:xfrm>
                        <a:prstGeom prst="rect">
                          <a:avLst/>
                        </a:prstGeom>
                        <a:noFill/>
                        <a:ln w="9525">
                          <a:noFill/>
                          <a:miter lim="800000"/>
                        </a:ln>
                        <a:effectLst/>
                      </wps:spPr>
                      <wps:txbx>
                        <w:txbxContent>
                          <w:p>
                            <w:pPr>
                              <w:spacing w:line="60" w:lineRule="atLeast"/>
                              <w:jc w:val="center"/>
                              <w:textAlignment w:val="center"/>
                              <w:rPr>
                                <w:rFonts w:hint="default" w:ascii="黑体" w:hAnsi="Times New Roman" w:eastAsia="黑体"/>
                                <w:sz w:val="52"/>
                                <w:lang w:val="en-US" w:eastAsia="zh-CN"/>
                              </w:rPr>
                            </w:pPr>
                            <w:r>
                              <w:rPr>
                                <w:rFonts w:hint="eastAsia" w:ascii="黑体" w:hAnsi="Times New Roman" w:eastAsia="黑体"/>
                                <w:sz w:val="52"/>
                              </w:rPr>
                              <w:t xml:space="preserve">绿色设计产品评价技术规范 </w:t>
                            </w:r>
                            <w:r>
                              <w:rPr>
                                <w:rFonts w:hint="eastAsia" w:ascii="黑体" w:hAnsi="Times New Roman" w:eastAsia="黑体"/>
                                <w:sz w:val="52"/>
                                <w:lang w:val="en-US" w:eastAsia="zh-CN"/>
                              </w:rPr>
                              <w:t>职业用鞋靴</w:t>
                            </w:r>
                          </w:p>
                          <w:p>
                            <w:pPr>
                              <w:spacing w:before="156" w:beforeLines="50" w:line="60" w:lineRule="atLeast"/>
                              <w:jc w:val="center"/>
                              <w:rPr>
                                <w:rFonts w:ascii="黑体" w:hAnsi="黑体" w:eastAsia="黑体"/>
                                <w:color w:val="000000"/>
                                <w:kern w:val="0"/>
                                <w:sz w:val="10"/>
                                <w:szCs w:val="10"/>
                                <w:shd w:val="clear" w:color="auto" w:fill="FFFFFF"/>
                              </w:rPr>
                            </w:pPr>
                          </w:p>
                          <w:p>
                            <w:pPr>
                              <w:spacing w:before="156" w:beforeLines="50" w:line="60" w:lineRule="atLeast"/>
                              <w:jc w:val="center"/>
                              <w:rPr>
                                <w:rFonts w:ascii="黑体" w:hAnsi="黑体" w:eastAsia="黑体"/>
                                <w:color w:val="000000"/>
                                <w:kern w:val="0"/>
                                <w:sz w:val="28"/>
                                <w:szCs w:val="22"/>
                                <w:shd w:val="clear" w:color="auto" w:fill="FFFFFF"/>
                              </w:rPr>
                            </w:pPr>
                            <w:r>
                              <w:rPr>
                                <w:rFonts w:hint="eastAsia" w:ascii="黑体" w:hAnsi="黑体" w:eastAsia="黑体"/>
                                <w:color w:val="000000"/>
                                <w:kern w:val="0"/>
                                <w:sz w:val="28"/>
                                <w:szCs w:val="22"/>
                                <w:shd w:val="clear" w:color="auto" w:fill="FFFFFF"/>
                              </w:rPr>
                              <w:t>Technical specification for green-design product occupational footwear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0.4pt;margin-top:21.3pt;height:151.35pt;width:468.8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p4gltcAAAAIAQAADwAAAAAAAAABACAAAAAiAAAAZHJzL2Rvd25yZXYueG1sUEsBAhQA&#10;FAAAAAgAh07iQN610CssAgAAOAQAAA4AAAAAAAAAAQAgAAAAJgEAAGRycy9lMm9Eb2MueG1sUEsF&#10;BgAAAAAGAAYAWQEAAMQFAAAAAA==&#10;">
                <v:fill on="f" focussize="0,0"/>
                <v:stroke on="f" miterlimit="8" joinstyle="miter"/>
                <v:imagedata o:title=""/>
                <o:lock v:ext="edit" aspectratio="f"/>
                <v:textbox style="mso-fit-shape-to-text:t;">
                  <w:txbxContent>
                    <w:p>
                      <w:pPr>
                        <w:spacing w:line="60" w:lineRule="atLeast"/>
                        <w:jc w:val="center"/>
                        <w:textAlignment w:val="center"/>
                        <w:rPr>
                          <w:rFonts w:hint="default" w:ascii="黑体" w:hAnsi="Times New Roman" w:eastAsia="黑体"/>
                          <w:sz w:val="52"/>
                          <w:lang w:val="en-US" w:eastAsia="zh-CN"/>
                        </w:rPr>
                      </w:pPr>
                      <w:r>
                        <w:rPr>
                          <w:rFonts w:hint="eastAsia" w:ascii="黑体" w:hAnsi="Times New Roman" w:eastAsia="黑体"/>
                          <w:sz w:val="52"/>
                        </w:rPr>
                        <w:t xml:space="preserve">绿色设计产品评价技术规范 </w:t>
                      </w:r>
                      <w:r>
                        <w:rPr>
                          <w:rFonts w:hint="eastAsia" w:ascii="黑体" w:hAnsi="Times New Roman" w:eastAsia="黑体"/>
                          <w:sz w:val="52"/>
                          <w:lang w:val="en-US" w:eastAsia="zh-CN"/>
                        </w:rPr>
                        <w:t>职业用鞋靴</w:t>
                      </w:r>
                    </w:p>
                    <w:p>
                      <w:pPr>
                        <w:spacing w:before="156" w:beforeLines="50" w:line="60" w:lineRule="atLeast"/>
                        <w:jc w:val="center"/>
                        <w:rPr>
                          <w:rFonts w:ascii="黑体" w:hAnsi="黑体" w:eastAsia="黑体"/>
                          <w:color w:val="000000"/>
                          <w:kern w:val="0"/>
                          <w:sz w:val="10"/>
                          <w:szCs w:val="10"/>
                          <w:shd w:val="clear" w:color="auto" w:fill="FFFFFF"/>
                        </w:rPr>
                      </w:pPr>
                    </w:p>
                    <w:p>
                      <w:pPr>
                        <w:spacing w:before="156" w:beforeLines="50" w:line="60" w:lineRule="atLeast"/>
                        <w:jc w:val="center"/>
                        <w:rPr>
                          <w:rFonts w:ascii="黑体" w:hAnsi="黑体" w:eastAsia="黑体"/>
                          <w:color w:val="000000"/>
                          <w:kern w:val="0"/>
                          <w:sz w:val="28"/>
                          <w:szCs w:val="22"/>
                          <w:shd w:val="clear" w:color="auto" w:fill="FFFFFF"/>
                        </w:rPr>
                      </w:pPr>
                      <w:r>
                        <w:rPr>
                          <w:rFonts w:hint="eastAsia" w:ascii="黑体" w:hAnsi="黑体" w:eastAsia="黑体"/>
                          <w:color w:val="000000"/>
                          <w:kern w:val="0"/>
                          <w:sz w:val="28"/>
                          <w:szCs w:val="22"/>
                          <w:shd w:val="clear" w:color="auto" w:fill="FFFFFF"/>
                        </w:rPr>
                        <w:t>Technical specification for green-design product occupational footwear</w:t>
                      </w:r>
                    </w:p>
                  </w:txbxContent>
                </v:textbox>
                <w10:wrap type="square"/>
              </v:shape>
            </w:pict>
          </mc:Fallback>
        </mc:AlternateContent>
      </w:r>
    </w:p>
    <w:p>
      <w:pPr>
        <w:jc w:val="center"/>
        <w:rPr>
          <w:rFonts w:ascii="Times New Roman" w:hAnsi="Times New Roman" w:eastAsia="Times New Roman"/>
          <w:kern w:val="0"/>
          <w:sz w:val="28"/>
        </w:rPr>
      </w:pPr>
      <w:r>
        <w:rPr>
          <w:rFonts w:ascii="Times New Roman" w:hAnsi="Times New Roman" w:eastAsia="宋体"/>
          <w:kern w:val="0"/>
          <w:sz w:val="28"/>
        </w:rPr>
        <w:t>（</w:t>
      </w:r>
      <w:r>
        <w:rPr>
          <w:rFonts w:hint="eastAsia" w:ascii="Times New Roman" w:hAnsi="Times New Roman" w:eastAsia="宋体"/>
          <w:kern w:val="0"/>
          <w:sz w:val="28"/>
          <w:lang w:val="en-US" w:eastAsia="zh-CN"/>
        </w:rPr>
        <w:t>征求意见稿</w:t>
      </w:r>
      <w:r>
        <w:rPr>
          <w:rFonts w:ascii="Times New Roman" w:hAnsi="Times New Roman" w:eastAsia="宋体"/>
          <w:kern w:val="0"/>
          <w:sz w:val="28"/>
        </w:rPr>
        <w:t>）</w:t>
      </w:r>
    </w:p>
    <w:p>
      <w:pPr>
        <w:rPr>
          <w:rFonts w:ascii="Times New Roman" w:hAnsi="Times New Roman" w:eastAsia="Times New Roman"/>
          <w:kern w:val="0"/>
          <w:szCs w:val="22"/>
        </w:rPr>
      </w:pPr>
    </w:p>
    <w:p>
      <w:pPr>
        <w:rPr>
          <w:rFonts w:ascii="Times New Roman" w:hAnsi="Times New Roman" w:eastAsia="宋体"/>
          <w:kern w:val="0"/>
          <w:szCs w:val="22"/>
        </w:rPr>
      </w:pPr>
    </w:p>
    <w:p>
      <w:pPr>
        <w:jc w:val="center"/>
        <w:rPr>
          <w:rFonts w:ascii="Times New Roman" w:hAnsi="Times New Roman" w:eastAsia="宋体"/>
          <w:kern w:val="0"/>
          <w:szCs w:val="22"/>
        </w:rPr>
      </w:pPr>
    </w:p>
    <w:p>
      <w:pPr>
        <w:rPr>
          <w:rFonts w:ascii="Times New Roman" w:hAnsi="Times New Roman" w:eastAsia="宋体"/>
          <w:kern w:val="0"/>
          <w:szCs w:val="22"/>
        </w:rPr>
      </w:pPr>
    </w:p>
    <w:p>
      <w:pPr>
        <w:rPr>
          <w:rFonts w:ascii="Times New Roman" w:hAnsi="Times New Roman" w:eastAsia="宋体"/>
          <w:kern w:val="0"/>
          <w:szCs w:val="22"/>
        </w:rPr>
      </w:pPr>
    </w:p>
    <w:p>
      <w:pPr>
        <w:rPr>
          <w:rFonts w:ascii="Times New Roman" w:hAnsi="Times New Roman" w:eastAsia="宋体"/>
          <w:kern w:val="0"/>
          <w:szCs w:val="22"/>
        </w:rPr>
      </w:pPr>
    </w:p>
    <w:p>
      <w:pPr>
        <w:rPr>
          <w:rFonts w:ascii="Times New Roman" w:hAnsi="Times New Roman" w:eastAsia="等线"/>
          <w:kern w:val="0"/>
          <w:szCs w:val="22"/>
        </w:rPr>
      </w:pPr>
    </w:p>
    <w:p>
      <w:pPr>
        <w:ind w:right="630"/>
        <w:rPr>
          <w:rFonts w:ascii="Times New Roman" w:hAnsi="Times New Roman" w:eastAsia="黑体"/>
          <w:kern w:val="0"/>
          <w:sz w:val="28"/>
          <w:szCs w:val="22"/>
        </w:rPr>
      </w:pPr>
      <w:r>
        <w:rPr>
          <w:rFonts w:ascii="Times New Roman" w:hAnsi="Times New Roman" w:eastAsia="Times New Roman"/>
          <w:kern w:val="0"/>
          <w:szCs w:val="22"/>
        </w:rPr>
        <mc:AlternateContent>
          <mc:Choice Requires="wps">
            <w:drawing>
              <wp:anchor distT="0" distB="0" distL="114300" distR="114300" simplePos="0" relativeHeight="251667456" behindDoc="0" locked="0" layoutInCell="1" allowOverlap="1">
                <wp:simplePos x="0" y="0"/>
                <wp:positionH relativeFrom="column">
                  <wp:posOffset>4372610</wp:posOffset>
                </wp:positionH>
                <wp:positionV relativeFrom="paragraph">
                  <wp:posOffset>272415</wp:posOffset>
                </wp:positionV>
                <wp:extent cx="1630680" cy="4000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52475" cy="400050"/>
                        </a:xfrm>
                        <a:prstGeom prst="rect">
                          <a:avLst/>
                        </a:prstGeom>
                        <a:noFill/>
                        <a:ln w="6350">
                          <a:noFill/>
                        </a:ln>
                        <a:effectLst/>
                      </wps:spPr>
                      <wps:txbx>
                        <w:txbxContent>
                          <w:p>
                            <w:pPr>
                              <w:rPr>
                                <w:rFonts w:ascii="Calibri" w:hAnsi="Calibri" w:eastAsia="宋体"/>
                                <w:szCs w:val="22"/>
                              </w:rPr>
                            </w:pPr>
                            <w:r>
                              <w:rPr>
                                <w:rFonts w:hint="eastAsia" w:ascii="黑体" w:hAnsi="微软雅黑" w:eastAsia="黑体"/>
                                <w:w w:val="99"/>
                                <w:kern w:val="0"/>
                                <w:sz w:val="28"/>
                                <w:szCs w:val="22"/>
                              </w:rPr>
                              <w:t>202</w:t>
                            </w:r>
                            <w:r>
                              <w:rPr>
                                <w:rFonts w:ascii="黑体" w:hAnsi="微软雅黑" w:eastAsia="黑体"/>
                                <w:w w:val="99"/>
                                <w:kern w:val="0"/>
                                <w:sz w:val="28"/>
                                <w:szCs w:val="22"/>
                              </w:rPr>
                              <w:t>1</w:t>
                            </w:r>
                            <w:r>
                              <w:rPr>
                                <w:rFonts w:hint="eastAsia" w:ascii="黑体" w:hAnsi="微软雅黑" w:eastAsia="黑体"/>
                                <w:w w:val="99"/>
                                <w:kern w:val="0"/>
                                <w:sz w:val="28"/>
                                <w:szCs w:val="22"/>
                              </w:rPr>
                              <w:t>-</w:t>
                            </w:r>
                            <w:r>
                              <w:rPr>
                                <w:rFonts w:ascii="黑体" w:hAnsi="微软雅黑" w:eastAsia="黑体"/>
                                <w:w w:val="99"/>
                                <w:kern w:val="0"/>
                                <w:sz w:val="28"/>
                                <w:szCs w:val="22"/>
                              </w:rPr>
                              <w:t>XX</w:t>
                            </w:r>
                            <w:r>
                              <w:rPr>
                                <w:rFonts w:hint="eastAsia" w:ascii="黑体" w:hAnsi="微软雅黑" w:eastAsia="黑体"/>
                                <w:w w:val="99"/>
                                <w:kern w:val="0"/>
                                <w:sz w:val="28"/>
                                <w:szCs w:val="22"/>
                              </w:rPr>
                              <w:t>-</w:t>
                            </w:r>
                            <w:r>
                              <w:rPr>
                                <w:rFonts w:ascii="黑体" w:hAnsi="微软雅黑" w:eastAsia="黑体"/>
                                <w:w w:val="99"/>
                                <w:kern w:val="0"/>
                                <w:sz w:val="28"/>
                                <w:szCs w:val="22"/>
                              </w:rPr>
                              <w:t>XX</w:t>
                            </w:r>
                            <w:r>
                              <w:rPr>
                                <w:rFonts w:hint="eastAsia" w:ascii="黑体" w:hAnsi="微软雅黑" w:eastAsia="黑体"/>
                                <w:w w:val="99"/>
                                <w:kern w:val="0"/>
                                <w:sz w:val="28"/>
                                <w:szCs w:val="22"/>
                              </w:rPr>
                              <w:t xml:space="preserve"> 实施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3pt;margin-top:21.45pt;height:31.5pt;width:128.4pt;z-index:251667456;mso-width-relative:page;mso-height-relative:page;" filled="f" stroked="f" coordsize="21600,21600" o:gfxdata="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27NodsAAAAKAQAADwAAAAAAAAABACAAAAAi&#10;AAAAZHJzL2Rvd25yZXYueG1sUEsBAhQAFAAAAAgAh07iQDkFCD9AAgAAdQQAAA4AAAAAAAAAAQAg&#10;AAAAKgEAAGRycy9lMm9Eb2MueG1sUEsFBgAAAAAGAAYAWQEAANwFAAAAAA==&#10;">
                <v:fill on="f" focussize="0,0"/>
                <v:stroke on="f" weight="0.5pt"/>
                <v:imagedata o:title=""/>
                <o:lock v:ext="edit" aspectratio="f"/>
                <v:textbox>
                  <w:txbxContent>
                    <w:p>
                      <w:pPr>
                        <w:rPr>
                          <w:rFonts w:ascii="Calibri" w:hAnsi="Calibri" w:eastAsia="宋体"/>
                          <w:szCs w:val="22"/>
                        </w:rPr>
                      </w:pPr>
                      <w:r>
                        <w:rPr>
                          <w:rFonts w:hint="eastAsia" w:ascii="黑体" w:hAnsi="微软雅黑" w:eastAsia="黑体"/>
                          <w:w w:val="99"/>
                          <w:kern w:val="0"/>
                          <w:sz w:val="28"/>
                          <w:szCs w:val="22"/>
                        </w:rPr>
                        <w:t>202</w:t>
                      </w:r>
                      <w:r>
                        <w:rPr>
                          <w:rFonts w:ascii="黑体" w:hAnsi="微软雅黑" w:eastAsia="黑体"/>
                          <w:w w:val="99"/>
                          <w:kern w:val="0"/>
                          <w:sz w:val="28"/>
                          <w:szCs w:val="22"/>
                        </w:rPr>
                        <w:t>1</w:t>
                      </w:r>
                      <w:r>
                        <w:rPr>
                          <w:rFonts w:hint="eastAsia" w:ascii="黑体" w:hAnsi="微软雅黑" w:eastAsia="黑体"/>
                          <w:w w:val="99"/>
                          <w:kern w:val="0"/>
                          <w:sz w:val="28"/>
                          <w:szCs w:val="22"/>
                        </w:rPr>
                        <w:t>-</w:t>
                      </w:r>
                      <w:r>
                        <w:rPr>
                          <w:rFonts w:ascii="黑体" w:hAnsi="微软雅黑" w:eastAsia="黑体"/>
                          <w:w w:val="99"/>
                          <w:kern w:val="0"/>
                          <w:sz w:val="28"/>
                          <w:szCs w:val="22"/>
                        </w:rPr>
                        <w:t>XX</w:t>
                      </w:r>
                      <w:r>
                        <w:rPr>
                          <w:rFonts w:hint="eastAsia" w:ascii="黑体" w:hAnsi="微软雅黑" w:eastAsia="黑体"/>
                          <w:w w:val="99"/>
                          <w:kern w:val="0"/>
                          <w:sz w:val="28"/>
                          <w:szCs w:val="22"/>
                        </w:rPr>
                        <w:t>-</w:t>
                      </w:r>
                      <w:r>
                        <w:rPr>
                          <w:rFonts w:ascii="黑体" w:hAnsi="微软雅黑" w:eastAsia="黑体"/>
                          <w:w w:val="99"/>
                          <w:kern w:val="0"/>
                          <w:sz w:val="28"/>
                          <w:szCs w:val="22"/>
                        </w:rPr>
                        <w:t>XX</w:t>
                      </w:r>
                      <w:r>
                        <w:rPr>
                          <w:rFonts w:hint="eastAsia" w:ascii="黑体" w:hAnsi="微软雅黑" w:eastAsia="黑体"/>
                          <w:w w:val="99"/>
                          <w:kern w:val="0"/>
                          <w:sz w:val="28"/>
                          <w:szCs w:val="22"/>
                        </w:rPr>
                        <w:t xml:space="preserve"> 实施</w:t>
                      </w:r>
                    </w:p>
                  </w:txbxContent>
                </v:textbox>
              </v:shape>
            </w:pict>
          </mc:Fallback>
        </mc:AlternateContent>
      </w:r>
      <w:r>
        <w:rPr>
          <w:rFonts w:ascii="Times New Roman" w:hAnsi="Times New Roman" w:eastAsia="宋体"/>
          <w:kern w:val="0"/>
          <w:szCs w:val="22"/>
        </w:rPr>
        <mc:AlternateContent>
          <mc:Choice Requires="wps">
            <w:drawing>
              <wp:anchor distT="0" distB="0" distL="114300" distR="114300" simplePos="0" relativeHeight="251666432" behindDoc="0" locked="0" layoutInCell="1" allowOverlap="1">
                <wp:simplePos x="0" y="0"/>
                <wp:positionH relativeFrom="column">
                  <wp:posOffset>48895</wp:posOffset>
                </wp:positionH>
                <wp:positionV relativeFrom="paragraph">
                  <wp:posOffset>261620</wp:posOffset>
                </wp:positionV>
                <wp:extent cx="1616075" cy="400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52475" cy="400050"/>
                        </a:xfrm>
                        <a:prstGeom prst="rect">
                          <a:avLst/>
                        </a:prstGeom>
                        <a:noFill/>
                        <a:ln w="6350">
                          <a:noFill/>
                        </a:ln>
                        <a:effectLst/>
                      </wps:spPr>
                      <wps:txbx>
                        <w:txbxContent>
                          <w:p>
                            <w:pPr>
                              <w:rPr>
                                <w:rFonts w:ascii="Calibri" w:hAnsi="Calibri" w:eastAsia="宋体"/>
                                <w:szCs w:val="22"/>
                              </w:rPr>
                            </w:pPr>
                            <w:r>
                              <w:rPr>
                                <w:rFonts w:hint="eastAsia" w:ascii="黑体" w:hAnsi="微软雅黑" w:eastAsia="黑体"/>
                                <w:w w:val="99"/>
                                <w:kern w:val="0"/>
                                <w:sz w:val="28"/>
                                <w:szCs w:val="22"/>
                              </w:rPr>
                              <w:t>202</w:t>
                            </w:r>
                            <w:r>
                              <w:rPr>
                                <w:rFonts w:ascii="黑体" w:hAnsi="微软雅黑" w:eastAsia="黑体"/>
                                <w:w w:val="99"/>
                                <w:kern w:val="0"/>
                                <w:sz w:val="28"/>
                                <w:szCs w:val="22"/>
                              </w:rPr>
                              <w:t>1</w:t>
                            </w:r>
                            <w:r>
                              <w:rPr>
                                <w:rFonts w:hint="eastAsia" w:ascii="黑体" w:hAnsi="微软雅黑" w:eastAsia="黑体"/>
                                <w:w w:val="99"/>
                                <w:kern w:val="0"/>
                                <w:sz w:val="28"/>
                                <w:szCs w:val="22"/>
                              </w:rPr>
                              <w:t>-</w:t>
                            </w:r>
                            <w:r>
                              <w:rPr>
                                <w:rFonts w:ascii="黑体" w:hAnsi="微软雅黑" w:eastAsia="黑体"/>
                                <w:w w:val="99"/>
                                <w:kern w:val="0"/>
                                <w:sz w:val="28"/>
                                <w:szCs w:val="22"/>
                              </w:rPr>
                              <w:t>XX</w:t>
                            </w:r>
                            <w:r>
                              <w:rPr>
                                <w:rFonts w:hint="eastAsia" w:ascii="黑体" w:hAnsi="微软雅黑" w:eastAsia="黑体"/>
                                <w:w w:val="99"/>
                                <w:kern w:val="0"/>
                                <w:sz w:val="28"/>
                                <w:szCs w:val="22"/>
                              </w:rPr>
                              <w:t>-</w:t>
                            </w:r>
                            <w:r>
                              <w:rPr>
                                <w:rFonts w:ascii="黑体" w:hAnsi="微软雅黑" w:eastAsia="黑体"/>
                                <w:w w:val="99"/>
                                <w:kern w:val="0"/>
                                <w:sz w:val="28"/>
                                <w:szCs w:val="22"/>
                              </w:rPr>
                              <w:t>XX</w:t>
                            </w:r>
                            <w:r>
                              <w:rPr>
                                <w:rFonts w:hint="eastAsia" w:ascii="黑体" w:hAnsi="微软雅黑" w:eastAsia="黑体"/>
                                <w:w w:val="99"/>
                                <w:kern w:val="0"/>
                                <w:sz w:val="28"/>
                                <w:szCs w:val="22"/>
                              </w:rPr>
                              <w:t xml:space="preserve"> </w:t>
                            </w:r>
                            <w:r>
                              <w:rPr>
                                <w:rFonts w:hint="eastAsia" w:ascii="黑体" w:hAnsi="黑体" w:eastAsia="黑体"/>
                                <w:w w:val="99"/>
                                <w:kern w:val="0"/>
                                <w:sz w:val="28"/>
                                <w:szCs w:val="22"/>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20.6pt;height:31.5pt;width:127.25pt;z-index:251666432;mso-width-relative:page;mso-height-relative:page;" filled="f" stroked="f" coordsize="21600,21600" o:gfxdata="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SGJd/ZAAAACAEAAA8AAAAAAAAAAQAgAAAAIgAA&#10;AGRycy9kb3ducmV2LnhtbFBLAQIUABQAAAAIAIdO4kDDA4JcQAIAAHMEAAAOAAAAAAAAAAEAIAAA&#10;ACgBAABkcnMvZTJvRG9jLnhtbFBLBQYAAAAABgAGAFkBAADaBQAAAAA=&#10;">
                <v:fill on="f" focussize="0,0"/>
                <v:stroke on="f" weight="0.5pt"/>
                <v:imagedata o:title=""/>
                <o:lock v:ext="edit" aspectratio="f"/>
                <v:textbox>
                  <w:txbxContent>
                    <w:p>
                      <w:pPr>
                        <w:rPr>
                          <w:rFonts w:ascii="Calibri" w:hAnsi="Calibri" w:eastAsia="宋体"/>
                          <w:szCs w:val="22"/>
                        </w:rPr>
                      </w:pPr>
                      <w:r>
                        <w:rPr>
                          <w:rFonts w:hint="eastAsia" w:ascii="黑体" w:hAnsi="微软雅黑" w:eastAsia="黑体"/>
                          <w:w w:val="99"/>
                          <w:kern w:val="0"/>
                          <w:sz w:val="28"/>
                          <w:szCs w:val="22"/>
                        </w:rPr>
                        <w:t>202</w:t>
                      </w:r>
                      <w:r>
                        <w:rPr>
                          <w:rFonts w:ascii="黑体" w:hAnsi="微软雅黑" w:eastAsia="黑体"/>
                          <w:w w:val="99"/>
                          <w:kern w:val="0"/>
                          <w:sz w:val="28"/>
                          <w:szCs w:val="22"/>
                        </w:rPr>
                        <w:t>1</w:t>
                      </w:r>
                      <w:r>
                        <w:rPr>
                          <w:rFonts w:hint="eastAsia" w:ascii="黑体" w:hAnsi="微软雅黑" w:eastAsia="黑体"/>
                          <w:w w:val="99"/>
                          <w:kern w:val="0"/>
                          <w:sz w:val="28"/>
                          <w:szCs w:val="22"/>
                        </w:rPr>
                        <w:t>-</w:t>
                      </w:r>
                      <w:r>
                        <w:rPr>
                          <w:rFonts w:ascii="黑体" w:hAnsi="微软雅黑" w:eastAsia="黑体"/>
                          <w:w w:val="99"/>
                          <w:kern w:val="0"/>
                          <w:sz w:val="28"/>
                          <w:szCs w:val="22"/>
                        </w:rPr>
                        <w:t>XX</w:t>
                      </w:r>
                      <w:r>
                        <w:rPr>
                          <w:rFonts w:hint="eastAsia" w:ascii="黑体" w:hAnsi="微软雅黑" w:eastAsia="黑体"/>
                          <w:w w:val="99"/>
                          <w:kern w:val="0"/>
                          <w:sz w:val="28"/>
                          <w:szCs w:val="22"/>
                        </w:rPr>
                        <w:t>-</w:t>
                      </w:r>
                      <w:r>
                        <w:rPr>
                          <w:rFonts w:ascii="黑体" w:hAnsi="微软雅黑" w:eastAsia="黑体"/>
                          <w:w w:val="99"/>
                          <w:kern w:val="0"/>
                          <w:sz w:val="28"/>
                          <w:szCs w:val="22"/>
                        </w:rPr>
                        <w:t>XX</w:t>
                      </w:r>
                      <w:r>
                        <w:rPr>
                          <w:rFonts w:hint="eastAsia" w:ascii="黑体" w:hAnsi="微软雅黑" w:eastAsia="黑体"/>
                          <w:w w:val="99"/>
                          <w:kern w:val="0"/>
                          <w:sz w:val="28"/>
                          <w:szCs w:val="22"/>
                        </w:rPr>
                        <w:t xml:space="preserve"> </w:t>
                      </w:r>
                      <w:r>
                        <w:rPr>
                          <w:rFonts w:hint="eastAsia" w:ascii="黑体" w:hAnsi="黑体" w:eastAsia="黑体"/>
                          <w:w w:val="99"/>
                          <w:kern w:val="0"/>
                          <w:sz w:val="28"/>
                          <w:szCs w:val="22"/>
                        </w:rPr>
                        <w:t>发布</w:t>
                      </w:r>
                    </w:p>
                  </w:txbxContent>
                </v:textbox>
              </v:shape>
            </w:pict>
          </mc:Fallback>
        </mc:AlternateContent>
      </w:r>
      <w:r>
        <w:rPr>
          <w:rFonts w:ascii="Times New Roman" w:hAnsi="Times New Roman" w:eastAsia="黑体"/>
          <w:w w:val="99"/>
          <w:kern w:val="0"/>
          <w:sz w:val="28"/>
          <w:szCs w:val="22"/>
        </w:rPr>
        <w:t xml:space="preserve">               </w:t>
      </w:r>
      <w:r>
        <w:rPr>
          <w:rFonts w:hint="eastAsia" w:ascii="Times New Roman" w:hAnsi="Times New Roman" w:eastAsia="黑体"/>
          <w:w w:val="99"/>
          <w:kern w:val="0"/>
          <w:sz w:val="28"/>
          <w:szCs w:val="22"/>
          <w:lang w:val="en-US" w:eastAsia="zh-CN"/>
        </w:rPr>
        <w:t>S</w:t>
      </w:r>
      <w:r>
        <w:rPr>
          <w:rFonts w:ascii="Times New Roman" w:hAnsi="Times New Roman" w:eastAsia="黑体"/>
          <w:w w:val="99"/>
          <w:kern w:val="0"/>
          <w:sz w:val="28"/>
          <w:szCs w:val="22"/>
        </w:rPr>
        <w:t xml:space="preserve">     </w:t>
      </w:r>
    </w:p>
    <w:p>
      <w:pPr>
        <w:spacing w:before="312" w:beforeLines="100"/>
        <w:ind w:firstLine="1050" w:firstLineChars="500"/>
        <w:rPr>
          <w:rFonts w:ascii="Times New Roman" w:hAnsi="Times New Roman" w:eastAsia="方正小标宋简体"/>
          <w:kern w:val="0"/>
          <w:sz w:val="52"/>
          <w:szCs w:val="22"/>
        </w:rPr>
      </w:pPr>
      <w:r>
        <w:rPr>
          <w:rFonts w:ascii="Times New Roman" w:hAnsi="Times New Roman" w:eastAsia="Times New Roman"/>
          <w:kern w:val="0"/>
          <w:szCs w:val="22"/>
        </w:rPr>
        <mc:AlternateContent>
          <mc:Choice Requires="wps">
            <w:drawing>
              <wp:anchor distT="0" distB="0" distL="114300" distR="114300" simplePos="0" relativeHeight="251663360" behindDoc="0" locked="0" layoutInCell="1" allowOverlap="1">
                <wp:simplePos x="0" y="0"/>
                <wp:positionH relativeFrom="column">
                  <wp:posOffset>4803140</wp:posOffset>
                </wp:positionH>
                <wp:positionV relativeFrom="paragraph">
                  <wp:posOffset>300990</wp:posOffset>
                </wp:positionV>
                <wp:extent cx="752475" cy="400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52475" cy="400050"/>
                        </a:xfrm>
                        <a:prstGeom prst="rect">
                          <a:avLst/>
                        </a:prstGeom>
                        <a:noFill/>
                        <a:ln w="6350">
                          <a:noFill/>
                        </a:ln>
                        <a:effectLst/>
                      </wps:spPr>
                      <wps:txbx>
                        <w:txbxContent>
                          <w:p>
                            <w:pPr>
                              <w:rPr>
                                <w:rFonts w:ascii="Calibri" w:hAnsi="Calibri" w:eastAsia="宋体"/>
                                <w:szCs w:val="22"/>
                              </w:rPr>
                            </w:pPr>
                            <w:r>
                              <w:rPr>
                                <w:rFonts w:hint="eastAsia" w:ascii="黑体" w:hAnsi="黑体" w:eastAsia="黑体"/>
                                <w:kern w:val="0"/>
                                <w:sz w:val="28"/>
                              </w:rPr>
                              <w:t>发 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8.2pt;margin-top:23.7pt;height:31.5pt;width:59.25pt;z-index:251663360;mso-width-relative:page;mso-height-relative:page;" filled="f" stroked="f" coordsize="21600,21600" o:gfxdata="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PZHPdsAAAAKAQAADwAAAAAAAAABACAAAAAi&#10;AAAAZHJzL2Rvd25yZXYueG1sUEsBAhQAFAAAAAgAh07iQJ66yiVAAgAAcwQAAA4AAAAAAAAAAQAg&#10;AAAAKgEAAGRycy9lMm9Eb2MueG1sUEsFBgAAAAAGAAYAWQEAANwFAAAAAA==&#10;">
                <v:fill on="f" focussize="0,0"/>
                <v:stroke on="f" weight="0.5pt"/>
                <v:imagedata o:title=""/>
                <o:lock v:ext="edit" aspectratio="f"/>
                <v:textbox>
                  <w:txbxContent>
                    <w:p>
                      <w:pPr>
                        <w:rPr>
                          <w:rFonts w:ascii="Calibri" w:hAnsi="Calibri" w:eastAsia="宋体"/>
                          <w:szCs w:val="22"/>
                        </w:rPr>
                      </w:pPr>
                      <w:r>
                        <w:rPr>
                          <w:rFonts w:hint="eastAsia" w:ascii="黑体" w:hAnsi="黑体" w:eastAsia="黑体"/>
                          <w:kern w:val="0"/>
                          <w:sz w:val="28"/>
                        </w:rPr>
                        <w:t>发 布</w:t>
                      </w:r>
                    </w:p>
                  </w:txbxContent>
                </v:textbox>
              </v:shape>
            </w:pict>
          </mc:Fallback>
        </mc:AlternateContent>
      </w:r>
      <w:r>
        <w:rPr>
          <w:rFonts w:ascii="Times New Roman" w:hAnsi="Times New Roman" w:eastAsia="Times New Roman"/>
          <w:kern w:val="0"/>
          <w:szCs w:val="22"/>
        </w:rPr>
        <mc:AlternateContent>
          <mc:Choice Requires="wps">
            <w:drawing>
              <wp:anchor distT="0" distB="0" distL="114300" distR="114300" simplePos="0" relativeHeight="251665408" behindDoc="0" locked="0" layoutInCell="1" allowOverlap="1">
                <wp:simplePos x="0" y="0"/>
                <wp:positionH relativeFrom="column">
                  <wp:posOffset>48895</wp:posOffset>
                </wp:positionH>
                <wp:positionV relativeFrom="paragraph">
                  <wp:posOffset>275590</wp:posOffset>
                </wp:positionV>
                <wp:extent cx="582231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8223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5pt;margin-top:21.7pt;height:0pt;width:458.45pt;z-index:251665408;mso-width-relative:page;mso-height-relative:page;" filled="f" stroked="t" coordsize="21600,21600" o:gfxdata="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ieT71QAAAAcBAAAPAAAAAAAAAAEAIAAAACIAAABkcnMvZG93bnJldi54&#10;bWxQSwECFAAUAAAACACHTuJAiBdsWv0BAADsAwAADgAAAAAAAAABACAAAAAkAQAAZHJzL2Uyb0Rv&#10;Yy54bWxQSwUGAAAAAAYABgBZAQAAkwUAAAAA&#10;">
                <v:fill on="f" focussize="0,0"/>
                <v:stroke color="#000000" joinstyle="round"/>
                <v:imagedata o:title=""/>
                <o:lock v:ext="edit" aspectratio="f"/>
              </v:shape>
            </w:pict>
          </mc:Fallback>
        </mc:AlternateContent>
      </w:r>
      <w:r>
        <w:rPr>
          <w:rFonts w:ascii="Times New Roman" w:hAnsi="Times New Roman" w:eastAsia="方正小标宋简体"/>
          <w:kern w:val="0"/>
          <w:sz w:val="52"/>
          <w:szCs w:val="22"/>
        </w:rPr>
        <w:t>中 国 技 术 经 济 学 会</w:t>
      </w:r>
    </w:p>
    <w:p>
      <w:pPr>
        <w:ind w:firstLine="1040" w:firstLineChars="200"/>
        <w:rPr>
          <w:rFonts w:ascii="Times New Roman" w:hAnsi="Times New Roman" w:eastAsia="方正小标宋简体"/>
          <w:kern w:val="0"/>
          <w:sz w:val="52"/>
          <w:szCs w:val="52"/>
        </w:rPr>
      </w:pPr>
    </w:p>
    <w:p>
      <w:pPr>
        <w:rPr>
          <w:rFonts w:ascii="Times New Roman" w:hAnsi="Times New Roman" w:eastAsia="宋体"/>
          <w:kern w:val="0"/>
          <w:sz w:val="28"/>
          <w:szCs w:val="22"/>
        </w:rPr>
        <w:sectPr>
          <w:headerReference r:id="rId3" w:type="default"/>
          <w:headerReference r:id="rId4" w:type="even"/>
          <w:footerReference r:id="rId5" w:type="even"/>
          <w:pgSz w:w="11906" w:h="16838"/>
          <w:pgMar w:top="567" w:right="1134" w:bottom="1134" w:left="1418" w:header="57" w:footer="1134" w:gutter="0"/>
          <w:pgNumType w:fmt="upperRoman" w:start="1"/>
          <w:cols w:space="720" w:num="1"/>
          <w:formProt w:val="0"/>
          <w:titlePg/>
          <w:docGrid w:type="lines" w:linePitch="312" w:charSpace="0"/>
        </w:sectPr>
      </w:pPr>
    </w:p>
    <w:p>
      <w:pPr>
        <w:pStyle w:val="2"/>
        <w:jc w:val="center"/>
        <w:rPr>
          <w:rFonts w:eastAsia="黑体"/>
          <w:sz w:val="32"/>
        </w:rPr>
      </w:pPr>
      <w:bookmarkStart w:id="0" w:name="_Toc32491"/>
      <w:bookmarkStart w:id="1" w:name="_Toc24769"/>
      <w:bookmarkStart w:id="2" w:name="_Toc424638183"/>
      <w:r>
        <w:rPr>
          <w:rFonts w:eastAsia="黑体"/>
          <w:sz w:val="32"/>
        </w:rPr>
        <w:t>目  次</w:t>
      </w:r>
      <w:bookmarkEnd w:id="0"/>
      <w:bookmarkEnd w:id="1"/>
    </w:p>
    <w:p>
      <w:pPr>
        <w:pStyle w:val="6"/>
        <w:tabs>
          <w:tab w:val="right" w:leader="dot" w:pos="8307"/>
          <w:tab w:val="clear" w:pos="9241"/>
        </w:tabs>
      </w:pPr>
      <w:r>
        <w:rPr>
          <w:rFonts w:ascii="Times New Roman"/>
        </w:rPr>
        <w:fldChar w:fldCharType="begin"/>
      </w:r>
      <w:r>
        <w:rPr>
          <w:rFonts w:ascii="Times New Roman"/>
        </w:rPr>
        <w:instrText xml:space="preserve"> TOC \o "1-3" \h \z \u </w:instrText>
      </w:r>
      <w:r>
        <w:rPr>
          <w:rFonts w:ascii="Times New Roman"/>
        </w:rPr>
        <w:fldChar w:fldCharType="separate"/>
      </w:r>
      <w:r>
        <w:rPr>
          <w:rFonts w:ascii="Times New Roman"/>
        </w:rPr>
        <w:fldChar w:fldCharType="begin"/>
      </w:r>
      <w:r>
        <w:rPr>
          <w:rFonts w:ascii="Times New Roman"/>
        </w:rPr>
        <w:instrText xml:space="preserve"> HYPERLINK \l _Toc24769 </w:instrText>
      </w:r>
      <w:r>
        <w:rPr>
          <w:rFonts w:ascii="Times New Roman"/>
        </w:rPr>
        <w:fldChar w:fldCharType="separate"/>
      </w:r>
      <w:r>
        <w:rPr>
          <w:rFonts w:eastAsia="黑体"/>
        </w:rPr>
        <w:t>目  次</w:t>
      </w:r>
      <w:r>
        <w:tab/>
      </w:r>
      <w:r>
        <w:fldChar w:fldCharType="begin"/>
      </w:r>
      <w:r>
        <w:instrText xml:space="preserve"> PAGEREF _Toc24769 \h </w:instrText>
      </w:r>
      <w:r>
        <w:fldChar w:fldCharType="separate"/>
      </w:r>
      <w:r>
        <w:t>I</w:t>
      </w:r>
      <w:r>
        <w:fldChar w:fldCharType="end"/>
      </w:r>
      <w:r>
        <w:rPr>
          <w:rFonts w:ascii="Times New Roman"/>
        </w:rPr>
        <w:fldChar w:fldCharType="end"/>
      </w:r>
    </w:p>
    <w:p>
      <w:pPr>
        <w:pStyle w:val="7"/>
        <w:tabs>
          <w:tab w:val="right" w:leader="dot" w:pos="8307"/>
          <w:tab w:val="clear" w:pos="9241"/>
        </w:tabs>
      </w:pPr>
      <w:r>
        <w:rPr>
          <w:rFonts w:ascii="Times New Roman"/>
          <w:bCs/>
          <w:szCs w:val="21"/>
          <w:lang w:val="zh-CN"/>
        </w:rPr>
        <w:fldChar w:fldCharType="begin"/>
      </w:r>
      <w:r>
        <w:rPr>
          <w:rFonts w:ascii="Times New Roman"/>
          <w:bCs/>
          <w:szCs w:val="21"/>
          <w:lang w:val="zh-CN"/>
        </w:rPr>
        <w:instrText xml:space="preserve"> HYPERLINK \l _Toc27500 </w:instrText>
      </w:r>
      <w:r>
        <w:rPr>
          <w:rFonts w:ascii="Times New Roman"/>
          <w:bCs/>
          <w:szCs w:val="21"/>
          <w:lang w:val="zh-CN"/>
        </w:rPr>
        <w:fldChar w:fldCharType="separate"/>
      </w:r>
      <w:r>
        <w:rPr>
          <w:rFonts w:ascii="Times New Roman"/>
        </w:rPr>
        <w:t>1. 范围</w:t>
      </w:r>
      <w:r>
        <w:tab/>
      </w:r>
      <w:r>
        <w:fldChar w:fldCharType="begin"/>
      </w:r>
      <w:r>
        <w:instrText xml:space="preserve"> PAGEREF _Toc27500 \h </w:instrText>
      </w:r>
      <w:r>
        <w:fldChar w:fldCharType="separate"/>
      </w:r>
      <w:r>
        <w:t>- 1 -</w:t>
      </w:r>
      <w:r>
        <w:fldChar w:fldCharType="end"/>
      </w:r>
      <w:r>
        <w:rPr>
          <w:rFonts w:ascii="Times New Roman"/>
          <w:bCs/>
          <w:szCs w:val="21"/>
          <w:lang w:val="zh-CN"/>
        </w:rPr>
        <w:fldChar w:fldCharType="end"/>
      </w:r>
    </w:p>
    <w:p>
      <w:pPr>
        <w:pStyle w:val="7"/>
        <w:tabs>
          <w:tab w:val="right" w:leader="dot" w:pos="8307"/>
          <w:tab w:val="clear" w:pos="9241"/>
        </w:tabs>
      </w:pPr>
      <w:r>
        <w:rPr>
          <w:rFonts w:ascii="Times New Roman"/>
          <w:bCs/>
          <w:szCs w:val="21"/>
          <w:lang w:val="zh-CN"/>
        </w:rPr>
        <w:fldChar w:fldCharType="begin"/>
      </w:r>
      <w:r>
        <w:rPr>
          <w:rFonts w:ascii="Times New Roman"/>
          <w:bCs/>
          <w:szCs w:val="21"/>
          <w:lang w:val="zh-CN"/>
        </w:rPr>
        <w:instrText xml:space="preserve"> HYPERLINK \l _Toc5417 </w:instrText>
      </w:r>
      <w:r>
        <w:rPr>
          <w:rFonts w:ascii="Times New Roman"/>
          <w:bCs/>
          <w:szCs w:val="21"/>
          <w:lang w:val="zh-CN"/>
        </w:rPr>
        <w:fldChar w:fldCharType="separate"/>
      </w:r>
      <w:r>
        <w:rPr>
          <w:rFonts w:ascii="Times New Roman"/>
        </w:rPr>
        <w:t>2. 规范性引用文件</w:t>
      </w:r>
      <w:r>
        <w:tab/>
      </w:r>
      <w:r>
        <w:fldChar w:fldCharType="begin"/>
      </w:r>
      <w:r>
        <w:instrText xml:space="preserve"> PAGEREF _Toc5417 \h </w:instrText>
      </w:r>
      <w:r>
        <w:fldChar w:fldCharType="separate"/>
      </w:r>
      <w:r>
        <w:t>- 1 -</w:t>
      </w:r>
      <w:r>
        <w:fldChar w:fldCharType="end"/>
      </w:r>
      <w:r>
        <w:rPr>
          <w:rFonts w:ascii="Times New Roman"/>
          <w:bCs/>
          <w:szCs w:val="21"/>
          <w:lang w:val="zh-CN"/>
        </w:rPr>
        <w:fldChar w:fldCharType="end"/>
      </w:r>
    </w:p>
    <w:p>
      <w:pPr>
        <w:pStyle w:val="7"/>
        <w:tabs>
          <w:tab w:val="right" w:leader="dot" w:pos="8307"/>
          <w:tab w:val="clear" w:pos="9241"/>
        </w:tabs>
      </w:pPr>
      <w:r>
        <w:rPr>
          <w:rFonts w:ascii="Times New Roman"/>
          <w:bCs/>
          <w:szCs w:val="21"/>
          <w:lang w:val="zh-CN"/>
        </w:rPr>
        <w:fldChar w:fldCharType="begin"/>
      </w:r>
      <w:r>
        <w:rPr>
          <w:rFonts w:ascii="Times New Roman"/>
          <w:bCs/>
          <w:szCs w:val="21"/>
          <w:lang w:val="zh-CN"/>
        </w:rPr>
        <w:instrText xml:space="preserve"> HYPERLINK \l _Toc24360 </w:instrText>
      </w:r>
      <w:r>
        <w:rPr>
          <w:rFonts w:ascii="Times New Roman"/>
          <w:bCs/>
          <w:szCs w:val="21"/>
          <w:lang w:val="zh-CN"/>
        </w:rPr>
        <w:fldChar w:fldCharType="separate"/>
      </w:r>
      <w:r>
        <w:rPr>
          <w:rFonts w:ascii="Times New Roman"/>
        </w:rPr>
        <w:t>3. 术语和定义</w:t>
      </w:r>
      <w:r>
        <w:tab/>
      </w:r>
      <w:r>
        <w:fldChar w:fldCharType="begin"/>
      </w:r>
      <w:r>
        <w:instrText xml:space="preserve"> PAGEREF _Toc24360 \h </w:instrText>
      </w:r>
      <w:r>
        <w:fldChar w:fldCharType="separate"/>
      </w:r>
      <w:r>
        <w:t>- 1 -</w:t>
      </w:r>
      <w:r>
        <w:fldChar w:fldCharType="end"/>
      </w:r>
      <w:r>
        <w:rPr>
          <w:rFonts w:ascii="Times New Roman"/>
          <w:bCs/>
          <w:szCs w:val="21"/>
          <w:lang w:val="zh-CN"/>
        </w:rPr>
        <w:fldChar w:fldCharType="end"/>
      </w:r>
    </w:p>
    <w:p>
      <w:pPr>
        <w:pStyle w:val="7"/>
        <w:tabs>
          <w:tab w:val="right" w:leader="dot" w:pos="8307"/>
          <w:tab w:val="clear" w:pos="9241"/>
        </w:tabs>
      </w:pPr>
      <w:r>
        <w:rPr>
          <w:rFonts w:ascii="Times New Roman"/>
          <w:bCs/>
          <w:szCs w:val="21"/>
          <w:lang w:val="zh-CN"/>
        </w:rPr>
        <w:fldChar w:fldCharType="begin"/>
      </w:r>
      <w:r>
        <w:rPr>
          <w:rFonts w:ascii="Times New Roman"/>
          <w:bCs/>
          <w:szCs w:val="21"/>
          <w:lang w:val="zh-CN"/>
        </w:rPr>
        <w:instrText xml:space="preserve"> HYPERLINK \l _Toc12607 </w:instrText>
      </w:r>
      <w:r>
        <w:rPr>
          <w:rFonts w:ascii="Times New Roman"/>
          <w:bCs/>
          <w:szCs w:val="21"/>
          <w:lang w:val="zh-CN"/>
        </w:rPr>
        <w:fldChar w:fldCharType="separate"/>
      </w:r>
      <w:r>
        <w:rPr>
          <w:rFonts w:ascii="Times New Roman"/>
        </w:rPr>
        <w:t>4. 评价要求</w:t>
      </w:r>
      <w:r>
        <w:tab/>
      </w:r>
      <w:r>
        <w:fldChar w:fldCharType="begin"/>
      </w:r>
      <w:r>
        <w:instrText xml:space="preserve"> PAGEREF _Toc12607 \h </w:instrText>
      </w:r>
      <w:r>
        <w:fldChar w:fldCharType="separate"/>
      </w:r>
      <w:r>
        <w:t>- 2 -</w:t>
      </w:r>
      <w:r>
        <w:fldChar w:fldCharType="end"/>
      </w:r>
      <w:r>
        <w:rPr>
          <w:rFonts w:ascii="Times New Roman"/>
          <w:bCs/>
          <w:szCs w:val="21"/>
          <w:lang w:val="zh-CN"/>
        </w:rPr>
        <w:fldChar w:fldCharType="end"/>
      </w:r>
    </w:p>
    <w:p>
      <w:pPr>
        <w:pStyle w:val="7"/>
        <w:tabs>
          <w:tab w:val="right" w:leader="dot" w:pos="8307"/>
          <w:tab w:val="clear" w:pos="9241"/>
        </w:tabs>
      </w:pPr>
      <w:r>
        <w:rPr>
          <w:rFonts w:ascii="Times New Roman"/>
          <w:bCs/>
          <w:szCs w:val="21"/>
          <w:lang w:val="zh-CN"/>
        </w:rPr>
        <w:fldChar w:fldCharType="begin"/>
      </w:r>
      <w:r>
        <w:rPr>
          <w:rFonts w:ascii="Times New Roman"/>
          <w:bCs/>
          <w:szCs w:val="21"/>
          <w:lang w:val="zh-CN"/>
        </w:rPr>
        <w:instrText xml:space="preserve"> HYPERLINK \l _Toc19247 </w:instrText>
      </w:r>
      <w:r>
        <w:rPr>
          <w:rFonts w:ascii="Times New Roman"/>
          <w:bCs/>
          <w:szCs w:val="21"/>
          <w:lang w:val="zh-CN"/>
        </w:rPr>
        <w:fldChar w:fldCharType="separate"/>
      </w:r>
      <w:r>
        <w:t xml:space="preserve">5. </w:t>
      </w:r>
      <w:r>
        <w:rPr>
          <w:rFonts w:hint="eastAsia"/>
        </w:rPr>
        <w:t>产品生命周期评价报告编制方法</w:t>
      </w:r>
      <w:r>
        <w:tab/>
      </w:r>
      <w:r>
        <w:fldChar w:fldCharType="begin"/>
      </w:r>
      <w:r>
        <w:instrText xml:space="preserve"> PAGEREF _Toc19247 \h </w:instrText>
      </w:r>
      <w:r>
        <w:fldChar w:fldCharType="separate"/>
      </w:r>
      <w:r>
        <w:t>- 3 -</w:t>
      </w:r>
      <w:r>
        <w:fldChar w:fldCharType="end"/>
      </w:r>
      <w:r>
        <w:rPr>
          <w:rFonts w:ascii="Times New Roman"/>
          <w:bCs/>
          <w:szCs w:val="21"/>
          <w:lang w:val="zh-CN"/>
        </w:rPr>
        <w:fldChar w:fldCharType="end"/>
      </w:r>
    </w:p>
    <w:p>
      <w:pPr>
        <w:pStyle w:val="7"/>
        <w:tabs>
          <w:tab w:val="right" w:leader="dot" w:pos="8307"/>
          <w:tab w:val="clear" w:pos="9241"/>
        </w:tabs>
      </w:pPr>
      <w:r>
        <w:rPr>
          <w:rFonts w:ascii="Times New Roman"/>
          <w:bCs/>
          <w:szCs w:val="21"/>
          <w:lang w:val="zh-CN"/>
        </w:rPr>
        <w:fldChar w:fldCharType="begin"/>
      </w:r>
      <w:r>
        <w:rPr>
          <w:rFonts w:ascii="Times New Roman"/>
          <w:bCs/>
          <w:szCs w:val="21"/>
          <w:lang w:val="zh-CN"/>
        </w:rPr>
        <w:instrText xml:space="preserve"> HYPERLINK \l _Toc7937 </w:instrText>
      </w:r>
      <w:r>
        <w:rPr>
          <w:rFonts w:ascii="Times New Roman"/>
          <w:bCs/>
          <w:szCs w:val="21"/>
          <w:lang w:val="zh-CN"/>
        </w:rPr>
        <w:fldChar w:fldCharType="separate"/>
      </w:r>
      <w:r>
        <w:t xml:space="preserve">6. </w:t>
      </w:r>
      <w:r>
        <w:rPr>
          <w:rFonts w:hint="eastAsia"/>
        </w:rPr>
        <w:t>评价方法</w:t>
      </w:r>
      <w:r>
        <w:tab/>
      </w:r>
      <w:r>
        <w:fldChar w:fldCharType="begin"/>
      </w:r>
      <w:r>
        <w:instrText xml:space="preserve"> PAGEREF _Toc7937 \h </w:instrText>
      </w:r>
      <w:r>
        <w:fldChar w:fldCharType="separate"/>
      </w:r>
      <w:r>
        <w:t>- 4 -</w:t>
      </w:r>
      <w:r>
        <w:fldChar w:fldCharType="end"/>
      </w:r>
      <w:r>
        <w:rPr>
          <w:rFonts w:ascii="Times New Roman"/>
          <w:bCs/>
          <w:szCs w:val="21"/>
          <w:lang w:val="zh-CN"/>
        </w:rPr>
        <w:fldChar w:fldCharType="end"/>
      </w:r>
    </w:p>
    <w:p>
      <w:pPr>
        <w:pStyle w:val="7"/>
        <w:tabs>
          <w:tab w:val="right" w:leader="dot" w:pos="8307"/>
          <w:tab w:val="clear" w:pos="9241"/>
        </w:tabs>
      </w:pPr>
      <w:r>
        <w:rPr>
          <w:rFonts w:ascii="Times New Roman"/>
          <w:bCs/>
          <w:szCs w:val="21"/>
          <w:lang w:val="zh-CN"/>
        </w:rPr>
        <w:fldChar w:fldCharType="begin"/>
      </w:r>
      <w:r>
        <w:rPr>
          <w:rFonts w:ascii="Times New Roman"/>
          <w:bCs/>
          <w:szCs w:val="21"/>
          <w:lang w:val="zh-CN"/>
        </w:rPr>
        <w:instrText xml:space="preserve"> HYPERLINK \l _Toc10010 </w:instrText>
      </w:r>
      <w:r>
        <w:rPr>
          <w:rFonts w:ascii="Times New Roman"/>
          <w:bCs/>
          <w:szCs w:val="21"/>
          <w:lang w:val="zh-CN"/>
        </w:rPr>
        <w:fldChar w:fldCharType="separate"/>
      </w:r>
      <w:r>
        <w:rPr>
          <w:rFonts w:hint="eastAsia"/>
        </w:rPr>
        <w:t>附录A</w:t>
      </w:r>
      <w:r>
        <w:t xml:space="preserve"> </w:t>
      </w:r>
      <w:r>
        <w:rPr>
          <w:rFonts w:hint="eastAsia"/>
        </w:rPr>
        <w:t>（规范性附录）</w:t>
      </w:r>
      <w:r>
        <w:t xml:space="preserve"> </w:t>
      </w:r>
      <w:r>
        <w:rPr>
          <w:rFonts w:hint="eastAsia"/>
        </w:rPr>
        <w:t>检验方法和指标计算方法</w:t>
      </w:r>
      <w:r>
        <w:tab/>
      </w:r>
      <w:r>
        <w:fldChar w:fldCharType="begin"/>
      </w:r>
      <w:r>
        <w:instrText xml:space="preserve"> PAGEREF _Toc10010 \h </w:instrText>
      </w:r>
      <w:r>
        <w:fldChar w:fldCharType="separate"/>
      </w:r>
      <w:r>
        <w:t>- 6 -</w:t>
      </w:r>
      <w:r>
        <w:fldChar w:fldCharType="end"/>
      </w:r>
      <w:r>
        <w:rPr>
          <w:rFonts w:ascii="Times New Roman"/>
          <w:bCs/>
          <w:szCs w:val="21"/>
          <w:lang w:val="zh-CN"/>
        </w:rPr>
        <w:fldChar w:fldCharType="end"/>
      </w:r>
    </w:p>
    <w:p>
      <w:pPr>
        <w:pStyle w:val="7"/>
        <w:tabs>
          <w:tab w:val="right" w:leader="dot" w:pos="8307"/>
          <w:tab w:val="clear" w:pos="9241"/>
        </w:tabs>
      </w:pPr>
      <w:r>
        <w:rPr>
          <w:rFonts w:ascii="Times New Roman"/>
          <w:bCs/>
          <w:szCs w:val="21"/>
          <w:lang w:val="zh-CN"/>
        </w:rPr>
        <w:fldChar w:fldCharType="begin"/>
      </w:r>
      <w:r>
        <w:rPr>
          <w:rFonts w:ascii="Times New Roman"/>
          <w:bCs/>
          <w:szCs w:val="21"/>
          <w:lang w:val="zh-CN"/>
        </w:rPr>
        <w:instrText xml:space="preserve"> HYPERLINK \l _Toc27413 </w:instrText>
      </w:r>
      <w:r>
        <w:rPr>
          <w:rFonts w:ascii="Times New Roman"/>
          <w:bCs/>
          <w:szCs w:val="21"/>
          <w:lang w:val="zh-CN"/>
        </w:rPr>
        <w:fldChar w:fldCharType="separate"/>
      </w:r>
      <w:r>
        <w:rPr>
          <w:rFonts w:hint="eastAsia"/>
        </w:rPr>
        <w:t>附录B</w:t>
      </w:r>
      <w:r>
        <w:t xml:space="preserve"> </w:t>
      </w:r>
      <w:r>
        <w:rPr>
          <w:rFonts w:hint="eastAsia"/>
        </w:rPr>
        <w:t>（资料性附录）</w:t>
      </w:r>
      <w:r>
        <w:t xml:space="preserve"> </w:t>
      </w:r>
      <w:r>
        <w:rPr>
          <w:rFonts w:hint="eastAsia"/>
          <w:lang w:val="en-US" w:eastAsia="zh-CN"/>
        </w:rPr>
        <w:t>职业用鞋靴</w:t>
      </w:r>
      <w:r>
        <w:rPr>
          <w:rFonts w:hint="eastAsia"/>
        </w:rPr>
        <w:t>生命周期评价方法</w:t>
      </w:r>
      <w:r>
        <w:tab/>
      </w:r>
      <w:r>
        <w:fldChar w:fldCharType="begin"/>
      </w:r>
      <w:r>
        <w:instrText xml:space="preserve"> PAGEREF _Toc27413 \h </w:instrText>
      </w:r>
      <w:r>
        <w:fldChar w:fldCharType="separate"/>
      </w:r>
      <w:r>
        <w:t>- 7 -</w:t>
      </w:r>
      <w:r>
        <w:fldChar w:fldCharType="end"/>
      </w:r>
      <w:r>
        <w:rPr>
          <w:rFonts w:ascii="Times New Roman"/>
          <w:bCs/>
          <w:szCs w:val="21"/>
          <w:lang w:val="zh-CN"/>
        </w:rPr>
        <w:fldChar w:fldCharType="end"/>
      </w:r>
    </w:p>
    <w:p>
      <w:pPr>
        <w:pStyle w:val="12"/>
        <w:ind w:firstLine="422"/>
        <w:rPr>
          <w:rFonts w:ascii="Times New Roman"/>
          <w:b/>
          <w:bCs/>
          <w:szCs w:val="21"/>
          <w:lang w:val="zh-CN"/>
        </w:rPr>
      </w:pPr>
      <w:r>
        <w:rPr>
          <w:rFonts w:ascii="Times New Roman"/>
          <w:bCs/>
          <w:szCs w:val="21"/>
          <w:lang w:val="zh-CN"/>
        </w:rPr>
        <w:fldChar w:fldCharType="end"/>
      </w:r>
    </w:p>
    <w:p>
      <w:pPr>
        <w:jc w:val="left"/>
        <w:rPr>
          <w:rFonts w:ascii="Times New Roman" w:hAnsi="Times New Roman"/>
        </w:rPr>
      </w:pPr>
      <w:r>
        <w:rPr>
          <w:rFonts w:ascii="Times New Roman" w:hAnsi="Times New Roman"/>
          <w:b/>
          <w:bCs/>
          <w:szCs w:val="21"/>
          <w:lang w:val="zh-CN"/>
        </w:rPr>
        <w:br w:type="page"/>
      </w:r>
      <w:bookmarkStart w:id="128" w:name="_GoBack"/>
      <w:bookmarkEnd w:id="128"/>
    </w:p>
    <w:p>
      <w:pPr>
        <w:jc w:val="center"/>
        <w:rPr>
          <w:rFonts w:ascii="Times New Roman" w:hAnsi="Times New Roman" w:eastAsia="黑体"/>
          <w:kern w:val="0"/>
          <w:sz w:val="32"/>
          <w:szCs w:val="22"/>
          <w:lang w:val="fr-FR"/>
        </w:rPr>
      </w:pPr>
      <w:r>
        <w:rPr>
          <w:rFonts w:ascii="Times New Roman" w:hAnsi="Times New Roman" w:eastAsia="黑体"/>
          <w:kern w:val="0"/>
          <w:sz w:val="32"/>
          <w:szCs w:val="22"/>
          <w:lang w:val="fr-FR"/>
        </w:rPr>
        <w:t>前  言</w:t>
      </w:r>
    </w:p>
    <w:p>
      <w:pPr>
        <w:jc w:val="center"/>
        <w:rPr>
          <w:rFonts w:ascii="Times New Roman" w:hAnsi="Times New Roman" w:eastAsia="黑体"/>
          <w:kern w:val="0"/>
          <w:sz w:val="32"/>
          <w:szCs w:val="22"/>
          <w:lang w:val="fr-FR"/>
        </w:rPr>
      </w:pPr>
    </w:p>
    <w:p>
      <w:pPr>
        <w:jc w:val="center"/>
        <w:rPr>
          <w:rFonts w:ascii="Times New Roman" w:hAnsi="Times New Roman" w:eastAsia="黑体"/>
          <w:kern w:val="0"/>
          <w:sz w:val="32"/>
          <w:szCs w:val="22"/>
          <w:lang w:val="fr-FR"/>
        </w:rPr>
      </w:pPr>
    </w:p>
    <w:p>
      <w:pPr>
        <w:spacing w:line="360" w:lineRule="auto"/>
        <w:ind w:firstLine="420"/>
        <w:rPr>
          <w:rFonts w:ascii="Times New Roman" w:hAnsi="Times New Roman" w:eastAsia="宋体"/>
        </w:rPr>
      </w:pPr>
      <w:r>
        <w:rPr>
          <w:rFonts w:ascii="Times New Roman" w:hAnsi="Times New Roman" w:eastAsia="宋体"/>
        </w:rPr>
        <w:t>本文件按照GB/T 1.1—2020《标准化工作导则  第1部分：标准化文件的结构和起草规则》的规定起草。</w:t>
      </w:r>
    </w:p>
    <w:p>
      <w:pPr>
        <w:spacing w:line="360" w:lineRule="auto"/>
        <w:ind w:firstLine="420"/>
        <w:rPr>
          <w:rFonts w:ascii="Times New Roman" w:hAnsi="Times New Roman" w:eastAsia="宋体"/>
        </w:rPr>
      </w:pPr>
      <w:r>
        <w:rPr>
          <w:rFonts w:ascii="Times New Roman" w:hAnsi="Times New Roman" w:eastAsia="宋体"/>
        </w:rPr>
        <w:t>请注意本文件的某些内容可能涉及专利。本文件的发布机构不承担识别专利的责任。</w:t>
      </w:r>
    </w:p>
    <w:p>
      <w:pPr>
        <w:spacing w:line="360" w:lineRule="auto"/>
        <w:ind w:firstLine="420"/>
        <w:rPr>
          <w:rFonts w:ascii="Times New Roman" w:hAnsi="Times New Roman" w:eastAsia="宋体"/>
        </w:rPr>
      </w:pPr>
      <w:r>
        <w:rPr>
          <w:rFonts w:ascii="Times New Roman" w:hAnsi="Times New Roman" w:eastAsia="宋体"/>
        </w:rPr>
        <w:t>本文件由</w:t>
      </w:r>
      <w:r>
        <w:rPr>
          <w:rFonts w:hint="eastAsia" w:ascii="Times New Roman" w:hAnsi="Times New Roman" w:eastAsia="宋体"/>
        </w:rPr>
        <w:t>中国技术经济学会</w:t>
      </w:r>
      <w:r>
        <w:rPr>
          <w:rFonts w:ascii="Times New Roman" w:hAnsi="Times New Roman" w:eastAsia="宋体"/>
        </w:rPr>
        <w:t>提出并归口。</w:t>
      </w:r>
    </w:p>
    <w:p>
      <w:pPr>
        <w:spacing w:line="360" w:lineRule="auto"/>
        <w:ind w:firstLine="420"/>
        <w:rPr>
          <w:rFonts w:ascii="Times New Roman" w:hAnsi="Times New Roman" w:eastAsia="宋体"/>
        </w:rPr>
      </w:pPr>
      <w:r>
        <w:rPr>
          <w:rFonts w:ascii="Times New Roman" w:hAnsi="Times New Roman" w:eastAsia="宋体"/>
        </w:rPr>
        <w:t>本文件起草单位：</w:t>
      </w:r>
      <w:r>
        <w:rPr>
          <w:rFonts w:hint="eastAsia" w:ascii="Times New Roman" w:hAnsi="Times New Roman" w:eastAsia="宋体"/>
        </w:rPr>
        <w:t>际华三五一七橡胶制品有限公司</w:t>
      </w:r>
    </w:p>
    <w:p>
      <w:pPr>
        <w:spacing w:line="360" w:lineRule="auto"/>
        <w:ind w:firstLine="420"/>
        <w:rPr>
          <w:rFonts w:ascii="Times New Roman" w:hAnsi="Times New Roman" w:eastAsia="宋体"/>
        </w:rPr>
      </w:pPr>
      <w:r>
        <w:rPr>
          <w:rFonts w:ascii="Times New Roman" w:hAnsi="Times New Roman" w:eastAsia="宋体"/>
        </w:rPr>
        <w:t xml:space="preserve">本文件主要起草人： </w:t>
      </w:r>
    </w:p>
    <w:p>
      <w:pPr>
        <w:spacing w:line="360" w:lineRule="auto"/>
        <w:ind w:firstLine="420"/>
        <w:rPr>
          <w:rFonts w:ascii="Times New Roman" w:hAnsi="Times New Roman" w:eastAsia="宋体"/>
        </w:rPr>
        <w:sectPr>
          <w:headerReference r:id="rId8" w:type="first"/>
          <w:headerReference r:id="rId6" w:type="default"/>
          <w:footerReference r:id="rId9" w:type="default"/>
          <w:headerReference r:id="rId7" w:type="even"/>
          <w:pgSz w:w="11907" w:h="16839"/>
          <w:pgMar w:top="1440" w:right="1800" w:bottom="1440" w:left="1800" w:header="993" w:footer="851" w:gutter="0"/>
          <w:pgNumType w:fmt="upperRoman" w:start="1"/>
          <w:cols w:space="720" w:num="1"/>
          <w:docGrid w:linePitch="312" w:charSpace="0"/>
        </w:sectPr>
      </w:pPr>
      <w:r>
        <w:rPr>
          <w:rFonts w:ascii="Times New Roman" w:hAnsi="Times New Roman" w:eastAsia="宋体"/>
        </w:rPr>
        <w:t>本文件为首次发布。</w:t>
      </w:r>
    </w:p>
    <w:bookmarkEnd w:id="2"/>
    <w:p>
      <w:pPr>
        <w:pStyle w:val="12"/>
        <w:spacing w:before="240" w:beforeLines="100" w:after="240" w:afterLines="100"/>
        <w:ind w:firstLine="0" w:firstLineChars="0"/>
        <w:jc w:val="center"/>
        <w:rPr>
          <w:rFonts w:hint="eastAsia" w:ascii="Times New Roman" w:eastAsia="黑体"/>
          <w:sz w:val="32"/>
          <w:szCs w:val="32"/>
          <w:lang w:eastAsia="zh-CN"/>
        </w:rPr>
      </w:pPr>
      <w:r>
        <w:rPr>
          <w:rFonts w:ascii="Times New Roman" w:eastAsia="黑体"/>
          <w:sz w:val="32"/>
          <w:szCs w:val="32"/>
        </w:rPr>
        <w:t>绿色设计产品评价技术规范</w:t>
      </w:r>
      <w:r>
        <w:rPr>
          <w:rFonts w:hint="eastAsia" w:ascii="Times New Roman" w:eastAsia="黑体"/>
          <w:sz w:val="32"/>
          <w:szCs w:val="32"/>
        </w:rPr>
        <w:t xml:space="preserve"> </w:t>
      </w:r>
      <w:r>
        <w:rPr>
          <w:rFonts w:hint="eastAsia" w:ascii="Times New Roman" w:eastAsia="黑体"/>
          <w:sz w:val="32"/>
          <w:szCs w:val="32"/>
          <w:lang w:val="en-US" w:eastAsia="zh-CN"/>
        </w:rPr>
        <w:t>职业用鞋靴</w:t>
      </w:r>
    </w:p>
    <w:p>
      <w:pPr>
        <w:pStyle w:val="13"/>
        <w:numPr>
          <w:ilvl w:val="0"/>
          <w:numId w:val="4"/>
        </w:numPr>
        <w:spacing w:before="240" w:beforeLines="100" w:after="240" w:afterLines="100"/>
        <w:rPr>
          <w:rFonts w:ascii="Times New Roman"/>
        </w:rPr>
      </w:pPr>
      <w:bookmarkStart w:id="3" w:name="_Toc424638184"/>
      <w:bookmarkStart w:id="4" w:name="_Toc27500"/>
      <w:r>
        <w:rPr>
          <w:rFonts w:ascii="Times New Roman"/>
        </w:rPr>
        <w:t>范围</w:t>
      </w:r>
      <w:bookmarkEnd w:id="3"/>
      <w:bookmarkEnd w:id="4"/>
    </w:p>
    <w:p>
      <w:pPr>
        <w:pStyle w:val="12"/>
        <w:tabs>
          <w:tab w:val="center" w:pos="4201"/>
          <w:tab w:val="right" w:leader="dot" w:pos="9298"/>
        </w:tabs>
        <w:ind w:firstLine="420"/>
        <w:rPr>
          <w:rFonts w:ascii="Times New Roman"/>
          <w:kern w:val="0"/>
          <w:szCs w:val="21"/>
        </w:rPr>
      </w:pPr>
      <w:r>
        <w:rPr>
          <w:rFonts w:ascii="Times New Roman"/>
          <w:kern w:val="0"/>
          <w:szCs w:val="21"/>
        </w:rPr>
        <w:t>本</w:t>
      </w:r>
      <w:r>
        <w:rPr>
          <w:rFonts w:hint="eastAsia" w:ascii="Times New Roman"/>
          <w:kern w:val="0"/>
          <w:szCs w:val="21"/>
        </w:rPr>
        <w:t>标准给出了</w:t>
      </w:r>
      <w:r>
        <w:rPr>
          <w:rFonts w:hint="eastAsia" w:ascii="Times New Roman"/>
          <w:kern w:val="0"/>
          <w:szCs w:val="21"/>
          <w:lang w:val="en-US" w:eastAsia="zh-CN"/>
        </w:rPr>
        <w:t>职业用鞋靴</w:t>
      </w:r>
      <w:r>
        <w:rPr>
          <w:rFonts w:hint="eastAsia" w:ascii="Times New Roman"/>
          <w:kern w:val="0"/>
          <w:szCs w:val="21"/>
        </w:rPr>
        <w:t>生命周期绿色设计评价的术语和定义、评价要求、自评价报告编写要求、产品生命周期评价报告编写要求和绿色设计产品判定依据。</w:t>
      </w:r>
    </w:p>
    <w:p>
      <w:pPr>
        <w:pStyle w:val="12"/>
        <w:tabs>
          <w:tab w:val="center" w:pos="4201"/>
          <w:tab w:val="right" w:leader="dot" w:pos="9298"/>
        </w:tabs>
        <w:ind w:firstLine="420"/>
        <w:rPr>
          <w:rFonts w:hint="eastAsia" w:ascii="Times New Roman"/>
          <w:kern w:val="0"/>
          <w:szCs w:val="21"/>
        </w:rPr>
      </w:pPr>
      <w:r>
        <w:rPr>
          <w:rFonts w:hint="eastAsia" w:ascii="Times New Roman"/>
          <w:kern w:val="0"/>
          <w:szCs w:val="21"/>
        </w:rPr>
        <w:t>本</w:t>
      </w:r>
      <w:r>
        <w:rPr>
          <w:rFonts w:hint="eastAsia" w:ascii="Times New Roman"/>
          <w:kern w:val="0"/>
          <w:szCs w:val="21"/>
          <w:lang w:val="en-US" w:eastAsia="zh-CN"/>
        </w:rPr>
        <w:t>标准</w:t>
      </w:r>
      <w:r>
        <w:rPr>
          <w:rFonts w:hint="eastAsia" w:ascii="Times New Roman"/>
          <w:kern w:val="0"/>
          <w:szCs w:val="21"/>
        </w:rPr>
        <w:t>适用于因工作环境或工作性质的特殊性，出于</w:t>
      </w:r>
      <w:r>
        <w:rPr>
          <w:rFonts w:hint="eastAsia" w:ascii="Times New Roman"/>
          <w:kern w:val="0"/>
          <w:szCs w:val="21"/>
          <w:lang w:val="en-US" w:eastAsia="zh-CN"/>
        </w:rPr>
        <w:t>满足穿着者职业统一着装要求或</w:t>
      </w:r>
      <w:r>
        <w:rPr>
          <w:rFonts w:hint="eastAsia" w:ascii="Times New Roman"/>
          <w:kern w:val="0"/>
          <w:szCs w:val="21"/>
        </w:rPr>
        <w:t>保护穿着者足腿部免遭作业区域危害的职业用鞋靴的绿色设计产品评价。</w:t>
      </w:r>
    </w:p>
    <w:p>
      <w:pPr>
        <w:pStyle w:val="12"/>
        <w:tabs>
          <w:tab w:val="center" w:pos="4201"/>
          <w:tab w:val="right" w:leader="dot" w:pos="9298"/>
        </w:tabs>
        <w:ind w:firstLine="420"/>
        <w:rPr>
          <w:rFonts w:hint="default" w:ascii="Times New Roman" w:eastAsia="宋体"/>
          <w:kern w:val="0"/>
          <w:szCs w:val="21"/>
          <w:lang w:val="en-US" w:eastAsia="zh-CN"/>
        </w:rPr>
      </w:pPr>
      <w:r>
        <w:rPr>
          <w:rFonts w:hint="eastAsia" w:ascii="Times New Roman"/>
          <w:kern w:val="0"/>
          <w:szCs w:val="21"/>
          <w:lang w:val="en-US" w:eastAsia="zh-CN"/>
        </w:rPr>
        <w:t>本标准不适用于一般穿用及竞技运动用鞋靴产品。</w:t>
      </w:r>
    </w:p>
    <w:p>
      <w:pPr>
        <w:pStyle w:val="13"/>
        <w:numPr>
          <w:ilvl w:val="0"/>
          <w:numId w:val="4"/>
        </w:numPr>
        <w:spacing w:before="240" w:beforeLines="100" w:after="240" w:afterLines="100"/>
        <w:rPr>
          <w:rFonts w:ascii="Times New Roman"/>
        </w:rPr>
      </w:pPr>
      <w:bookmarkStart w:id="5" w:name="_Toc424638185"/>
      <w:bookmarkStart w:id="6" w:name="_Toc5417"/>
      <w:r>
        <w:rPr>
          <w:rFonts w:ascii="Times New Roman"/>
        </w:rPr>
        <w:t>规范性引用文件</w:t>
      </w:r>
      <w:bookmarkEnd w:id="5"/>
      <w:bookmarkEnd w:id="6"/>
    </w:p>
    <w:p>
      <w:pPr>
        <w:pStyle w:val="12"/>
        <w:ind w:firstLine="420"/>
        <w:rPr>
          <w:rFonts w:hint="eastAsia" w:ascii="Times New Roman"/>
          <w:kern w:val="0"/>
          <w:szCs w:val="21"/>
          <w:lang w:bidi="ar"/>
        </w:rPr>
      </w:pPr>
      <w:r>
        <w:rPr>
          <w:rFonts w:hint="eastAsia" w:ascii="Times New Roman"/>
          <w:kern w:val="0"/>
          <w:szCs w:val="21"/>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2"/>
        <w:ind w:firstLine="420"/>
        <w:rPr>
          <w:rFonts w:ascii="Times New Roman"/>
        </w:rPr>
      </w:pPr>
    </w:p>
    <w:p>
      <w:pPr>
        <w:pStyle w:val="12"/>
        <w:ind w:firstLine="420"/>
        <w:rPr>
          <w:rFonts w:hint="eastAsia" w:ascii="Times New Roman"/>
          <w:kern w:val="0"/>
          <w:szCs w:val="21"/>
          <w:lang w:bidi="ar"/>
        </w:rPr>
      </w:pPr>
      <w:bookmarkStart w:id="7" w:name="_Toc424638186"/>
      <w:bookmarkStart w:id="8" w:name="术语和定义"/>
      <w:r>
        <w:rPr>
          <w:rFonts w:hint="eastAsia" w:ascii="Times New Roman"/>
          <w:kern w:val="0"/>
          <w:szCs w:val="21"/>
          <w:lang w:bidi="ar"/>
        </w:rPr>
        <w:t>T/CNTAC 8 纺织产品限用物质清单</w:t>
      </w:r>
    </w:p>
    <w:p>
      <w:pPr>
        <w:pStyle w:val="12"/>
        <w:ind w:firstLine="420"/>
        <w:rPr>
          <w:rFonts w:hint="eastAsia" w:ascii="Times New Roman"/>
          <w:kern w:val="0"/>
          <w:szCs w:val="21"/>
          <w:lang w:bidi="ar"/>
        </w:rPr>
      </w:pPr>
      <w:r>
        <w:rPr>
          <w:rFonts w:hint="eastAsia" w:ascii="Times New Roman"/>
          <w:kern w:val="0"/>
          <w:szCs w:val="21"/>
          <w:lang w:bidi="ar"/>
        </w:rPr>
        <w:t>GB/T 191 包装储运图示标志</w:t>
      </w:r>
    </w:p>
    <w:p>
      <w:pPr>
        <w:pStyle w:val="12"/>
        <w:ind w:firstLine="420"/>
        <w:rPr>
          <w:rFonts w:hint="eastAsia" w:ascii="Times New Roman"/>
          <w:kern w:val="0"/>
          <w:szCs w:val="21"/>
          <w:lang w:bidi="ar"/>
        </w:rPr>
      </w:pPr>
      <w:r>
        <w:rPr>
          <w:rFonts w:hint="eastAsia" w:ascii="Times New Roman"/>
          <w:kern w:val="0"/>
          <w:szCs w:val="21"/>
          <w:lang w:bidi="ar"/>
        </w:rPr>
        <w:t>FZ/T 01004-2008 涂层织物 抗渗水性的测定</w:t>
      </w:r>
    </w:p>
    <w:p>
      <w:pPr>
        <w:pStyle w:val="12"/>
        <w:ind w:firstLine="420"/>
        <w:rPr>
          <w:rFonts w:hint="eastAsia" w:ascii="Times New Roman"/>
          <w:kern w:val="0"/>
          <w:szCs w:val="21"/>
          <w:lang w:bidi="ar"/>
        </w:rPr>
      </w:pPr>
      <w:r>
        <w:rPr>
          <w:rFonts w:hint="eastAsia" w:ascii="Times New Roman"/>
          <w:kern w:val="0"/>
          <w:szCs w:val="21"/>
          <w:lang w:bidi="ar"/>
        </w:rPr>
        <w:t>GB/T 2589 综合能耗计算通则</w:t>
      </w:r>
    </w:p>
    <w:p>
      <w:pPr>
        <w:pStyle w:val="12"/>
        <w:ind w:firstLine="420"/>
        <w:rPr>
          <w:rFonts w:hint="eastAsia" w:ascii="Times New Roman"/>
          <w:kern w:val="0"/>
          <w:szCs w:val="21"/>
          <w:lang w:bidi="ar"/>
        </w:rPr>
      </w:pPr>
      <w:r>
        <w:rPr>
          <w:rFonts w:hint="eastAsia" w:ascii="Times New Roman"/>
          <w:kern w:val="0"/>
          <w:szCs w:val="21"/>
          <w:lang w:bidi="ar"/>
        </w:rPr>
        <w:t>GB/T 3917.3 纺织品 织物撕破性能 第3部分_ 梯形试样撕破强力的测定</w:t>
      </w:r>
    </w:p>
    <w:p>
      <w:pPr>
        <w:pStyle w:val="12"/>
        <w:ind w:firstLine="420"/>
        <w:rPr>
          <w:rFonts w:hint="eastAsia" w:ascii="Times New Roman"/>
          <w:kern w:val="0"/>
          <w:szCs w:val="21"/>
          <w:lang w:bidi="ar"/>
        </w:rPr>
      </w:pPr>
      <w:r>
        <w:rPr>
          <w:rFonts w:hint="eastAsia" w:ascii="Times New Roman"/>
          <w:kern w:val="0"/>
          <w:szCs w:val="21"/>
          <w:lang w:bidi="ar"/>
        </w:rPr>
        <w:t>GB/T 3923.1 纺织品 织物拉伸性能 第1部分：断裂强力和断裂伸长率的测定(条样法)</w:t>
      </w:r>
    </w:p>
    <w:p>
      <w:pPr>
        <w:pStyle w:val="12"/>
        <w:ind w:firstLine="420"/>
        <w:rPr>
          <w:rFonts w:hint="eastAsia" w:ascii="Times New Roman"/>
          <w:kern w:val="0"/>
          <w:szCs w:val="21"/>
          <w:lang w:bidi="ar"/>
        </w:rPr>
      </w:pPr>
      <w:r>
        <w:rPr>
          <w:rFonts w:hint="eastAsia" w:ascii="Times New Roman"/>
          <w:kern w:val="0"/>
          <w:szCs w:val="21"/>
          <w:lang w:bidi="ar"/>
        </w:rPr>
        <w:t>GB/T 8170-2008 数值修约规则与极限数值的表示和判定</w:t>
      </w:r>
    </w:p>
    <w:p>
      <w:pPr>
        <w:pStyle w:val="12"/>
        <w:ind w:firstLine="420"/>
        <w:rPr>
          <w:rFonts w:hint="eastAsia" w:ascii="Times New Roman"/>
          <w:kern w:val="0"/>
          <w:szCs w:val="21"/>
          <w:lang w:bidi="ar"/>
        </w:rPr>
      </w:pPr>
      <w:r>
        <w:rPr>
          <w:rFonts w:hint="eastAsia" w:ascii="Times New Roman"/>
          <w:kern w:val="0"/>
          <w:szCs w:val="21"/>
          <w:lang w:bidi="ar"/>
        </w:rPr>
        <w:t>GB/T 8628 纺织品 测定尺寸变化的试验中织物试样的准备、标记及测量</w:t>
      </w:r>
    </w:p>
    <w:p>
      <w:pPr>
        <w:pStyle w:val="12"/>
        <w:ind w:firstLine="420"/>
        <w:rPr>
          <w:rFonts w:hint="eastAsia" w:ascii="Times New Roman"/>
          <w:kern w:val="0"/>
          <w:szCs w:val="21"/>
          <w:lang w:bidi="ar"/>
        </w:rPr>
      </w:pPr>
      <w:r>
        <w:rPr>
          <w:rFonts w:hint="eastAsia" w:ascii="Times New Roman"/>
          <w:kern w:val="0"/>
          <w:szCs w:val="21"/>
          <w:lang w:bidi="ar"/>
        </w:rPr>
        <w:t>GB/T 8629 纺织品　试验用家庭洗涤和干燥程序</w:t>
      </w:r>
    </w:p>
    <w:p>
      <w:pPr>
        <w:pStyle w:val="12"/>
        <w:ind w:firstLine="420"/>
        <w:rPr>
          <w:rFonts w:hint="eastAsia" w:ascii="Times New Roman"/>
          <w:kern w:val="0"/>
          <w:szCs w:val="21"/>
          <w:lang w:bidi="ar"/>
        </w:rPr>
      </w:pPr>
      <w:r>
        <w:rPr>
          <w:rFonts w:hint="eastAsia" w:ascii="Times New Roman"/>
          <w:kern w:val="0"/>
          <w:szCs w:val="21"/>
          <w:lang w:bidi="ar"/>
        </w:rPr>
        <w:t>GB/T 8630 纺织品 洗涤和干燥后尺寸变化的测定</w:t>
      </w:r>
    </w:p>
    <w:p>
      <w:pPr>
        <w:pStyle w:val="12"/>
        <w:ind w:firstLine="420"/>
        <w:rPr>
          <w:rFonts w:hint="eastAsia" w:ascii="Times New Roman"/>
          <w:kern w:val="0"/>
          <w:szCs w:val="21"/>
          <w:lang w:bidi="ar"/>
        </w:rPr>
      </w:pPr>
      <w:r>
        <w:rPr>
          <w:rFonts w:hint="eastAsia" w:ascii="Times New Roman"/>
          <w:kern w:val="0"/>
          <w:szCs w:val="21"/>
          <w:lang w:bidi="ar"/>
        </w:rPr>
        <w:t>GB 8978 污水综合排放标准</w:t>
      </w:r>
    </w:p>
    <w:p>
      <w:pPr>
        <w:pStyle w:val="12"/>
        <w:ind w:firstLine="420"/>
        <w:rPr>
          <w:rFonts w:hint="eastAsia" w:ascii="Times New Roman"/>
          <w:kern w:val="0"/>
          <w:szCs w:val="21"/>
          <w:lang w:bidi="ar"/>
        </w:rPr>
      </w:pPr>
      <w:r>
        <w:rPr>
          <w:rFonts w:hint="eastAsia" w:ascii="Times New Roman"/>
          <w:kern w:val="0"/>
          <w:szCs w:val="21"/>
          <w:lang w:bidi="ar"/>
        </w:rPr>
        <w:t>GB/T 6388 运输包装收发货标志</w:t>
      </w:r>
    </w:p>
    <w:p>
      <w:pPr>
        <w:pStyle w:val="12"/>
        <w:ind w:firstLine="420"/>
        <w:rPr>
          <w:rFonts w:hint="eastAsia" w:ascii="Times New Roman"/>
          <w:kern w:val="0"/>
          <w:szCs w:val="21"/>
          <w:lang w:bidi="ar"/>
        </w:rPr>
      </w:pPr>
      <w:r>
        <w:rPr>
          <w:rFonts w:hint="eastAsia" w:ascii="Times New Roman"/>
          <w:kern w:val="0"/>
          <w:szCs w:val="21"/>
          <w:lang w:bidi="ar"/>
        </w:rPr>
        <w:t>GB 16297 大气污染物综合排放标准</w:t>
      </w:r>
    </w:p>
    <w:p>
      <w:pPr>
        <w:pStyle w:val="12"/>
        <w:ind w:firstLine="420"/>
        <w:rPr>
          <w:rFonts w:hint="eastAsia" w:ascii="Times New Roman"/>
          <w:kern w:val="0"/>
          <w:szCs w:val="21"/>
          <w:lang w:bidi="ar"/>
        </w:rPr>
      </w:pPr>
      <w:r>
        <w:rPr>
          <w:rFonts w:hint="eastAsia" w:ascii="Times New Roman"/>
          <w:kern w:val="0"/>
          <w:szCs w:val="21"/>
          <w:lang w:bidi="ar"/>
        </w:rPr>
        <w:t>GB 17167 用能单位能源计量器具配备和管理通则</w:t>
      </w:r>
    </w:p>
    <w:p>
      <w:pPr>
        <w:pStyle w:val="12"/>
        <w:ind w:firstLine="420"/>
        <w:rPr>
          <w:rFonts w:hint="eastAsia" w:ascii="Times New Roman"/>
          <w:kern w:val="0"/>
          <w:szCs w:val="21"/>
          <w:lang w:bidi="ar"/>
        </w:rPr>
      </w:pPr>
      <w:r>
        <w:rPr>
          <w:rFonts w:hint="eastAsia" w:ascii="Times New Roman"/>
          <w:kern w:val="0"/>
          <w:szCs w:val="21"/>
          <w:lang w:bidi="ar"/>
        </w:rPr>
        <w:t>GB 18401 国家纺织产品基本安全技术规范</w:t>
      </w:r>
    </w:p>
    <w:p>
      <w:pPr>
        <w:pStyle w:val="12"/>
        <w:ind w:firstLine="420"/>
        <w:rPr>
          <w:rFonts w:hint="eastAsia" w:ascii="Times New Roman"/>
          <w:kern w:val="0"/>
          <w:szCs w:val="21"/>
          <w:lang w:bidi="ar"/>
        </w:rPr>
      </w:pPr>
      <w:r>
        <w:rPr>
          <w:rFonts w:hint="eastAsia" w:ascii="Times New Roman"/>
          <w:kern w:val="0"/>
          <w:szCs w:val="21"/>
          <w:lang w:bidi="ar"/>
        </w:rPr>
        <w:t>GB/T 18885 生态纺织品技术要求</w:t>
      </w:r>
    </w:p>
    <w:p>
      <w:pPr>
        <w:pStyle w:val="12"/>
        <w:ind w:firstLine="420"/>
        <w:rPr>
          <w:rFonts w:hint="eastAsia" w:ascii="Times New Roman"/>
          <w:kern w:val="0"/>
          <w:szCs w:val="21"/>
          <w:lang w:bidi="ar"/>
        </w:rPr>
      </w:pPr>
      <w:r>
        <w:rPr>
          <w:rFonts w:hint="eastAsia" w:ascii="Times New Roman"/>
          <w:kern w:val="0"/>
          <w:szCs w:val="21"/>
          <w:lang w:bidi="ar"/>
        </w:rPr>
        <w:t>GB 27632 橡胶制品工业污染物排放标准</w:t>
      </w:r>
    </w:p>
    <w:p>
      <w:pPr>
        <w:pStyle w:val="12"/>
        <w:ind w:firstLine="420"/>
        <w:rPr>
          <w:rFonts w:hint="eastAsia" w:ascii="Times New Roman"/>
          <w:kern w:val="0"/>
          <w:szCs w:val="21"/>
          <w:lang w:bidi="ar"/>
        </w:rPr>
      </w:pPr>
      <w:r>
        <w:rPr>
          <w:rFonts w:hint="eastAsia" w:ascii="Times New Roman"/>
          <w:kern w:val="0"/>
          <w:szCs w:val="21"/>
          <w:lang w:bidi="ar"/>
        </w:rPr>
        <w:t>GB/T 19001 质量管理体系 要求</w:t>
      </w:r>
    </w:p>
    <w:p>
      <w:pPr>
        <w:pStyle w:val="12"/>
        <w:ind w:firstLine="420"/>
        <w:rPr>
          <w:rFonts w:hint="eastAsia" w:ascii="Times New Roman"/>
          <w:kern w:val="0"/>
          <w:szCs w:val="21"/>
          <w:lang w:bidi="ar"/>
        </w:rPr>
      </w:pPr>
      <w:r>
        <w:rPr>
          <w:rFonts w:hint="eastAsia" w:ascii="Times New Roman"/>
          <w:kern w:val="0"/>
          <w:szCs w:val="21"/>
          <w:lang w:bidi="ar"/>
        </w:rPr>
        <w:t>GB/T 24001 环境管理体系 要求及使用指南</w:t>
      </w:r>
    </w:p>
    <w:p>
      <w:pPr>
        <w:pStyle w:val="12"/>
        <w:ind w:firstLine="420"/>
        <w:rPr>
          <w:rFonts w:hint="eastAsia" w:ascii="Times New Roman"/>
          <w:kern w:val="0"/>
          <w:szCs w:val="21"/>
          <w:lang w:bidi="ar"/>
        </w:rPr>
      </w:pPr>
      <w:r>
        <w:rPr>
          <w:rFonts w:hint="eastAsia" w:ascii="Times New Roman"/>
          <w:kern w:val="0"/>
          <w:szCs w:val="21"/>
          <w:lang w:bidi="ar"/>
        </w:rPr>
        <w:t>GB/T 24040 环境管理　生命周期评价　原则与框架</w:t>
      </w:r>
    </w:p>
    <w:p>
      <w:pPr>
        <w:pStyle w:val="12"/>
        <w:ind w:firstLine="420"/>
        <w:rPr>
          <w:rFonts w:hint="eastAsia" w:ascii="Times New Roman"/>
          <w:kern w:val="0"/>
          <w:szCs w:val="21"/>
          <w:lang w:bidi="ar"/>
        </w:rPr>
      </w:pPr>
      <w:r>
        <w:rPr>
          <w:rFonts w:hint="eastAsia" w:ascii="Times New Roman"/>
          <w:kern w:val="0"/>
          <w:szCs w:val="21"/>
          <w:lang w:bidi="ar"/>
        </w:rPr>
        <w:t>GB/T 24044 环境管理　生命周期评价　要求与指南</w:t>
      </w:r>
    </w:p>
    <w:p>
      <w:pPr>
        <w:pStyle w:val="12"/>
        <w:ind w:firstLine="420"/>
        <w:rPr>
          <w:rFonts w:hint="eastAsia" w:ascii="Times New Roman"/>
          <w:kern w:val="0"/>
          <w:szCs w:val="21"/>
          <w:lang w:bidi="ar"/>
        </w:rPr>
      </w:pPr>
      <w:r>
        <w:rPr>
          <w:rFonts w:hint="eastAsia" w:ascii="Times New Roman"/>
          <w:kern w:val="0"/>
          <w:szCs w:val="21"/>
          <w:lang w:bidi="ar"/>
        </w:rPr>
        <w:t>GB 24789 用水单位水计量器具配备和管理通则</w:t>
      </w:r>
    </w:p>
    <w:p>
      <w:pPr>
        <w:pStyle w:val="12"/>
        <w:ind w:firstLine="420"/>
        <w:rPr>
          <w:rFonts w:hint="eastAsia" w:ascii="Times New Roman"/>
          <w:kern w:val="0"/>
          <w:szCs w:val="21"/>
          <w:lang w:bidi="ar"/>
        </w:rPr>
      </w:pPr>
      <w:r>
        <w:rPr>
          <w:rFonts w:hint="eastAsia" w:ascii="Times New Roman"/>
          <w:kern w:val="0"/>
          <w:szCs w:val="21"/>
          <w:lang w:bidi="ar"/>
        </w:rPr>
        <w:t>GB/T 28001 职业健康安全管理体系 要求</w:t>
      </w:r>
    </w:p>
    <w:p>
      <w:pPr>
        <w:pStyle w:val="12"/>
        <w:ind w:firstLine="420"/>
        <w:rPr>
          <w:rFonts w:hint="eastAsia" w:ascii="Times New Roman"/>
          <w:kern w:val="0"/>
          <w:szCs w:val="21"/>
          <w:lang w:bidi="ar"/>
        </w:rPr>
      </w:pPr>
      <w:r>
        <w:rPr>
          <w:rFonts w:hint="eastAsia" w:ascii="Times New Roman"/>
          <w:kern w:val="0"/>
          <w:szCs w:val="21"/>
          <w:lang w:bidi="ar"/>
        </w:rPr>
        <w:t>GB/T 32162 生态设计产品标识</w:t>
      </w:r>
    </w:p>
    <w:p>
      <w:pPr>
        <w:pStyle w:val="12"/>
        <w:ind w:firstLine="420"/>
        <w:rPr>
          <w:rFonts w:hint="eastAsia" w:ascii="Times New Roman"/>
          <w:kern w:val="0"/>
          <w:szCs w:val="21"/>
          <w:lang w:bidi="ar"/>
        </w:rPr>
      </w:pPr>
      <w:r>
        <w:rPr>
          <w:rFonts w:hint="eastAsia" w:ascii="Times New Roman"/>
          <w:kern w:val="0"/>
          <w:szCs w:val="21"/>
          <w:lang w:bidi="ar"/>
        </w:rPr>
        <w:t>GB/T 37422 绿色包装评价方法与准则</w:t>
      </w:r>
    </w:p>
    <w:p>
      <w:pPr>
        <w:pStyle w:val="13"/>
        <w:numPr>
          <w:ilvl w:val="0"/>
          <w:numId w:val="4"/>
        </w:numPr>
        <w:spacing w:before="240" w:beforeLines="100" w:after="240" w:afterLines="100"/>
        <w:ind w:left="0" w:firstLine="0"/>
        <w:rPr>
          <w:rFonts w:ascii="Times New Roman"/>
        </w:rPr>
      </w:pPr>
      <w:bookmarkStart w:id="9" w:name="_Toc24360"/>
      <w:r>
        <w:rPr>
          <w:rFonts w:ascii="Times New Roman"/>
        </w:rPr>
        <w:t>术语和定义</w:t>
      </w:r>
      <w:bookmarkEnd w:id="7"/>
      <w:bookmarkEnd w:id="9"/>
    </w:p>
    <w:bookmarkEnd w:id="8"/>
    <w:p>
      <w:pPr>
        <w:pStyle w:val="14"/>
        <w:spacing w:before="120" w:after="120"/>
        <w:ind w:firstLine="420" w:firstLineChars="200"/>
        <w:outlineLvl w:val="9"/>
        <w:rPr>
          <w:rFonts w:ascii="Times New Roman" w:hAnsi="Times New Roman" w:eastAsia="宋体"/>
        </w:rPr>
      </w:pPr>
      <w:bookmarkStart w:id="10" w:name="_Toc9358"/>
      <w:bookmarkStart w:id="11" w:name="_Toc32315"/>
      <w:bookmarkStart w:id="12" w:name="_Toc396422175"/>
      <w:bookmarkStart w:id="13" w:name="_Toc405815956"/>
      <w:bookmarkStart w:id="14" w:name="_Toc247466391"/>
      <w:bookmarkStart w:id="15" w:name="_Toc394565227"/>
      <w:bookmarkStart w:id="16" w:name="_Toc350863989"/>
      <w:bookmarkStart w:id="17" w:name="_Toc397339748"/>
      <w:bookmarkStart w:id="18" w:name="_Toc258915818"/>
      <w:bookmarkStart w:id="19" w:name="_Toc404804661"/>
      <w:bookmarkStart w:id="20" w:name="_Toc225225203"/>
      <w:bookmarkStart w:id="21" w:name="_Toc394565276"/>
      <w:bookmarkStart w:id="22" w:name="_Toc406442783"/>
      <w:bookmarkStart w:id="23" w:name="_Toc382580626"/>
      <w:bookmarkStart w:id="24" w:name="_Toc363024792"/>
      <w:bookmarkStart w:id="25" w:name="_Toc406443048"/>
      <w:r>
        <w:rPr>
          <w:rFonts w:ascii="Times New Roman" w:hAnsi="Times New Roman" w:eastAsia="宋体"/>
        </w:rPr>
        <w:t>下列术语和定义适用于本文件。</w:t>
      </w:r>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p>
      <w:pPr>
        <w:pStyle w:val="14"/>
        <w:spacing w:before="120" w:beforeLines="50" w:after="120" w:afterLines="50"/>
        <w:jc w:val="left"/>
        <w:rPr>
          <w:rFonts w:hint="eastAsia" w:ascii="Times New Roman" w:hAnsi="Times New Roman"/>
        </w:rPr>
      </w:pPr>
      <w:bookmarkStart w:id="26" w:name="_Toc19243"/>
      <w:bookmarkStart w:id="27" w:name="_Toc29117"/>
      <w:r>
        <w:rPr>
          <w:rFonts w:ascii="Times New Roman" w:hAnsi="Times New Roman"/>
        </w:rPr>
        <w:t>3</w:t>
      </w:r>
      <w:bookmarkEnd w:id="26"/>
      <w:bookmarkStart w:id="28" w:name="_Toc21676"/>
      <w:r>
        <w:rPr>
          <w:rFonts w:hint="eastAsia" w:ascii="Times New Roman" w:hAnsi="Times New Roman"/>
        </w:rPr>
        <w:t>.1</w:t>
      </w:r>
      <w:bookmarkEnd w:id="27"/>
    </w:p>
    <w:p>
      <w:pPr>
        <w:pStyle w:val="14"/>
        <w:spacing w:before="120" w:beforeLines="50" w:after="120" w:afterLines="50"/>
        <w:ind w:firstLine="420" w:firstLineChars="200"/>
        <w:jc w:val="left"/>
        <w:rPr>
          <w:rFonts w:ascii="Times New Roman" w:hAnsi="Times New Roman"/>
        </w:rPr>
      </w:pPr>
      <w:bookmarkStart w:id="29" w:name="_Toc3379"/>
      <w:r>
        <w:rPr>
          <w:rFonts w:ascii="Times New Roman" w:hAnsi="Times New Roman"/>
        </w:rPr>
        <w:t>生命周期 life cycle</w:t>
      </w:r>
      <w:bookmarkEnd w:id="29"/>
    </w:p>
    <w:p>
      <w:pPr>
        <w:pStyle w:val="12"/>
        <w:ind w:firstLine="420"/>
        <w:rPr>
          <w:rFonts w:ascii="Times New Roman"/>
        </w:rPr>
      </w:pPr>
      <w:r>
        <w:rPr>
          <w:rFonts w:ascii="Times New Roman"/>
        </w:rPr>
        <w:t>产品系统中前后衔接的一系列阶段，从自然界或从自然资源中获取原材料，直至最终处置。</w:t>
      </w:r>
    </w:p>
    <w:p>
      <w:pPr>
        <w:pStyle w:val="12"/>
        <w:ind w:firstLine="420"/>
        <w:rPr>
          <w:rFonts w:ascii="Times New Roman"/>
          <w:color w:val="000000"/>
          <w:kern w:val="0"/>
          <w:szCs w:val="21"/>
          <w:lang w:bidi="ar"/>
        </w:rPr>
      </w:pPr>
      <w:r>
        <w:rPr>
          <w:rFonts w:ascii="Times New Roman"/>
          <w:color w:val="000000"/>
        </w:rPr>
        <w:t>[</w:t>
      </w:r>
      <w:r>
        <w:rPr>
          <w:rFonts w:hint="eastAsia" w:ascii="Times New Roman"/>
          <w:color w:val="000000"/>
        </w:rPr>
        <w:t>引自</w:t>
      </w:r>
      <w:r>
        <w:rPr>
          <w:rFonts w:ascii="Times New Roman"/>
          <w:color w:val="000000"/>
          <w:kern w:val="0"/>
          <w:szCs w:val="21"/>
          <w:lang w:bidi="ar"/>
        </w:rPr>
        <w:t>GB/T 24040</w:t>
      </w:r>
      <w:r>
        <w:rPr>
          <w:rFonts w:hint="eastAsia" w:ascii="Times New Roman"/>
          <w:color w:val="000000"/>
          <w:kern w:val="0"/>
          <w:szCs w:val="21"/>
          <w:lang w:bidi="ar"/>
        </w:rPr>
        <w:t>，</w:t>
      </w:r>
      <w:r>
        <w:rPr>
          <w:rFonts w:ascii="Times New Roman"/>
          <w:color w:val="000000"/>
          <w:kern w:val="0"/>
          <w:szCs w:val="21"/>
          <w:lang w:bidi="ar"/>
        </w:rPr>
        <w:t>3.1]</w:t>
      </w:r>
    </w:p>
    <w:p>
      <w:pPr>
        <w:pStyle w:val="12"/>
        <w:ind w:firstLine="420"/>
        <w:rPr>
          <w:rFonts w:ascii="Times New Roman"/>
        </w:rPr>
      </w:pPr>
    </w:p>
    <w:p>
      <w:pPr>
        <w:pStyle w:val="14"/>
        <w:rPr>
          <w:rFonts w:hint="eastAsia" w:ascii="Times New Roman" w:hAnsi="Times New Roman"/>
        </w:rPr>
      </w:pPr>
      <w:bookmarkStart w:id="30" w:name="_Toc24656"/>
      <w:r>
        <w:rPr>
          <w:rFonts w:ascii="Times New Roman" w:hAnsi="Times New Roman"/>
        </w:rPr>
        <w:t>3.</w:t>
      </w:r>
      <w:r>
        <w:rPr>
          <w:rFonts w:hint="eastAsia" w:ascii="Times New Roman" w:hAnsi="Times New Roman"/>
        </w:rPr>
        <w:t>2</w:t>
      </w:r>
      <w:bookmarkEnd w:id="30"/>
    </w:p>
    <w:p>
      <w:pPr>
        <w:pStyle w:val="14"/>
        <w:ind w:firstLine="420" w:firstLineChars="200"/>
        <w:rPr>
          <w:rFonts w:ascii="Times New Roman" w:hAnsi="Times New Roman"/>
        </w:rPr>
      </w:pPr>
      <w:bookmarkStart w:id="31" w:name="_Toc8238"/>
      <w:r>
        <w:rPr>
          <w:rFonts w:ascii="Times New Roman" w:hAnsi="Times New Roman"/>
        </w:rPr>
        <w:t>绿色设计 green-design</w:t>
      </w:r>
      <w:bookmarkEnd w:id="28"/>
      <w:bookmarkEnd w:id="31"/>
    </w:p>
    <w:p>
      <w:pPr>
        <w:pStyle w:val="14"/>
        <w:ind w:firstLine="420" w:firstLineChars="200"/>
        <w:rPr>
          <w:rFonts w:ascii="Times New Roman" w:hAnsi="Times New Roman" w:eastAsia="宋体"/>
          <w:color w:val="000000"/>
          <w:kern w:val="0"/>
          <w:szCs w:val="20"/>
        </w:rPr>
      </w:pPr>
      <w:bookmarkStart w:id="32" w:name="_Toc30694"/>
      <w:bookmarkStart w:id="33" w:name="_Toc8001"/>
      <w:r>
        <w:rPr>
          <w:rFonts w:ascii="Times New Roman" w:hAnsi="Times New Roman" w:eastAsia="宋体"/>
          <w:kern w:val="0"/>
          <w:szCs w:val="20"/>
        </w:rPr>
        <w:t>按照全生命周期的理念，在产品设计开发阶段系统考虑原材料</w:t>
      </w:r>
      <w:r>
        <w:rPr>
          <w:rFonts w:hint="eastAsia" w:ascii="Times New Roman" w:hAnsi="Times New Roman" w:eastAsia="宋体"/>
          <w:kern w:val="0"/>
          <w:szCs w:val="20"/>
        </w:rPr>
        <w:t>选用</w:t>
      </w:r>
      <w:r>
        <w:rPr>
          <w:rFonts w:ascii="Times New Roman" w:hAnsi="Times New Roman" w:eastAsia="宋体"/>
          <w:kern w:val="0"/>
          <w:szCs w:val="20"/>
        </w:rPr>
        <w:t>、生产、</w:t>
      </w:r>
      <w:r>
        <w:rPr>
          <w:rFonts w:hint="eastAsia" w:ascii="Times New Roman" w:hAnsi="Times New Roman" w:eastAsia="宋体"/>
          <w:kern w:val="0"/>
          <w:szCs w:val="20"/>
        </w:rPr>
        <w:t>销售、使用、回收、处理等</w:t>
      </w:r>
      <w:r>
        <w:rPr>
          <w:rFonts w:ascii="Times New Roman" w:hAnsi="Times New Roman" w:eastAsia="宋体"/>
          <w:kern w:val="0"/>
          <w:szCs w:val="20"/>
        </w:rPr>
        <w:t>各个环节对资源环境造成的影响，力求产品在全生命周期中最大限度降低资源消耗、尽</w:t>
      </w:r>
      <w:r>
        <w:rPr>
          <w:rFonts w:ascii="Times New Roman" w:hAnsi="Times New Roman" w:eastAsia="宋体"/>
          <w:color w:val="000000"/>
          <w:kern w:val="0"/>
          <w:szCs w:val="20"/>
        </w:rPr>
        <w:t>可能少用或不用含有有害物质的原材料，减少污染物产生和排放，从而实现环境保护的活动。</w:t>
      </w:r>
      <w:bookmarkEnd w:id="32"/>
    </w:p>
    <w:p>
      <w:pPr>
        <w:pStyle w:val="12"/>
        <w:ind w:firstLine="420"/>
        <w:rPr>
          <w:rFonts w:ascii="Times New Roman"/>
          <w:color w:val="000000"/>
          <w:kern w:val="0"/>
          <w:szCs w:val="21"/>
          <w:lang w:bidi="ar"/>
        </w:rPr>
      </w:pPr>
      <w:r>
        <w:rPr>
          <w:rFonts w:ascii="Times New Roman"/>
          <w:color w:val="000000"/>
        </w:rPr>
        <w:t>[</w:t>
      </w:r>
      <w:r>
        <w:rPr>
          <w:rFonts w:hint="eastAsia" w:ascii="Times New Roman"/>
          <w:color w:val="000000"/>
        </w:rPr>
        <w:t>改写GB/T 32161-2015，3.2</w:t>
      </w:r>
      <w:r>
        <w:rPr>
          <w:rFonts w:ascii="Times New Roman"/>
          <w:color w:val="000000"/>
          <w:kern w:val="0"/>
          <w:szCs w:val="21"/>
          <w:lang w:bidi="ar"/>
        </w:rPr>
        <w:t>]</w:t>
      </w:r>
    </w:p>
    <w:p>
      <w:pPr>
        <w:pStyle w:val="14"/>
        <w:rPr>
          <w:rFonts w:ascii="Times New Roman" w:hAnsi="Times New Roman"/>
        </w:rPr>
      </w:pPr>
      <w:bookmarkStart w:id="34" w:name="_Toc8691"/>
      <w:r>
        <w:rPr>
          <w:rFonts w:ascii="Times New Roman" w:hAnsi="Times New Roman"/>
        </w:rPr>
        <w:t>3.</w:t>
      </w:r>
      <w:r>
        <w:rPr>
          <w:rFonts w:hint="eastAsia" w:ascii="Times New Roman" w:hAnsi="Times New Roman"/>
        </w:rPr>
        <w:t>3</w:t>
      </w:r>
      <w:bookmarkEnd w:id="34"/>
      <w:r>
        <w:rPr>
          <w:rFonts w:ascii="Times New Roman" w:hAnsi="Times New Roman"/>
        </w:rPr>
        <w:t xml:space="preserve"> </w:t>
      </w:r>
    </w:p>
    <w:p>
      <w:pPr>
        <w:pStyle w:val="14"/>
        <w:ind w:firstLine="420" w:firstLineChars="200"/>
        <w:rPr>
          <w:rFonts w:ascii="Times New Roman" w:hAnsi="Times New Roman"/>
        </w:rPr>
      </w:pPr>
      <w:bookmarkStart w:id="35" w:name="_Toc27296"/>
      <w:r>
        <w:rPr>
          <w:rFonts w:ascii="Times New Roman" w:hAnsi="Times New Roman"/>
        </w:rPr>
        <w:t>绿色设计产品 green-design product</w:t>
      </w:r>
      <w:bookmarkEnd w:id="35"/>
    </w:p>
    <w:p>
      <w:pPr>
        <w:ind w:firstLine="420" w:firstLineChars="200"/>
        <w:rPr>
          <w:rFonts w:ascii="Times New Roman" w:hAnsi="Times New Roman" w:eastAsia="宋体"/>
          <w:kern w:val="0"/>
          <w:szCs w:val="20"/>
        </w:rPr>
      </w:pPr>
      <w:r>
        <w:rPr>
          <w:rFonts w:ascii="Times New Roman" w:hAnsi="Times New Roman" w:eastAsia="宋体"/>
          <w:kern w:val="0"/>
          <w:szCs w:val="20"/>
        </w:rPr>
        <w:t>符合</w:t>
      </w:r>
      <w:r>
        <w:rPr>
          <w:rFonts w:hint="eastAsia" w:ascii="Times New Roman" w:hAnsi="Times New Roman" w:eastAsia="宋体"/>
          <w:kern w:val="0"/>
          <w:szCs w:val="20"/>
        </w:rPr>
        <w:t>绿色</w:t>
      </w:r>
      <w:r>
        <w:rPr>
          <w:rFonts w:ascii="Times New Roman" w:hAnsi="Times New Roman" w:eastAsia="宋体"/>
          <w:kern w:val="0"/>
          <w:szCs w:val="20"/>
        </w:rPr>
        <w:t>设计</w:t>
      </w:r>
      <w:r>
        <w:rPr>
          <w:rFonts w:hint="eastAsia" w:ascii="Times New Roman" w:hAnsi="Times New Roman" w:eastAsia="宋体"/>
          <w:kern w:val="0"/>
          <w:szCs w:val="20"/>
        </w:rPr>
        <w:t>理念和评价要求的</w:t>
      </w:r>
      <w:r>
        <w:rPr>
          <w:rFonts w:ascii="Times New Roman" w:hAnsi="Times New Roman" w:eastAsia="宋体"/>
          <w:kern w:val="0"/>
          <w:szCs w:val="20"/>
        </w:rPr>
        <w:t>产品。</w:t>
      </w:r>
    </w:p>
    <w:p>
      <w:pPr>
        <w:pStyle w:val="12"/>
        <w:ind w:firstLine="420"/>
        <w:rPr>
          <w:rFonts w:ascii="Times New Roman"/>
          <w:color w:val="000000"/>
          <w:kern w:val="0"/>
          <w:szCs w:val="21"/>
          <w:lang w:bidi="ar"/>
        </w:rPr>
      </w:pPr>
      <w:r>
        <w:rPr>
          <w:rFonts w:ascii="Times New Roman"/>
          <w:color w:val="000000"/>
        </w:rPr>
        <w:t>[</w:t>
      </w:r>
      <w:r>
        <w:rPr>
          <w:rFonts w:hint="eastAsia" w:ascii="Times New Roman"/>
          <w:color w:val="000000"/>
        </w:rPr>
        <w:t>改写GB/T 32161-2015，3.3</w:t>
      </w:r>
      <w:r>
        <w:rPr>
          <w:rFonts w:ascii="Times New Roman"/>
          <w:color w:val="000000"/>
          <w:kern w:val="0"/>
          <w:szCs w:val="21"/>
          <w:lang w:bidi="ar"/>
        </w:rPr>
        <w:t>]</w:t>
      </w:r>
    </w:p>
    <w:bookmarkEnd w:id="33"/>
    <w:p>
      <w:pPr>
        <w:pStyle w:val="14"/>
        <w:spacing w:before="120" w:beforeLines="50" w:after="120" w:afterLines="50"/>
        <w:jc w:val="left"/>
        <w:rPr>
          <w:rFonts w:hint="eastAsia" w:ascii="Times New Roman" w:hAnsi="Times New Roman"/>
          <w:color w:val="auto"/>
        </w:rPr>
      </w:pPr>
      <w:bookmarkStart w:id="36" w:name="_Toc27850"/>
      <w:bookmarkStart w:id="37" w:name="_Toc2989"/>
      <w:r>
        <w:rPr>
          <w:rFonts w:ascii="Times New Roman" w:hAnsi="Times New Roman"/>
          <w:color w:val="auto"/>
        </w:rPr>
        <w:t>3.</w:t>
      </w:r>
      <w:r>
        <w:rPr>
          <w:rFonts w:hint="eastAsia" w:ascii="Times New Roman" w:hAnsi="Times New Roman"/>
          <w:color w:val="auto"/>
        </w:rPr>
        <w:t>5</w:t>
      </w:r>
      <w:bookmarkEnd w:id="36"/>
    </w:p>
    <w:p>
      <w:pPr>
        <w:pStyle w:val="14"/>
        <w:spacing w:before="120" w:beforeLines="50" w:after="120" w:afterLines="50"/>
        <w:ind w:firstLine="420" w:firstLineChars="200"/>
        <w:jc w:val="left"/>
        <w:rPr>
          <w:rFonts w:hint="default" w:ascii="Times New Roman" w:hAnsi="Times New Roman" w:eastAsia="黑体"/>
          <w:color w:val="auto"/>
          <w:szCs w:val="22"/>
          <w:lang w:val="en-US" w:eastAsia="zh-CN"/>
        </w:rPr>
      </w:pPr>
      <w:bookmarkStart w:id="38" w:name="_Toc32676"/>
      <w:r>
        <w:rPr>
          <w:rFonts w:hint="eastAsia" w:ascii="Times New Roman" w:hAnsi="Times New Roman"/>
          <w:color w:val="auto"/>
          <w:szCs w:val="22"/>
          <w:lang w:val="en-US" w:eastAsia="zh-CN"/>
        </w:rPr>
        <w:t>职业用鞋靴</w:t>
      </w:r>
      <w:r>
        <w:rPr>
          <w:rFonts w:hint="eastAsia" w:ascii="Times New Roman" w:hAnsi="Times New Roman"/>
          <w:color w:val="auto"/>
          <w:szCs w:val="22"/>
        </w:rPr>
        <w:t xml:space="preserve"> occupational footwear</w:t>
      </w:r>
      <w:bookmarkEnd w:id="38"/>
    </w:p>
    <w:p>
      <w:pPr>
        <w:ind w:firstLine="420" w:firstLineChars="200"/>
        <w:rPr>
          <w:rFonts w:hint="default" w:ascii="Times New Roman" w:hAnsi="Times New Roman" w:eastAsia="宋体"/>
          <w:color w:val="auto"/>
          <w:kern w:val="0"/>
          <w:szCs w:val="20"/>
          <w:lang w:val="en-US" w:eastAsia="zh-CN"/>
        </w:rPr>
      </w:pPr>
      <w:r>
        <w:rPr>
          <w:rFonts w:hint="eastAsia" w:ascii="Times New Roman" w:hAnsi="Times New Roman" w:eastAsia="宋体"/>
          <w:color w:val="auto"/>
          <w:kern w:val="0"/>
          <w:szCs w:val="20"/>
          <w:lang w:val="en-US" w:eastAsia="zh-CN"/>
        </w:rPr>
        <w:t>因工作环境或工作性质的特殊性，出于满足穿着者职业统一着装要求或保护穿着者足腿部免遭作业区域危害的鞋靴。</w:t>
      </w:r>
    </w:p>
    <w:bookmarkEnd w:id="37"/>
    <w:p>
      <w:pPr>
        <w:pStyle w:val="13"/>
        <w:numPr>
          <w:ilvl w:val="0"/>
          <w:numId w:val="4"/>
        </w:numPr>
        <w:spacing w:before="240" w:beforeLines="100" w:after="240" w:afterLines="100"/>
        <w:rPr>
          <w:rFonts w:ascii="Times New Roman"/>
        </w:rPr>
      </w:pPr>
      <w:bookmarkStart w:id="39" w:name="_Toc424638193"/>
      <w:bookmarkStart w:id="40" w:name="_Toc12607"/>
      <w:r>
        <w:rPr>
          <w:rFonts w:ascii="Times New Roman"/>
        </w:rPr>
        <w:t>评价要求</w:t>
      </w:r>
      <w:bookmarkEnd w:id="39"/>
      <w:bookmarkEnd w:id="40"/>
    </w:p>
    <w:p>
      <w:pPr>
        <w:pStyle w:val="14"/>
        <w:spacing w:before="156" w:after="156"/>
        <w:rPr>
          <w:rFonts w:ascii="Times New Roman" w:hAnsi="Times New Roman"/>
        </w:rPr>
      </w:pPr>
      <w:bookmarkStart w:id="41" w:name="_Toc14704"/>
      <w:bookmarkStart w:id="42" w:name="_Toc405815968"/>
      <w:bookmarkStart w:id="43" w:name="_Toc424638194"/>
      <w:bookmarkStart w:id="44" w:name="_Toc31588"/>
      <w:r>
        <w:rPr>
          <w:rFonts w:ascii="Times New Roman" w:hAnsi="Times New Roman"/>
        </w:rPr>
        <w:t>4.1 基本要求</w:t>
      </w:r>
      <w:bookmarkEnd w:id="41"/>
      <w:bookmarkEnd w:id="42"/>
      <w:bookmarkEnd w:id="43"/>
      <w:bookmarkEnd w:id="44"/>
    </w:p>
    <w:p>
      <w:pPr>
        <w:pStyle w:val="12"/>
        <w:ind w:firstLine="0" w:firstLineChars="0"/>
        <w:rPr>
          <w:rFonts w:ascii="Times New Roman"/>
        </w:rPr>
      </w:pPr>
      <w:bookmarkStart w:id="45" w:name="_Toc397339764"/>
      <w:bookmarkStart w:id="46" w:name="_Toc396422191"/>
      <w:bookmarkStart w:id="47" w:name="_Toc404804674"/>
      <w:bookmarkStart w:id="48" w:name="_Toc405815969"/>
      <w:bookmarkStart w:id="49" w:name="_Toc424638195"/>
      <w:r>
        <w:rPr>
          <w:rFonts w:ascii="Times New Roman"/>
          <w:color w:val="auto"/>
        </w:rPr>
        <w:t>4.1.1 生产企业的</w:t>
      </w:r>
      <w:r>
        <w:rPr>
          <w:rFonts w:hint="eastAsia" w:ascii="Times New Roman"/>
          <w:color w:val="auto"/>
        </w:rPr>
        <w:t>污染物排放应</w:t>
      </w:r>
      <w:r>
        <w:rPr>
          <w:rFonts w:hint="eastAsia" w:ascii="Times New Roman"/>
          <w:color w:val="auto"/>
          <w:lang w:val="en-US" w:eastAsia="zh-CN"/>
        </w:rPr>
        <w:t>达到国家或地方污染物排放标准的要求，</w:t>
      </w:r>
      <w:r>
        <w:rPr>
          <w:rFonts w:ascii="Times New Roman"/>
          <w:color w:val="auto"/>
        </w:rPr>
        <w:t>污染物总量控制应达到国家和地方污染物排放总量控制指标</w:t>
      </w:r>
      <w:r>
        <w:rPr>
          <w:rFonts w:hint="eastAsia" w:ascii="Times New Roman"/>
          <w:color w:val="auto"/>
        </w:rPr>
        <w:t>，</w:t>
      </w:r>
      <w:r>
        <w:rPr>
          <w:rFonts w:ascii="Times New Roman"/>
          <w:color w:val="auto"/>
        </w:rPr>
        <w:t>应</w:t>
      </w:r>
      <w:r>
        <w:rPr>
          <w:rFonts w:ascii="Times New Roman"/>
        </w:rPr>
        <w:t>严格执行环保相关国家标准并提供标准清单，近三年无重大质量、安全和环境事故。</w:t>
      </w:r>
    </w:p>
    <w:p>
      <w:pPr>
        <w:pStyle w:val="12"/>
        <w:ind w:firstLine="0" w:firstLineChars="0"/>
        <w:rPr>
          <w:rFonts w:hint="eastAsia" w:ascii="Times New Roman"/>
        </w:rPr>
      </w:pPr>
      <w:r>
        <w:rPr>
          <w:rFonts w:ascii="Times New Roman"/>
        </w:rPr>
        <w:t>4.1.2 生产企业应</w:t>
      </w:r>
      <w:r>
        <w:rPr>
          <w:rFonts w:hint="eastAsia" w:ascii="Times New Roman"/>
        </w:rPr>
        <w:t>按照GB/T</w:t>
      </w:r>
      <w:r>
        <w:rPr>
          <w:rFonts w:hint="eastAsia" w:ascii="Times New Roman"/>
          <w:lang w:val="en-US" w:eastAsia="zh-CN"/>
        </w:rPr>
        <w:t xml:space="preserve"> </w:t>
      </w:r>
      <w:r>
        <w:rPr>
          <w:rFonts w:hint="eastAsia" w:ascii="Times New Roman"/>
        </w:rPr>
        <w:t>19001、GB/T</w:t>
      </w:r>
      <w:r>
        <w:rPr>
          <w:rFonts w:hint="eastAsia" w:ascii="Times New Roman"/>
          <w:lang w:val="en-US" w:eastAsia="zh-CN"/>
        </w:rPr>
        <w:t xml:space="preserve"> </w:t>
      </w:r>
      <w:r>
        <w:rPr>
          <w:rFonts w:hint="eastAsia" w:ascii="Times New Roman"/>
        </w:rPr>
        <w:t>24001和GB/T</w:t>
      </w:r>
      <w:r>
        <w:rPr>
          <w:rFonts w:hint="eastAsia" w:ascii="Times New Roman"/>
          <w:lang w:val="en-US" w:eastAsia="zh-CN"/>
        </w:rPr>
        <w:t xml:space="preserve"> </w:t>
      </w:r>
      <w:r>
        <w:rPr>
          <w:rFonts w:hint="eastAsia" w:ascii="Times New Roman"/>
        </w:rPr>
        <w:t>28001分别建立、实施、保持并持续改进</w:t>
      </w:r>
      <w:r>
        <w:rPr>
          <w:rFonts w:ascii="Times New Roman"/>
        </w:rPr>
        <w:t>质量管理体系</w:t>
      </w:r>
      <w:r>
        <w:rPr>
          <w:rFonts w:hint="eastAsia" w:ascii="Times New Roman"/>
        </w:rPr>
        <w:t>、</w:t>
      </w:r>
      <w:r>
        <w:rPr>
          <w:rFonts w:ascii="Times New Roman"/>
        </w:rPr>
        <w:t>环境管理</w:t>
      </w:r>
      <w:r>
        <w:rPr>
          <w:rFonts w:hint="eastAsia" w:ascii="Times New Roman"/>
        </w:rPr>
        <w:t>体系和职业</w:t>
      </w:r>
      <w:r>
        <w:rPr>
          <w:rFonts w:ascii="Times New Roman"/>
        </w:rPr>
        <w:t>健康</w:t>
      </w:r>
      <w:r>
        <w:rPr>
          <w:rFonts w:hint="eastAsia" w:ascii="Times New Roman"/>
        </w:rPr>
        <w:t>安全管理体系，建立</w:t>
      </w:r>
      <w:r>
        <w:rPr>
          <w:rFonts w:ascii="Times New Roman"/>
        </w:rPr>
        <w:t>能源管理</w:t>
      </w:r>
      <w:r>
        <w:rPr>
          <w:rFonts w:hint="eastAsia" w:ascii="Times New Roman"/>
        </w:rPr>
        <w:t>制度</w:t>
      </w:r>
      <w:r>
        <w:rPr>
          <w:rFonts w:ascii="Times New Roman"/>
        </w:rPr>
        <w:t>。</w:t>
      </w:r>
    </w:p>
    <w:p>
      <w:pPr>
        <w:pStyle w:val="12"/>
        <w:ind w:firstLine="0" w:firstLineChars="0"/>
        <w:rPr>
          <w:rFonts w:ascii="Times New Roman"/>
        </w:rPr>
      </w:pPr>
      <w:r>
        <w:rPr>
          <w:rFonts w:ascii="Times New Roman"/>
        </w:rPr>
        <w:t>4.1.3 生产企业</w:t>
      </w:r>
      <w:r>
        <w:rPr>
          <w:rFonts w:hint="eastAsia" w:ascii="Times New Roman"/>
        </w:rPr>
        <w:t>宜</w:t>
      </w:r>
      <w:r>
        <w:rPr>
          <w:rFonts w:ascii="Times New Roman"/>
        </w:rPr>
        <w:t>采用国家鼓励的先进技术和工艺，不得使用国家或有关部门发布的淘汰或禁止的技术、工艺、装备及相关物质</w:t>
      </w:r>
      <w:r>
        <w:rPr>
          <w:rFonts w:hint="eastAsia" w:ascii="Times New Roman"/>
        </w:rPr>
        <w:t>，</w:t>
      </w:r>
      <w:r>
        <w:rPr>
          <w:rFonts w:ascii="Times New Roman"/>
        </w:rPr>
        <w:t>设计、生产过程中应以节约材料为原则制定要求。</w:t>
      </w:r>
    </w:p>
    <w:p>
      <w:pPr>
        <w:pStyle w:val="12"/>
        <w:ind w:firstLine="0" w:firstLineChars="0"/>
        <w:rPr>
          <w:rFonts w:ascii="Times New Roman"/>
        </w:rPr>
      </w:pPr>
      <w:r>
        <w:rPr>
          <w:rFonts w:ascii="Times New Roman"/>
        </w:rPr>
        <w:t>4.1.4 生产企业</w:t>
      </w:r>
      <w:r>
        <w:rPr>
          <w:rFonts w:hint="eastAsia" w:ascii="Times New Roman"/>
        </w:rPr>
        <w:t>宜</w:t>
      </w:r>
      <w:r>
        <w:rPr>
          <w:rFonts w:ascii="Times New Roman"/>
        </w:rPr>
        <w:t>开展绿色供应链管理，对产品主要原材料供应方、生产协作方、相关服务方等提出相关质量、环境、能源和安全等方面的管理要求。</w:t>
      </w:r>
    </w:p>
    <w:p>
      <w:pPr>
        <w:pStyle w:val="12"/>
        <w:ind w:firstLine="0" w:firstLineChars="0"/>
        <w:rPr>
          <w:rFonts w:hint="eastAsia" w:ascii="Times New Roman"/>
          <w:kern w:val="0"/>
          <w:szCs w:val="21"/>
          <w:lang w:bidi="ar"/>
        </w:rPr>
      </w:pPr>
      <w:r>
        <w:rPr>
          <w:rFonts w:ascii="Times New Roman"/>
        </w:rPr>
        <w:t>4.1.5 生产企业应按照</w:t>
      </w:r>
      <w:r>
        <w:rPr>
          <w:rFonts w:ascii="Times New Roman"/>
          <w:kern w:val="0"/>
          <w:szCs w:val="21"/>
          <w:lang w:bidi="ar"/>
        </w:rPr>
        <w:t>GB 17167配备能源计量器具，按照GB 24789配备水计量器具。</w:t>
      </w:r>
    </w:p>
    <w:p>
      <w:pPr>
        <w:pStyle w:val="12"/>
        <w:ind w:firstLine="0" w:firstLineChars="0"/>
        <w:rPr>
          <w:rFonts w:ascii="Times New Roman"/>
          <w:kern w:val="0"/>
          <w:szCs w:val="21"/>
          <w:lang w:bidi="ar"/>
        </w:rPr>
      </w:pPr>
      <w:r>
        <w:rPr>
          <w:rFonts w:ascii="Times New Roman"/>
          <w:kern w:val="0"/>
          <w:szCs w:val="21"/>
          <w:lang w:bidi="ar"/>
        </w:rPr>
        <w:t>4.1.6</w:t>
      </w:r>
      <w:r>
        <w:rPr>
          <w:rFonts w:hint="eastAsia" w:ascii="Times New Roman"/>
          <w:kern w:val="0"/>
          <w:szCs w:val="21"/>
          <w:lang w:bidi="ar"/>
        </w:rPr>
        <w:t xml:space="preserve"> </w:t>
      </w:r>
      <w:r>
        <w:rPr>
          <w:rFonts w:ascii="Times New Roman"/>
          <w:kern w:val="0"/>
          <w:szCs w:val="21"/>
          <w:lang w:bidi="ar"/>
        </w:rPr>
        <w:t>产品</w:t>
      </w:r>
      <w:r>
        <w:rPr>
          <w:rFonts w:hint="eastAsia" w:ascii="Times New Roman"/>
          <w:kern w:val="0"/>
          <w:szCs w:val="21"/>
          <w:lang w:bidi="ar"/>
        </w:rPr>
        <w:t>中含有的有毒、有害物质或元素的含量应符合国家或地方标准的要求。</w:t>
      </w:r>
    </w:p>
    <w:p>
      <w:pPr>
        <w:pStyle w:val="12"/>
        <w:ind w:firstLine="0" w:firstLineChars="0"/>
        <w:rPr>
          <w:rFonts w:ascii="Times New Roman"/>
          <w:kern w:val="0"/>
          <w:szCs w:val="21"/>
          <w:lang w:bidi="ar"/>
        </w:rPr>
      </w:pPr>
      <w:r>
        <w:rPr>
          <w:rFonts w:ascii="Times New Roman"/>
          <w:kern w:val="0"/>
          <w:szCs w:val="21"/>
          <w:lang w:bidi="ar"/>
        </w:rPr>
        <w:t>4.1.</w:t>
      </w:r>
      <w:r>
        <w:rPr>
          <w:rFonts w:hint="eastAsia" w:ascii="Times New Roman"/>
          <w:kern w:val="0"/>
          <w:szCs w:val="21"/>
          <w:lang w:bidi="ar"/>
        </w:rPr>
        <w:t>7</w:t>
      </w:r>
      <w:r>
        <w:rPr>
          <w:rFonts w:ascii="Times New Roman"/>
          <w:kern w:val="0"/>
          <w:szCs w:val="21"/>
          <w:lang w:bidi="ar"/>
        </w:rPr>
        <w:t xml:space="preserve"> 产品说明中应包含有害物质使用、需特殊处理材料及产品废弃后的有关循环利用的相关说明要求。</w:t>
      </w:r>
    </w:p>
    <w:p>
      <w:pPr>
        <w:pStyle w:val="12"/>
        <w:ind w:firstLine="0" w:firstLineChars="0"/>
        <w:rPr>
          <w:rFonts w:ascii="Times New Roman"/>
          <w:color w:val="auto"/>
          <w:kern w:val="0"/>
          <w:szCs w:val="21"/>
          <w:lang w:bidi="ar"/>
        </w:rPr>
      </w:pPr>
      <w:r>
        <w:rPr>
          <w:rFonts w:ascii="Times New Roman"/>
          <w:color w:val="auto"/>
          <w:kern w:val="0"/>
          <w:szCs w:val="21"/>
          <w:lang w:bidi="ar"/>
        </w:rPr>
        <w:t>4.1.</w:t>
      </w:r>
      <w:r>
        <w:rPr>
          <w:rFonts w:hint="eastAsia" w:ascii="Times New Roman"/>
          <w:color w:val="auto"/>
          <w:kern w:val="0"/>
          <w:szCs w:val="21"/>
          <w:lang w:bidi="ar"/>
        </w:rPr>
        <w:t>8</w:t>
      </w:r>
      <w:r>
        <w:rPr>
          <w:rFonts w:ascii="Times New Roman"/>
          <w:color w:val="auto"/>
          <w:kern w:val="0"/>
          <w:szCs w:val="21"/>
          <w:lang w:bidi="ar"/>
        </w:rPr>
        <w:t xml:space="preserve"> 产品标志、包装、运输、贮存应符合GB/T 191、GB/T 6388的要求。</w:t>
      </w:r>
    </w:p>
    <w:p>
      <w:pPr>
        <w:pStyle w:val="12"/>
        <w:ind w:firstLine="0" w:firstLineChars="0"/>
        <w:rPr>
          <w:rFonts w:ascii="Times New Roman"/>
        </w:rPr>
      </w:pPr>
      <w:r>
        <w:rPr>
          <w:rFonts w:hint="eastAsia" w:ascii="Times New Roman"/>
          <w:kern w:val="0"/>
          <w:szCs w:val="21"/>
          <w:lang w:bidi="ar"/>
        </w:rPr>
        <w:t>4.1.9 产品质量应符合产品标准或供需双方协议的要求。</w:t>
      </w:r>
      <w:bookmarkStart w:id="50" w:name="_Toc26697"/>
    </w:p>
    <w:p>
      <w:pPr>
        <w:pStyle w:val="14"/>
        <w:spacing w:before="156" w:after="156"/>
        <w:rPr>
          <w:rFonts w:ascii="Times New Roman" w:hAnsi="Times New Roman"/>
        </w:rPr>
      </w:pPr>
      <w:bookmarkStart w:id="51" w:name="_Toc26563"/>
      <w:r>
        <w:rPr>
          <w:rFonts w:ascii="Times New Roman" w:hAnsi="Times New Roman"/>
        </w:rPr>
        <w:t>4.2 评价指标</w:t>
      </w:r>
      <w:bookmarkEnd w:id="45"/>
      <w:bookmarkEnd w:id="46"/>
      <w:bookmarkEnd w:id="47"/>
      <w:r>
        <w:rPr>
          <w:rFonts w:ascii="Times New Roman" w:hAnsi="Times New Roman"/>
        </w:rPr>
        <w:t>要求</w:t>
      </w:r>
      <w:bookmarkEnd w:id="48"/>
      <w:bookmarkEnd w:id="49"/>
      <w:bookmarkEnd w:id="50"/>
      <w:bookmarkEnd w:id="51"/>
    </w:p>
    <w:p>
      <w:pPr>
        <w:pStyle w:val="12"/>
        <w:ind w:firstLine="420" w:firstLineChars="0"/>
        <w:rPr>
          <w:rFonts w:ascii="Times New Roman"/>
        </w:rPr>
      </w:pPr>
      <w:r>
        <w:rPr>
          <w:rFonts w:hint="eastAsia" w:ascii="Times New Roman"/>
        </w:rPr>
        <w:t>防雨服</w:t>
      </w:r>
      <w:r>
        <w:rPr>
          <w:rFonts w:ascii="Times New Roman"/>
        </w:rPr>
        <w:t>的评价指标可按照生命周</w:t>
      </w:r>
      <w:r>
        <w:rPr>
          <w:rFonts w:ascii="Times New Roman"/>
          <w:szCs w:val="22"/>
        </w:rPr>
        <w:t>期各阶段从资源能源的消耗，以及对环境和人体健康造成影响的角度进行选取，通常可包括资源属</w:t>
      </w:r>
      <w:r>
        <w:rPr>
          <w:rFonts w:ascii="Times New Roman"/>
        </w:rPr>
        <w:t>性指标、能源属性指标、环境属性指标和产品属性指标。</w:t>
      </w:r>
      <w:r>
        <w:rPr>
          <w:rFonts w:hint="eastAsia" w:ascii="Times New Roman"/>
        </w:rPr>
        <w:t>防雨服</w:t>
      </w:r>
      <w:r>
        <w:rPr>
          <w:rFonts w:ascii="Times New Roman"/>
        </w:rPr>
        <w:t>的评价指标名称、基准值、判定依据（污染物监测方法、产品检验方法以及各指标的计算方法）等要求见表1。</w:t>
      </w:r>
    </w:p>
    <w:p>
      <w:pPr>
        <w:pStyle w:val="12"/>
        <w:ind w:firstLine="420" w:firstLineChars="0"/>
        <w:rPr>
          <w:rFonts w:ascii="Times New Roman"/>
        </w:rPr>
      </w:pPr>
    </w:p>
    <w:p>
      <w:pPr>
        <w:pStyle w:val="12"/>
        <w:ind w:firstLine="420"/>
        <w:jc w:val="center"/>
        <w:rPr>
          <w:rFonts w:ascii="Times New Roman" w:eastAsia="黑体"/>
        </w:rPr>
      </w:pPr>
      <w:bookmarkStart w:id="52" w:name="_Toc350864001"/>
      <w:bookmarkStart w:id="53" w:name="_Toc396422192"/>
      <w:bookmarkStart w:id="54" w:name="_Toc363024807"/>
      <w:bookmarkStart w:id="55" w:name="_Toc394565293"/>
      <w:bookmarkStart w:id="56" w:name="_Toc382580642"/>
      <w:bookmarkStart w:id="57" w:name="_Toc397339765"/>
      <w:bookmarkStart w:id="58" w:name="_Toc406443062"/>
      <w:bookmarkStart w:id="59" w:name="_Toc406442797"/>
      <w:r>
        <w:rPr>
          <w:rFonts w:ascii="Times New Roman" w:eastAsia="黑体"/>
        </w:rPr>
        <w:t xml:space="preserve">表1 </w:t>
      </w:r>
      <w:bookmarkEnd w:id="52"/>
      <w:bookmarkEnd w:id="53"/>
      <w:bookmarkEnd w:id="54"/>
      <w:bookmarkEnd w:id="55"/>
      <w:bookmarkEnd w:id="56"/>
      <w:r>
        <w:rPr>
          <w:rFonts w:hint="eastAsia" w:ascii="Times New Roman" w:eastAsia="黑体"/>
          <w:lang w:val="en-US" w:eastAsia="zh-CN"/>
        </w:rPr>
        <w:t>职业用鞋靴</w:t>
      </w:r>
      <w:r>
        <w:rPr>
          <w:rFonts w:ascii="Times New Roman" w:eastAsia="黑体"/>
        </w:rPr>
        <w:t>评价指标</w:t>
      </w:r>
      <w:bookmarkEnd w:id="57"/>
      <w:r>
        <w:rPr>
          <w:rFonts w:ascii="Times New Roman" w:eastAsia="黑体"/>
        </w:rPr>
        <w:t>要求</w:t>
      </w:r>
      <w:bookmarkEnd w:id="58"/>
      <w:bookmarkEnd w:id="59"/>
    </w:p>
    <w:tbl>
      <w:tblPr>
        <w:tblStyle w:val="8"/>
        <w:tblW w:w="49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1"/>
        <w:gridCol w:w="768"/>
        <w:gridCol w:w="1212"/>
        <w:gridCol w:w="900"/>
        <w:gridCol w:w="615"/>
        <w:gridCol w:w="1708"/>
        <w:gridCol w:w="2762"/>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exact"/>
          <w:tblHeader/>
          <w:jc w:val="center"/>
        </w:trPr>
        <w:tc>
          <w:tcPr>
            <w:tcW w:w="319" w:type="pct"/>
            <w:tcBorders>
              <w:right w:val="single" w:color="auto" w:sz="4" w:space="0"/>
            </w:tcBorders>
            <w:noWrap w:val="0"/>
            <w:vAlign w:val="center"/>
          </w:tcPr>
          <w:p>
            <w:pPr>
              <w:widowControl/>
              <w:jc w:val="center"/>
              <w:rPr>
                <w:rFonts w:ascii="Times New Roman" w:hAnsi="Times New Roman" w:eastAsia="宋体"/>
                <w:bCs/>
                <w:color w:val="000000"/>
                <w:kern w:val="0"/>
                <w:sz w:val="18"/>
                <w:szCs w:val="18"/>
              </w:rPr>
            </w:pPr>
            <w:r>
              <w:rPr>
                <w:rFonts w:ascii="Times New Roman" w:hAnsi="Times New Roman" w:eastAsia="宋体"/>
                <w:bCs/>
                <w:color w:val="000000"/>
                <w:kern w:val="0"/>
                <w:sz w:val="18"/>
                <w:szCs w:val="18"/>
              </w:rPr>
              <w:t>一级指标</w:t>
            </w:r>
          </w:p>
        </w:tc>
        <w:tc>
          <w:tcPr>
            <w:tcW w:w="1035" w:type="pct"/>
            <w:gridSpan w:val="2"/>
            <w:tcBorders>
              <w:right w:val="single" w:color="auto" w:sz="4" w:space="0"/>
            </w:tcBorders>
            <w:noWrap w:val="0"/>
            <w:vAlign w:val="center"/>
          </w:tcPr>
          <w:p>
            <w:pPr>
              <w:widowControl/>
              <w:jc w:val="center"/>
              <w:rPr>
                <w:rFonts w:ascii="Times New Roman" w:hAnsi="Times New Roman" w:eastAsia="宋体"/>
                <w:bCs/>
                <w:color w:val="000000"/>
                <w:kern w:val="0"/>
                <w:sz w:val="18"/>
                <w:szCs w:val="18"/>
              </w:rPr>
            </w:pPr>
            <w:r>
              <w:rPr>
                <w:rFonts w:ascii="Times New Roman" w:hAnsi="Times New Roman" w:eastAsia="宋体"/>
                <w:bCs/>
                <w:color w:val="000000"/>
                <w:kern w:val="0"/>
                <w:sz w:val="18"/>
                <w:szCs w:val="18"/>
              </w:rPr>
              <w:t>二级指标</w:t>
            </w:r>
          </w:p>
        </w:tc>
        <w:tc>
          <w:tcPr>
            <w:tcW w:w="470" w:type="pct"/>
            <w:tcBorders>
              <w:left w:val="single" w:color="auto" w:sz="4" w:space="0"/>
            </w:tcBorders>
            <w:noWrap w:val="0"/>
            <w:vAlign w:val="center"/>
          </w:tcPr>
          <w:p>
            <w:pPr>
              <w:widowControl/>
              <w:jc w:val="center"/>
              <w:rPr>
                <w:rFonts w:ascii="Times New Roman" w:hAnsi="Times New Roman" w:eastAsia="宋体"/>
                <w:bCs/>
                <w:color w:val="000000"/>
                <w:kern w:val="0"/>
                <w:sz w:val="18"/>
                <w:szCs w:val="18"/>
              </w:rPr>
            </w:pPr>
            <w:r>
              <w:rPr>
                <w:rFonts w:ascii="Times New Roman" w:hAnsi="Times New Roman" w:eastAsia="宋体"/>
                <w:bCs/>
                <w:color w:val="000000"/>
                <w:kern w:val="0"/>
                <w:sz w:val="18"/>
                <w:szCs w:val="18"/>
              </w:rPr>
              <w:t>单位</w:t>
            </w:r>
          </w:p>
        </w:tc>
        <w:tc>
          <w:tcPr>
            <w:tcW w:w="321" w:type="pct"/>
            <w:noWrap w:val="0"/>
            <w:vAlign w:val="center"/>
          </w:tcPr>
          <w:p>
            <w:pPr>
              <w:widowControl/>
              <w:jc w:val="center"/>
              <w:rPr>
                <w:rFonts w:ascii="Times New Roman" w:hAnsi="Times New Roman" w:eastAsia="宋体"/>
                <w:bCs/>
                <w:color w:val="000000"/>
                <w:kern w:val="0"/>
                <w:sz w:val="18"/>
                <w:szCs w:val="18"/>
              </w:rPr>
            </w:pPr>
            <w:r>
              <w:rPr>
                <w:rFonts w:ascii="Times New Roman" w:hAnsi="Times New Roman" w:eastAsia="宋体"/>
                <w:bCs/>
                <w:color w:val="000000"/>
                <w:kern w:val="0"/>
                <w:sz w:val="18"/>
                <w:szCs w:val="18"/>
              </w:rPr>
              <w:t>指标</w:t>
            </w:r>
          </w:p>
          <w:p>
            <w:pPr>
              <w:widowControl/>
              <w:jc w:val="center"/>
              <w:rPr>
                <w:rFonts w:ascii="Times New Roman" w:hAnsi="Times New Roman" w:eastAsia="宋体"/>
                <w:bCs/>
                <w:color w:val="000000"/>
                <w:kern w:val="0"/>
                <w:sz w:val="18"/>
                <w:szCs w:val="18"/>
              </w:rPr>
            </w:pPr>
            <w:r>
              <w:rPr>
                <w:rFonts w:ascii="Times New Roman" w:hAnsi="Times New Roman" w:eastAsia="宋体"/>
                <w:bCs/>
                <w:color w:val="000000"/>
                <w:kern w:val="0"/>
                <w:sz w:val="18"/>
                <w:szCs w:val="18"/>
              </w:rPr>
              <w:t>方向</w:t>
            </w:r>
          </w:p>
        </w:tc>
        <w:tc>
          <w:tcPr>
            <w:tcW w:w="893" w:type="pct"/>
            <w:noWrap w:val="0"/>
            <w:vAlign w:val="center"/>
          </w:tcPr>
          <w:p>
            <w:pPr>
              <w:widowControl/>
              <w:jc w:val="center"/>
              <w:rPr>
                <w:rFonts w:ascii="Times New Roman" w:hAnsi="Times New Roman" w:eastAsia="宋体"/>
                <w:bCs/>
                <w:color w:val="000000"/>
                <w:kern w:val="0"/>
                <w:sz w:val="18"/>
                <w:szCs w:val="18"/>
              </w:rPr>
            </w:pPr>
            <w:r>
              <w:rPr>
                <w:rFonts w:ascii="Times New Roman" w:hAnsi="Times New Roman" w:eastAsia="宋体"/>
                <w:bCs/>
                <w:color w:val="000000"/>
                <w:kern w:val="0"/>
                <w:sz w:val="18"/>
                <w:szCs w:val="18"/>
              </w:rPr>
              <w:t>基准值</w:t>
            </w:r>
          </w:p>
        </w:tc>
        <w:tc>
          <w:tcPr>
            <w:tcW w:w="1444" w:type="pct"/>
            <w:noWrap w:val="0"/>
            <w:vAlign w:val="center"/>
          </w:tcPr>
          <w:p>
            <w:pPr>
              <w:widowControl/>
              <w:jc w:val="center"/>
              <w:rPr>
                <w:rFonts w:ascii="Times New Roman" w:hAnsi="Times New Roman" w:eastAsia="宋体"/>
                <w:bCs/>
                <w:color w:val="000000"/>
                <w:kern w:val="0"/>
                <w:sz w:val="18"/>
                <w:szCs w:val="18"/>
              </w:rPr>
            </w:pPr>
            <w:r>
              <w:rPr>
                <w:rFonts w:ascii="Times New Roman" w:hAnsi="Times New Roman" w:eastAsia="宋体"/>
                <w:bCs/>
                <w:color w:val="000000"/>
                <w:kern w:val="0"/>
                <w:sz w:val="18"/>
                <w:szCs w:val="18"/>
              </w:rPr>
              <w:t>判定依据</w:t>
            </w:r>
          </w:p>
        </w:tc>
        <w:tc>
          <w:tcPr>
            <w:tcW w:w="514" w:type="pct"/>
            <w:noWrap w:val="0"/>
            <w:vAlign w:val="center"/>
          </w:tcPr>
          <w:p>
            <w:pPr>
              <w:widowControl/>
              <w:jc w:val="center"/>
              <w:rPr>
                <w:rFonts w:ascii="Times New Roman" w:hAnsi="Times New Roman" w:eastAsia="宋体"/>
                <w:bCs/>
                <w:color w:val="000000"/>
                <w:kern w:val="0"/>
                <w:sz w:val="18"/>
                <w:szCs w:val="18"/>
              </w:rPr>
            </w:pPr>
            <w:r>
              <w:rPr>
                <w:rFonts w:ascii="Times New Roman" w:hAnsi="Times New Roman" w:eastAsia="宋体"/>
                <w:bCs/>
                <w:color w:val="000000"/>
                <w:kern w:val="0"/>
                <w:sz w:val="18"/>
                <w:szCs w:val="18"/>
              </w:rPr>
              <w:t>所属阶段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restart"/>
            <w:noWrap w:val="0"/>
            <w:vAlign w:val="center"/>
          </w:tcPr>
          <w:p>
            <w:pPr>
              <w:jc w:val="center"/>
              <w:rPr>
                <w:rFonts w:hint="eastAsia" w:ascii="Times New Roman" w:hAnsi="Times New Roman" w:eastAsia="宋体"/>
                <w:bCs/>
                <w:color w:val="000000"/>
                <w:kern w:val="0"/>
                <w:sz w:val="18"/>
                <w:szCs w:val="18"/>
              </w:rPr>
            </w:pPr>
            <w:r>
              <w:rPr>
                <w:rFonts w:hint="eastAsia" w:ascii="Times New Roman" w:hAnsi="Times New Roman" w:eastAsia="宋体"/>
                <w:bCs/>
                <w:color w:val="000000"/>
                <w:kern w:val="0"/>
                <w:sz w:val="18"/>
                <w:szCs w:val="18"/>
              </w:rPr>
              <w:t>资源属性</w:t>
            </w:r>
          </w:p>
        </w:tc>
        <w:tc>
          <w:tcPr>
            <w:tcW w:w="1035" w:type="pct"/>
            <w:gridSpan w:val="2"/>
            <w:noWrap w:val="0"/>
            <w:vAlign w:val="center"/>
          </w:tcPr>
          <w:p>
            <w:pPr>
              <w:jc w:val="center"/>
              <w:rPr>
                <w:rFonts w:hint="eastAsia" w:ascii="Times New Roman" w:hAnsi="Times New Roman" w:eastAsia="宋体"/>
                <w:bCs/>
                <w:color w:val="auto"/>
                <w:kern w:val="0"/>
                <w:sz w:val="18"/>
                <w:szCs w:val="18"/>
                <w:lang w:val="en-US" w:eastAsia="zh-CN"/>
              </w:rPr>
            </w:pPr>
            <w:r>
              <w:rPr>
                <w:rFonts w:hint="eastAsia" w:ascii="Times New Roman" w:hAnsi="Times New Roman" w:eastAsia="宋体"/>
                <w:bCs/>
                <w:color w:val="auto"/>
                <w:kern w:val="0"/>
                <w:sz w:val="18"/>
                <w:szCs w:val="18"/>
              </w:rPr>
              <w:t>原材料</w:t>
            </w:r>
            <w:r>
              <w:rPr>
                <w:rFonts w:hint="eastAsia" w:ascii="Times New Roman" w:hAnsi="Times New Roman" w:eastAsia="宋体"/>
                <w:bCs/>
                <w:color w:val="auto"/>
                <w:kern w:val="0"/>
                <w:sz w:val="18"/>
                <w:szCs w:val="18"/>
                <w:lang w:val="en-US" w:eastAsia="zh-CN"/>
              </w:rPr>
              <w:t>使用</w:t>
            </w:r>
          </w:p>
        </w:tc>
        <w:tc>
          <w:tcPr>
            <w:tcW w:w="470" w:type="pct"/>
            <w:noWrap w:val="0"/>
            <w:vAlign w:val="center"/>
          </w:tcPr>
          <w:p>
            <w:pPr>
              <w:jc w:val="center"/>
              <w:rPr>
                <w:rFonts w:hint="eastAsia" w:ascii="Times New Roman" w:hAnsi="Times New Roman" w:eastAsia="宋体"/>
                <w:bCs/>
                <w:color w:val="auto"/>
                <w:kern w:val="0"/>
                <w:sz w:val="18"/>
                <w:szCs w:val="18"/>
                <w:lang w:val="en-US" w:eastAsia="zh-CN"/>
              </w:rPr>
            </w:pPr>
            <w:r>
              <w:rPr>
                <w:rFonts w:hint="eastAsia" w:ascii="Times New Roman" w:hAnsi="Times New Roman" w:eastAsia="宋体"/>
                <w:bCs/>
                <w:color w:val="auto"/>
                <w:kern w:val="0"/>
                <w:sz w:val="18"/>
                <w:szCs w:val="18"/>
                <w:lang w:val="en-US" w:eastAsia="zh-CN"/>
              </w:rPr>
              <w:t>-</w:t>
            </w:r>
          </w:p>
        </w:tc>
        <w:tc>
          <w:tcPr>
            <w:tcW w:w="321" w:type="pct"/>
            <w:noWrap w:val="0"/>
            <w:vAlign w:val="center"/>
          </w:tcPr>
          <w:p>
            <w:pPr>
              <w:jc w:val="center"/>
              <w:rPr>
                <w:rFonts w:hint="eastAsia" w:ascii="Times New Roman" w:hAnsi="Times New Roman" w:eastAsia="宋体"/>
                <w:bCs/>
                <w:color w:val="auto"/>
                <w:kern w:val="0"/>
                <w:sz w:val="18"/>
                <w:szCs w:val="18"/>
                <w:lang w:eastAsia="zh-CN"/>
              </w:rPr>
            </w:pPr>
            <w:r>
              <w:rPr>
                <w:rFonts w:hint="eastAsia" w:ascii="Times New Roman" w:hAnsi="Times New Roman" w:eastAsia="宋体"/>
                <w:bCs/>
                <w:color w:val="auto"/>
                <w:kern w:val="0"/>
                <w:sz w:val="18"/>
                <w:szCs w:val="18"/>
                <w:lang w:val="en-US" w:eastAsia="zh-CN"/>
              </w:rPr>
              <w:t>-</w:t>
            </w:r>
          </w:p>
        </w:tc>
        <w:tc>
          <w:tcPr>
            <w:tcW w:w="893" w:type="pct"/>
            <w:noWrap w:val="0"/>
            <w:vAlign w:val="center"/>
          </w:tcPr>
          <w:p>
            <w:pPr>
              <w:ind w:firstLine="180" w:firstLineChars="100"/>
              <w:jc w:val="both"/>
              <w:rPr>
                <w:rFonts w:hint="default" w:ascii="Times New Roman" w:hAnsi="Times New Roman" w:eastAsia="宋体"/>
                <w:bCs/>
                <w:color w:val="auto"/>
                <w:kern w:val="0"/>
                <w:sz w:val="18"/>
                <w:szCs w:val="18"/>
                <w:lang w:val="en-US" w:eastAsia="zh-CN"/>
              </w:rPr>
            </w:pPr>
            <w:r>
              <w:rPr>
                <w:rFonts w:hint="eastAsia" w:ascii="Times New Roman" w:hAnsi="Times New Roman" w:eastAsia="宋体"/>
                <w:bCs/>
                <w:color w:val="auto"/>
                <w:kern w:val="0"/>
                <w:sz w:val="18"/>
                <w:szCs w:val="18"/>
                <w:lang w:val="en-US" w:eastAsia="zh-CN"/>
              </w:rPr>
              <w:t>原材料应符合T/CRIA 17001的要求。</w:t>
            </w:r>
          </w:p>
        </w:tc>
        <w:tc>
          <w:tcPr>
            <w:tcW w:w="1444" w:type="pct"/>
            <w:noWrap w:val="0"/>
            <w:vAlign w:val="center"/>
          </w:tcPr>
          <w:p>
            <w:pPr>
              <w:ind w:firstLine="180" w:firstLineChars="100"/>
              <w:rPr>
                <w:rFonts w:hint="default" w:ascii="Times New Roman" w:hAnsi="Times New Roman" w:eastAsia="宋体"/>
                <w:bCs/>
                <w:color w:val="auto"/>
                <w:kern w:val="0"/>
                <w:sz w:val="18"/>
                <w:szCs w:val="18"/>
                <w:lang w:val="en-US" w:eastAsia="zh-CN"/>
              </w:rPr>
            </w:pPr>
            <w:r>
              <w:rPr>
                <w:rFonts w:hint="eastAsia" w:ascii="Times New Roman" w:hAnsi="Times New Roman" w:eastAsia="宋体"/>
                <w:bCs/>
                <w:color w:val="auto"/>
                <w:kern w:val="0"/>
                <w:sz w:val="18"/>
                <w:szCs w:val="18"/>
                <w:lang w:val="en-US" w:eastAsia="zh-CN"/>
              </w:rPr>
              <w:t>按照T/CRIA 17001规定提供检测报告，并提供原材料清单等数据来源证明材料。</w:t>
            </w:r>
          </w:p>
        </w:tc>
        <w:tc>
          <w:tcPr>
            <w:tcW w:w="514" w:type="pct"/>
            <w:noWrap w:val="0"/>
            <w:vAlign w:val="center"/>
          </w:tcPr>
          <w:p>
            <w:pPr>
              <w:jc w:val="center"/>
              <w:rPr>
                <w:rFonts w:hint="eastAsia" w:ascii="Times New Roman" w:hAnsi="Times New Roman" w:eastAsia="宋体"/>
                <w:bCs/>
                <w:color w:val="000000"/>
                <w:kern w:val="0"/>
                <w:sz w:val="18"/>
                <w:szCs w:val="18"/>
                <w:lang w:val="en-US" w:eastAsia="zh-CN"/>
              </w:rPr>
            </w:pPr>
            <w:r>
              <w:rPr>
                <w:rFonts w:hint="eastAsia" w:ascii="Times New Roman" w:hAnsi="Times New Roman" w:eastAsia="宋体"/>
                <w:bCs/>
                <w:color w:val="000000"/>
                <w:kern w:val="0"/>
                <w:sz w:val="18"/>
                <w:szCs w:val="18"/>
              </w:rPr>
              <w:t>材料</w:t>
            </w:r>
            <w:r>
              <w:rPr>
                <w:rFonts w:hint="eastAsia" w:ascii="Times New Roman" w:hAnsi="Times New Roman" w:eastAsia="宋体"/>
                <w:bCs/>
                <w:color w:val="000000"/>
                <w:kern w:val="0"/>
                <w:sz w:val="18"/>
                <w:szCs w:val="18"/>
                <w:lang w:val="en-US" w:eastAsia="zh-CN"/>
              </w:rPr>
              <w:t>选用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hint="eastAsia" w:ascii="Times New Roman" w:hAnsi="Times New Roman" w:eastAsia="宋体"/>
                <w:bCs/>
                <w:color w:val="000000"/>
                <w:kern w:val="0"/>
                <w:sz w:val="18"/>
                <w:szCs w:val="18"/>
              </w:rPr>
            </w:pPr>
          </w:p>
        </w:tc>
        <w:tc>
          <w:tcPr>
            <w:tcW w:w="1035" w:type="pct"/>
            <w:gridSpan w:val="2"/>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包装材料材质</w:t>
            </w:r>
          </w:p>
        </w:tc>
        <w:tc>
          <w:tcPr>
            <w:tcW w:w="470"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鼓励使用绿色包装材料。</w:t>
            </w:r>
          </w:p>
        </w:tc>
        <w:tc>
          <w:tcPr>
            <w:tcW w:w="1444" w:type="pc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提供包装材料清单及证明材料。</w:t>
            </w:r>
          </w:p>
          <w:p>
            <w:pPr>
              <w:ind w:firstLine="180" w:firstLineChars="100"/>
              <w:jc w:val="both"/>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绿色包装材料：已完成绿色包装评价，或按照GB/T 37422规定提供符合性证明材料。</w:t>
            </w:r>
          </w:p>
        </w:tc>
        <w:tc>
          <w:tcPr>
            <w:tcW w:w="514" w:type="pct"/>
            <w:noWrap w:val="0"/>
            <w:vAlign w:val="center"/>
          </w:tcPr>
          <w:p>
            <w:pPr>
              <w:jc w:val="center"/>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材料选用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ascii="Times New Roman" w:hAnsi="Times New Roman" w:eastAsia="宋体"/>
                <w:bCs/>
                <w:color w:val="000000"/>
                <w:kern w:val="0"/>
                <w:sz w:val="18"/>
                <w:szCs w:val="18"/>
              </w:rPr>
            </w:pPr>
          </w:p>
        </w:tc>
        <w:tc>
          <w:tcPr>
            <w:tcW w:w="1035" w:type="pct"/>
            <w:gridSpan w:val="2"/>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原材料有效利用率</w:t>
            </w:r>
          </w:p>
        </w:tc>
        <w:tc>
          <w:tcPr>
            <w:tcW w:w="470"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90</w:t>
            </w:r>
          </w:p>
        </w:tc>
        <w:tc>
          <w:tcPr>
            <w:tcW w:w="1444" w:type="pct"/>
            <w:noWrap w:val="0"/>
            <w:vAlign w:val="center"/>
          </w:tcPr>
          <w:p>
            <w:pPr>
              <w:wordWrap/>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按照A.1计算，并提供相关证明材料。</w:t>
            </w:r>
          </w:p>
        </w:tc>
        <w:tc>
          <w:tcPr>
            <w:tcW w:w="514"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ascii="Times New Roman" w:hAnsi="Times New Roman" w:eastAsia="宋体"/>
                <w:bCs/>
                <w:color w:val="000000"/>
                <w:kern w:val="0"/>
                <w:sz w:val="18"/>
                <w:szCs w:val="18"/>
              </w:rPr>
            </w:pPr>
          </w:p>
        </w:tc>
        <w:tc>
          <w:tcPr>
            <w:tcW w:w="1035" w:type="pct"/>
            <w:gridSpan w:val="2"/>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水的重复利用率</w:t>
            </w:r>
          </w:p>
        </w:tc>
        <w:tc>
          <w:tcPr>
            <w:tcW w:w="470"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90</w:t>
            </w:r>
          </w:p>
        </w:tc>
        <w:tc>
          <w:tcPr>
            <w:tcW w:w="1444" w:type="pct"/>
            <w:noWrap w:val="0"/>
            <w:vAlign w:val="center"/>
          </w:tcPr>
          <w:p>
            <w:pPr>
              <w:wordWrap/>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按照A.2计算，并提供相关证明材料。</w:t>
            </w:r>
          </w:p>
        </w:tc>
        <w:tc>
          <w:tcPr>
            <w:tcW w:w="514"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319" w:type="pct"/>
            <w:vMerge w:val="restart"/>
            <w:noWrap w:val="0"/>
            <w:vAlign w:val="center"/>
          </w:tcPr>
          <w:p>
            <w:pPr>
              <w:jc w:val="center"/>
              <w:rPr>
                <w:rFonts w:hint="default" w:ascii="Times New Roman" w:hAnsi="Times New Roman" w:eastAsia="宋体"/>
                <w:bCs/>
                <w:color w:val="000000"/>
                <w:kern w:val="0"/>
                <w:sz w:val="18"/>
                <w:szCs w:val="18"/>
                <w:lang w:val="en-US" w:eastAsia="zh-CN"/>
              </w:rPr>
            </w:pPr>
            <w:r>
              <w:rPr>
                <w:rFonts w:hint="eastAsia" w:ascii="Times New Roman" w:hAnsi="Times New Roman" w:eastAsia="宋体"/>
                <w:bCs/>
                <w:color w:val="000000"/>
                <w:kern w:val="0"/>
                <w:sz w:val="18"/>
                <w:szCs w:val="18"/>
                <w:lang w:val="en-US" w:eastAsia="zh-CN"/>
              </w:rPr>
              <w:t>能源属性</w:t>
            </w:r>
          </w:p>
        </w:tc>
        <w:tc>
          <w:tcPr>
            <w:tcW w:w="401"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单位产品综合能耗</w:t>
            </w: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硫化工艺</w:t>
            </w:r>
          </w:p>
        </w:tc>
        <w:tc>
          <w:tcPr>
            <w:tcW w:w="470" w:type="pct"/>
            <w:vMerge w:val="restar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Tce/万双</w:t>
            </w:r>
          </w:p>
        </w:tc>
        <w:tc>
          <w:tcPr>
            <w:tcW w:w="321" w:type="pct"/>
            <w:vMerge w:val="restar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10.0</w:t>
            </w:r>
          </w:p>
        </w:tc>
        <w:tc>
          <w:tcPr>
            <w:tcW w:w="1444" w:type="pct"/>
            <w:vMerge w:val="restar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按照GB/T 2589要求计算，并提供能耗证明。</w:t>
            </w:r>
          </w:p>
        </w:tc>
        <w:tc>
          <w:tcPr>
            <w:tcW w:w="514"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319" w:type="pct"/>
            <w:vMerge w:val="continue"/>
            <w:noWrap w:val="0"/>
            <w:vAlign w:val="center"/>
          </w:tcPr>
          <w:p>
            <w:pPr>
              <w:jc w:val="center"/>
            </w:pPr>
          </w:p>
        </w:tc>
        <w:tc>
          <w:tcPr>
            <w:tcW w:w="401" w:type="pct"/>
            <w:vMerge w:val="continue"/>
            <w:noWrap w:val="0"/>
            <w:vAlign w:val="center"/>
          </w:tcPr>
          <w:p>
            <w:pPr>
              <w:jc w:val="center"/>
            </w:pP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冷粘工艺</w:t>
            </w:r>
          </w:p>
        </w:tc>
        <w:tc>
          <w:tcPr>
            <w:tcW w:w="470"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32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4.0</w:t>
            </w:r>
          </w:p>
        </w:tc>
        <w:tc>
          <w:tcPr>
            <w:tcW w:w="144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319"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40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bidi="ar-SA"/>
              </w:rPr>
            </w:pP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模压工艺</w:t>
            </w:r>
          </w:p>
        </w:tc>
        <w:tc>
          <w:tcPr>
            <w:tcW w:w="470"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32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7.0</w:t>
            </w:r>
          </w:p>
        </w:tc>
        <w:tc>
          <w:tcPr>
            <w:tcW w:w="144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319"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40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注射工艺</w:t>
            </w:r>
          </w:p>
        </w:tc>
        <w:tc>
          <w:tcPr>
            <w:tcW w:w="470"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32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5.0</w:t>
            </w:r>
          </w:p>
        </w:tc>
        <w:tc>
          <w:tcPr>
            <w:tcW w:w="144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jc w:val="center"/>
        </w:trPr>
        <w:tc>
          <w:tcPr>
            <w:tcW w:w="319"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40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缝绱工艺</w:t>
            </w:r>
          </w:p>
        </w:tc>
        <w:tc>
          <w:tcPr>
            <w:tcW w:w="470"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32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3.0</w:t>
            </w:r>
          </w:p>
        </w:tc>
        <w:tc>
          <w:tcPr>
            <w:tcW w:w="144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19" w:type="pct"/>
            <w:vMerge w:val="restart"/>
            <w:noWrap w:val="0"/>
            <w:vAlign w:val="center"/>
          </w:tcPr>
          <w:p>
            <w:pPr>
              <w:jc w:val="center"/>
              <w:rPr>
                <w:rFonts w:hint="default" w:ascii="Times New Roman" w:hAnsi="Times New Roman" w:eastAsia="宋体"/>
                <w:bCs/>
                <w:color w:val="000000"/>
                <w:kern w:val="0"/>
                <w:sz w:val="18"/>
                <w:szCs w:val="18"/>
                <w:lang w:val="en-US" w:eastAsia="zh-CN"/>
              </w:rPr>
            </w:pPr>
            <w:r>
              <w:rPr>
                <w:rFonts w:hint="eastAsia" w:ascii="Times New Roman" w:hAnsi="Times New Roman" w:eastAsia="宋体"/>
                <w:bCs/>
                <w:color w:val="000000"/>
                <w:kern w:val="0"/>
                <w:sz w:val="18"/>
                <w:szCs w:val="18"/>
                <w:lang w:val="en-US" w:eastAsia="zh-CN"/>
              </w:rPr>
              <w:t>环境属性</w:t>
            </w:r>
          </w:p>
        </w:tc>
        <w:tc>
          <w:tcPr>
            <w:tcW w:w="1035" w:type="pct"/>
            <w:gridSpan w:val="2"/>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大气污染物排放</w:t>
            </w:r>
          </w:p>
        </w:tc>
        <w:tc>
          <w:tcPr>
            <w:tcW w:w="470"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bCs/>
                <w:color w:val="auto"/>
                <w:kern w:val="0"/>
                <w:sz w:val="18"/>
                <w:szCs w:val="18"/>
                <w:lang w:val="en-US" w:eastAsia="zh-CN"/>
              </w:rPr>
              <w:t>产品生产过程大气污染物排放应符合T/CRIA  17002的要求。</w:t>
            </w:r>
          </w:p>
        </w:tc>
        <w:tc>
          <w:tcPr>
            <w:tcW w:w="1444" w:type="pct"/>
            <w:noWrap w:val="0"/>
            <w:vAlign w:val="center"/>
          </w:tcPr>
          <w:p>
            <w:pPr>
              <w:ind w:firstLine="180" w:firstLineChars="100"/>
              <w:rPr>
                <w:rFonts w:hint="eastAsia" w:ascii="Times New Roman" w:hAnsi="Times New Roman" w:eastAsia="宋体" w:cs="Times New Roman"/>
                <w:bCs/>
                <w:color w:val="auto"/>
                <w:kern w:val="0"/>
                <w:sz w:val="18"/>
                <w:szCs w:val="18"/>
                <w:lang w:val="en-US" w:eastAsia="zh-CN" w:bidi="ar-SA"/>
              </w:rPr>
            </w:pPr>
            <w:r>
              <w:rPr>
                <w:rFonts w:hint="eastAsia" w:ascii="Times New Roman" w:hAnsi="Times New Roman" w:eastAsia="宋体"/>
                <w:bCs/>
                <w:color w:val="auto"/>
                <w:kern w:val="0"/>
                <w:sz w:val="18"/>
                <w:szCs w:val="18"/>
                <w:lang w:val="en-US" w:eastAsia="zh-CN"/>
              </w:rPr>
              <w:t>按照T/CRIA 17002规定提供检测报告。</w:t>
            </w:r>
          </w:p>
        </w:tc>
        <w:tc>
          <w:tcPr>
            <w:tcW w:w="514"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hint="default" w:ascii="Times New Roman" w:hAnsi="Times New Roman" w:eastAsia="宋体"/>
                <w:bCs/>
                <w:color w:val="000000"/>
                <w:kern w:val="0"/>
                <w:sz w:val="18"/>
                <w:szCs w:val="18"/>
                <w:lang w:val="en-US" w:eastAsia="zh-CN"/>
              </w:rPr>
            </w:pPr>
          </w:p>
        </w:tc>
        <w:tc>
          <w:tcPr>
            <w:tcW w:w="1035" w:type="pct"/>
            <w:gridSpan w:val="2"/>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固体废物处置率</w:t>
            </w:r>
          </w:p>
        </w:tc>
        <w:tc>
          <w:tcPr>
            <w:tcW w:w="470"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100</w:t>
            </w:r>
          </w:p>
        </w:tc>
        <w:tc>
          <w:tcPr>
            <w:tcW w:w="1444" w:type="pc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按照A.3计算，并提供相关证明材料。</w:t>
            </w:r>
          </w:p>
        </w:tc>
        <w:tc>
          <w:tcPr>
            <w:tcW w:w="514"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319" w:type="pct"/>
            <w:vMerge w:val="restart"/>
            <w:noWrap w:val="0"/>
            <w:vAlign w:val="center"/>
          </w:tcPr>
          <w:p>
            <w:pPr>
              <w:jc w:val="center"/>
              <w:rPr>
                <w:rFonts w:hint="default" w:ascii="Times New Roman" w:hAnsi="Times New Roman" w:eastAsia="宋体"/>
                <w:bCs/>
                <w:color w:val="000000"/>
                <w:kern w:val="0"/>
                <w:sz w:val="18"/>
                <w:szCs w:val="18"/>
                <w:lang w:val="en-US" w:eastAsia="zh-CN"/>
              </w:rPr>
            </w:pPr>
            <w:r>
              <w:rPr>
                <w:rFonts w:hint="eastAsia" w:ascii="Times New Roman" w:hAnsi="Times New Roman" w:eastAsia="宋体"/>
                <w:bCs/>
                <w:color w:val="000000"/>
                <w:kern w:val="0"/>
                <w:sz w:val="18"/>
                <w:szCs w:val="18"/>
                <w:lang w:val="en-US" w:eastAsia="zh-CN"/>
              </w:rPr>
              <w:t>产品属性</w:t>
            </w:r>
          </w:p>
        </w:tc>
        <w:tc>
          <w:tcPr>
            <w:tcW w:w="1035" w:type="pct"/>
            <w:gridSpan w:val="2"/>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成鞋耐折性能</w:t>
            </w:r>
          </w:p>
        </w:tc>
        <w:tc>
          <w:tcPr>
            <w:tcW w:w="470"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连续屈挠10万次，鞋底、帮面无破损，结合部位无开胶，如有预割口，则割口应不延展。</w:t>
            </w:r>
          </w:p>
        </w:tc>
        <w:tc>
          <w:tcPr>
            <w:tcW w:w="1444" w:type="pc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按照GB/T 3903.1方法检测，并提供检测报告。</w:t>
            </w:r>
          </w:p>
        </w:tc>
        <w:tc>
          <w:tcPr>
            <w:tcW w:w="514"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hint="eastAsia" w:ascii="Times New Roman" w:hAnsi="Times New Roman" w:eastAsia="宋体"/>
                <w:bCs/>
                <w:color w:val="000000"/>
                <w:kern w:val="0"/>
                <w:sz w:val="18"/>
                <w:szCs w:val="18"/>
                <w:lang w:val="en-US" w:eastAsia="zh-CN"/>
              </w:rPr>
            </w:pPr>
          </w:p>
        </w:tc>
        <w:tc>
          <w:tcPr>
            <w:tcW w:w="1035" w:type="pct"/>
            <w:gridSpan w:val="2"/>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成鞋结合强度</w:t>
            </w:r>
          </w:p>
        </w:tc>
        <w:tc>
          <w:tcPr>
            <w:tcW w:w="470"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N/mm</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40（或材破）</w:t>
            </w:r>
          </w:p>
        </w:tc>
        <w:tc>
          <w:tcPr>
            <w:tcW w:w="1444" w:type="pc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按照GB/T 20991中5.2方法检测，并提供检测报告。</w:t>
            </w:r>
          </w:p>
        </w:tc>
        <w:tc>
          <w:tcPr>
            <w:tcW w:w="514"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hint="eastAsia" w:ascii="Times New Roman" w:hAnsi="Times New Roman" w:eastAsia="宋体"/>
                <w:bCs/>
                <w:color w:val="000000"/>
                <w:kern w:val="0"/>
                <w:sz w:val="18"/>
                <w:szCs w:val="18"/>
                <w:lang w:val="en-US" w:eastAsia="zh-CN"/>
              </w:rPr>
            </w:pPr>
          </w:p>
        </w:tc>
        <w:tc>
          <w:tcPr>
            <w:tcW w:w="401"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成鞋</w:t>
            </w:r>
          </w:p>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耐久性</w:t>
            </w:r>
          </w:p>
        </w:tc>
        <w:tc>
          <w:tcPr>
            <w:tcW w:w="633"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外观质量</w:t>
            </w:r>
          </w:p>
        </w:tc>
        <w:tc>
          <w:tcPr>
            <w:tcW w:w="470"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无变色、龟裂、喷霜。</w:t>
            </w:r>
          </w:p>
        </w:tc>
        <w:tc>
          <w:tcPr>
            <w:tcW w:w="1444" w:type="pct"/>
            <w:vMerge w:val="restart"/>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按照GB/T 3903.7中湿热老化试验方法检测，性能选择为成鞋结合强度。</w:t>
            </w:r>
          </w:p>
        </w:tc>
        <w:tc>
          <w:tcPr>
            <w:tcW w:w="514"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产品使用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hint="eastAsia" w:ascii="Times New Roman" w:hAnsi="Times New Roman" w:eastAsia="宋体"/>
                <w:bCs/>
                <w:color w:val="000000"/>
                <w:kern w:val="0"/>
                <w:sz w:val="18"/>
                <w:szCs w:val="18"/>
                <w:lang w:val="en-US" w:eastAsia="zh-CN"/>
              </w:rPr>
            </w:pPr>
          </w:p>
        </w:tc>
        <w:tc>
          <w:tcPr>
            <w:tcW w:w="40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633"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性能变化率</w:t>
            </w:r>
          </w:p>
        </w:tc>
        <w:tc>
          <w:tcPr>
            <w:tcW w:w="470"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50</w:t>
            </w:r>
          </w:p>
        </w:tc>
        <w:tc>
          <w:tcPr>
            <w:tcW w:w="1444" w:type="pct"/>
            <w:vMerge w:val="continue"/>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hint="eastAsia" w:ascii="Times New Roman" w:hAnsi="Times New Roman" w:eastAsia="宋体"/>
                <w:bCs/>
                <w:color w:val="000000"/>
                <w:kern w:val="0"/>
                <w:sz w:val="18"/>
                <w:szCs w:val="18"/>
                <w:lang w:val="en-US" w:eastAsia="zh-CN"/>
              </w:rPr>
            </w:pPr>
          </w:p>
        </w:tc>
        <w:tc>
          <w:tcPr>
            <w:tcW w:w="1035" w:type="pct"/>
            <w:gridSpan w:val="2"/>
            <w:noWrap w:val="0"/>
            <w:vAlign w:val="center"/>
          </w:tcPr>
          <w:p>
            <w:pPr>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鞋帮耐水解（聚合材料或聚合材料膜层）</w:t>
            </w:r>
          </w:p>
        </w:tc>
        <w:tc>
          <w:tcPr>
            <w:tcW w:w="470"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连续屈挠15万次，无裂纹、不分层。</w:t>
            </w:r>
          </w:p>
        </w:tc>
        <w:tc>
          <w:tcPr>
            <w:tcW w:w="1444" w:type="pct"/>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按照GB/T 20991中6.10方法检测，并提供检测报告。</w:t>
            </w:r>
          </w:p>
        </w:tc>
        <w:tc>
          <w:tcPr>
            <w:tcW w:w="514"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产品使用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319" w:type="pct"/>
            <w:vMerge w:val="continue"/>
            <w:noWrap w:val="0"/>
            <w:vAlign w:val="center"/>
          </w:tcPr>
          <w:p>
            <w:pPr>
              <w:jc w:val="center"/>
              <w:rPr>
                <w:rFonts w:hint="eastAsia" w:ascii="Times New Roman" w:hAnsi="Times New Roman" w:eastAsia="宋体"/>
                <w:bCs/>
                <w:color w:val="000000"/>
                <w:kern w:val="0"/>
                <w:sz w:val="18"/>
                <w:szCs w:val="18"/>
                <w:lang w:val="en-US" w:eastAsia="zh-CN"/>
              </w:rPr>
            </w:pPr>
          </w:p>
        </w:tc>
        <w:tc>
          <w:tcPr>
            <w:tcW w:w="401"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鞋垫</w:t>
            </w:r>
          </w:p>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抑菌率</w:t>
            </w: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水洗前</w:t>
            </w:r>
          </w:p>
        </w:tc>
        <w:tc>
          <w:tcPr>
            <w:tcW w:w="470" w:type="pct"/>
            <w:vMerge w:val="restar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321"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95</w:t>
            </w:r>
          </w:p>
        </w:tc>
        <w:tc>
          <w:tcPr>
            <w:tcW w:w="1444" w:type="pct"/>
            <w:vMerge w:val="restar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按照QB/T 2881方法检测，菌种为金黄色葡萄球菌、肺炎克雷伯氏菌、白色念珠菌（其中白色念珠菌指标允许降低5%）并提供检测报告。</w:t>
            </w:r>
          </w:p>
        </w:tc>
        <w:tc>
          <w:tcPr>
            <w:tcW w:w="514"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319" w:type="pct"/>
            <w:vMerge w:val="continue"/>
            <w:noWrap w:val="0"/>
            <w:vAlign w:val="center"/>
          </w:tcPr>
          <w:p>
            <w:pPr>
              <w:jc w:val="center"/>
            </w:pPr>
          </w:p>
        </w:tc>
        <w:tc>
          <w:tcPr>
            <w:tcW w:w="401" w:type="pct"/>
            <w:vMerge w:val="continue"/>
            <w:noWrap w:val="0"/>
            <w:vAlign w:val="center"/>
          </w:tcPr>
          <w:p>
            <w:pPr>
              <w:jc w:val="center"/>
            </w:pP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水洗十次</w:t>
            </w:r>
          </w:p>
        </w:tc>
        <w:tc>
          <w:tcPr>
            <w:tcW w:w="470"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32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90</w:t>
            </w:r>
          </w:p>
        </w:tc>
        <w:tc>
          <w:tcPr>
            <w:tcW w:w="144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319" w:type="pct"/>
            <w:vMerge w:val="continue"/>
            <w:noWrap w:val="0"/>
            <w:vAlign w:val="center"/>
          </w:tcPr>
          <w:p>
            <w:pPr>
              <w:jc w:val="center"/>
              <w:rPr>
                <w:rFonts w:hint="eastAsia" w:ascii="Times New Roman" w:hAnsi="Times New Roman" w:eastAsia="宋体"/>
                <w:bCs/>
                <w:color w:val="000000"/>
                <w:kern w:val="0"/>
                <w:sz w:val="18"/>
                <w:szCs w:val="18"/>
                <w:lang w:val="en-US" w:eastAsia="zh-CN"/>
              </w:rPr>
            </w:pPr>
          </w:p>
        </w:tc>
        <w:tc>
          <w:tcPr>
            <w:tcW w:w="401"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鞋垫</w:t>
            </w:r>
          </w:p>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消臭率</w:t>
            </w: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水洗前</w:t>
            </w:r>
          </w:p>
        </w:tc>
        <w:tc>
          <w:tcPr>
            <w:tcW w:w="470" w:type="pct"/>
            <w:vMerge w:val="restar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321"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96</w:t>
            </w:r>
          </w:p>
        </w:tc>
        <w:tc>
          <w:tcPr>
            <w:tcW w:w="1444" w:type="pct"/>
            <w:vMerge w:val="restar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按照ISO 17299.2、ISO 17299.3方法检测，测试气体为氨气、异戊酸。</w:t>
            </w:r>
          </w:p>
        </w:tc>
        <w:tc>
          <w:tcPr>
            <w:tcW w:w="514"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319" w:type="pct"/>
            <w:vMerge w:val="continue"/>
            <w:noWrap w:val="0"/>
            <w:vAlign w:val="center"/>
          </w:tcPr>
          <w:p>
            <w:pPr>
              <w:jc w:val="center"/>
            </w:pPr>
          </w:p>
        </w:tc>
        <w:tc>
          <w:tcPr>
            <w:tcW w:w="401" w:type="pct"/>
            <w:vMerge w:val="continue"/>
            <w:noWrap w:val="0"/>
            <w:vAlign w:val="center"/>
          </w:tcPr>
          <w:p>
            <w:pPr>
              <w:jc w:val="center"/>
            </w:pPr>
          </w:p>
        </w:tc>
        <w:tc>
          <w:tcPr>
            <w:tcW w:w="63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水洗十次</w:t>
            </w:r>
          </w:p>
        </w:tc>
        <w:tc>
          <w:tcPr>
            <w:tcW w:w="470"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32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893"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95</w:t>
            </w:r>
          </w:p>
        </w:tc>
        <w:tc>
          <w:tcPr>
            <w:tcW w:w="144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319" w:type="pct"/>
            <w:vMerge w:val="continue"/>
            <w:noWrap w:val="0"/>
            <w:vAlign w:val="center"/>
          </w:tcPr>
          <w:p>
            <w:pPr>
              <w:jc w:val="center"/>
            </w:pPr>
          </w:p>
        </w:tc>
        <w:tc>
          <w:tcPr>
            <w:tcW w:w="401" w:type="pct"/>
            <w:vMerge w:val="restart"/>
            <w:noWrap w:val="0"/>
            <w:vAlign w:val="center"/>
          </w:tcPr>
          <w:p>
            <w:pPr>
              <w:jc w:val="center"/>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外底耐磨性能</w:t>
            </w:r>
          </w:p>
        </w:tc>
        <w:tc>
          <w:tcPr>
            <w:tcW w:w="633"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比重＞0.9</w:t>
            </w:r>
          </w:p>
        </w:tc>
        <w:tc>
          <w:tcPr>
            <w:tcW w:w="470"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mm</w:t>
            </w:r>
            <w:r>
              <w:rPr>
                <w:rFonts w:hint="eastAsia" w:ascii="Times New Roman" w:hAnsi="Times New Roman" w:eastAsia="宋体" w:cs="Times New Roman"/>
                <w:bCs/>
                <w:color w:val="000000"/>
                <w:kern w:val="0"/>
                <w:sz w:val="18"/>
                <w:szCs w:val="18"/>
                <w:vertAlign w:val="superscript"/>
                <w:lang w:val="en-US" w:eastAsia="zh-CN"/>
              </w:rPr>
              <w:t>3</w:t>
            </w:r>
          </w:p>
        </w:tc>
        <w:tc>
          <w:tcPr>
            <w:tcW w:w="321"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130</w:t>
            </w:r>
          </w:p>
        </w:tc>
        <w:tc>
          <w:tcPr>
            <w:tcW w:w="1444" w:type="pct"/>
            <w:vMerge w:val="restart"/>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按照GB/T 9867方法检测，并提供检测报告。</w:t>
            </w:r>
          </w:p>
        </w:tc>
        <w:tc>
          <w:tcPr>
            <w:tcW w:w="514" w:type="pct"/>
            <w:vMerge w:val="restar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产品使用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319" w:type="pct"/>
            <w:vMerge w:val="continue"/>
            <w:noWrap w:val="0"/>
            <w:vAlign w:val="center"/>
          </w:tcPr>
          <w:p>
            <w:pPr>
              <w:jc w:val="center"/>
            </w:pPr>
          </w:p>
        </w:tc>
        <w:tc>
          <w:tcPr>
            <w:tcW w:w="401" w:type="pct"/>
            <w:vMerge w:val="continue"/>
            <w:noWrap w:val="0"/>
            <w:vAlign w:val="center"/>
          </w:tcPr>
          <w:p>
            <w:pPr>
              <w:jc w:val="center"/>
            </w:pPr>
          </w:p>
        </w:tc>
        <w:tc>
          <w:tcPr>
            <w:tcW w:w="633"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比重≤0.9</w:t>
            </w:r>
          </w:p>
        </w:tc>
        <w:tc>
          <w:tcPr>
            <w:tcW w:w="470"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32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893"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230</w:t>
            </w:r>
          </w:p>
        </w:tc>
        <w:tc>
          <w:tcPr>
            <w:tcW w:w="144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319" w:type="pct"/>
            <w:vMerge w:val="continue"/>
            <w:noWrap w:val="0"/>
            <w:vAlign w:val="center"/>
          </w:tcPr>
          <w:p>
            <w:pPr>
              <w:jc w:val="center"/>
            </w:pPr>
          </w:p>
        </w:tc>
        <w:tc>
          <w:tcPr>
            <w:tcW w:w="401" w:type="pct"/>
            <w:vMerge w:val="continue"/>
            <w:noWrap w:val="0"/>
            <w:vAlign w:val="center"/>
          </w:tcPr>
          <w:p>
            <w:pPr>
              <w:jc w:val="center"/>
            </w:pPr>
          </w:p>
        </w:tc>
        <w:tc>
          <w:tcPr>
            <w:tcW w:w="633"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有附加功能</w:t>
            </w:r>
          </w:p>
        </w:tc>
        <w:tc>
          <w:tcPr>
            <w:tcW w:w="470"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321"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893"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400</w:t>
            </w:r>
          </w:p>
        </w:tc>
        <w:tc>
          <w:tcPr>
            <w:tcW w:w="144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c>
          <w:tcPr>
            <w:tcW w:w="514" w:type="pct"/>
            <w:vMerge w:val="continue"/>
            <w:noWrap w:val="0"/>
            <w:vAlign w:val="center"/>
          </w:tcPr>
          <w:p>
            <w:pPr>
              <w:jc w:val="center"/>
              <w:rPr>
                <w:rFonts w:hint="eastAsia" w:ascii="Times New Roman" w:hAnsi="Times New Roman" w:eastAsia="宋体" w:cs="Times New Roman"/>
                <w:bCs/>
                <w:color w:val="000000"/>
                <w:kern w:val="0"/>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319" w:type="pct"/>
            <w:vMerge w:val="continue"/>
            <w:noWrap w:val="0"/>
            <w:vAlign w:val="center"/>
          </w:tcPr>
          <w:p>
            <w:pPr>
              <w:jc w:val="center"/>
            </w:pPr>
          </w:p>
        </w:tc>
        <w:tc>
          <w:tcPr>
            <w:tcW w:w="1035" w:type="pct"/>
            <w:gridSpan w:val="2"/>
            <w:noWrap w:val="0"/>
            <w:vAlign w:val="center"/>
          </w:tcPr>
          <w:p>
            <w:pPr>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外底耐水解（聚氨酯外底或聚氨酯复合外底）</w:t>
            </w:r>
          </w:p>
        </w:tc>
        <w:tc>
          <w:tcPr>
            <w:tcW w:w="470"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mm</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6</w:t>
            </w:r>
          </w:p>
        </w:tc>
        <w:tc>
          <w:tcPr>
            <w:tcW w:w="1444" w:type="pct"/>
            <w:noWrap w:val="0"/>
            <w:vAlign w:val="center"/>
          </w:tcPr>
          <w:p>
            <w:pPr>
              <w:ind w:firstLine="180" w:firstLineChars="100"/>
              <w:jc w:val="both"/>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按照GB/T 20991中8.5方法检测，并提供检测报告。</w:t>
            </w:r>
          </w:p>
        </w:tc>
        <w:tc>
          <w:tcPr>
            <w:tcW w:w="514"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19" w:type="pct"/>
            <w:vMerge w:val="continue"/>
            <w:noWrap w:val="0"/>
            <w:vAlign w:val="center"/>
          </w:tcPr>
          <w:p>
            <w:pPr>
              <w:jc w:val="center"/>
              <w:rPr>
                <w:rFonts w:hint="eastAsia" w:ascii="Times New Roman" w:hAnsi="Times New Roman" w:eastAsia="宋体"/>
                <w:bCs/>
                <w:color w:val="000000"/>
                <w:kern w:val="0"/>
                <w:sz w:val="18"/>
                <w:szCs w:val="18"/>
                <w:lang w:val="en-US" w:eastAsia="zh-CN"/>
              </w:rPr>
            </w:pPr>
          </w:p>
        </w:tc>
        <w:tc>
          <w:tcPr>
            <w:tcW w:w="1035" w:type="pct"/>
            <w:gridSpan w:val="2"/>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附加功能</w:t>
            </w:r>
          </w:p>
        </w:tc>
        <w:tc>
          <w:tcPr>
            <w:tcW w:w="470" w:type="pct"/>
            <w:noWrap w:val="0"/>
            <w:vAlign w:val="center"/>
          </w:tcPr>
          <w:p>
            <w:pPr>
              <w:jc w:val="center"/>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321"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893" w:type="pc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具有附加功能的产品，应满足功能性要求。</w:t>
            </w:r>
          </w:p>
        </w:tc>
        <w:tc>
          <w:tcPr>
            <w:tcW w:w="1444" w:type="pct"/>
            <w:noWrap w:val="0"/>
            <w:vAlign w:val="center"/>
          </w:tcPr>
          <w:p>
            <w:pPr>
              <w:ind w:firstLine="180" w:firstLineChars="100"/>
              <w:jc w:val="both"/>
              <w:rPr>
                <w:rFonts w:hint="default"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提供“特种劳动防护用品安全标识”（LA）认证证书；或按照A.4 要求，提供相关证明材料。</w:t>
            </w:r>
          </w:p>
        </w:tc>
        <w:tc>
          <w:tcPr>
            <w:tcW w:w="514" w:type="pc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产品使用</w:t>
            </w:r>
          </w:p>
        </w:tc>
      </w:tr>
    </w:tbl>
    <w:p>
      <w:pPr>
        <w:pStyle w:val="13"/>
        <w:numPr>
          <w:ilvl w:val="0"/>
          <w:numId w:val="4"/>
        </w:numPr>
        <w:spacing w:before="240" w:beforeLines="100" w:after="240" w:afterLines="100"/>
      </w:pPr>
      <w:bookmarkStart w:id="60" w:name="_Toc19247"/>
      <w:r>
        <w:rPr>
          <w:rFonts w:hint="eastAsia"/>
        </w:rPr>
        <w:t>产品生命周期评价报告编制方法</w:t>
      </w:r>
      <w:bookmarkEnd w:id="60"/>
    </w:p>
    <w:p>
      <w:pPr>
        <w:pStyle w:val="14"/>
        <w:spacing w:before="156" w:after="156"/>
        <w:rPr>
          <w:rFonts w:hint="eastAsia"/>
        </w:rPr>
      </w:pPr>
      <w:bookmarkStart w:id="61" w:name="_Toc397339771"/>
      <w:bookmarkStart w:id="62" w:name="_Toc387149858"/>
      <w:bookmarkStart w:id="63" w:name="_Toc397070663"/>
      <w:bookmarkStart w:id="64" w:name="_Toc404804677"/>
      <w:bookmarkStart w:id="65" w:name="_Toc424638198"/>
      <w:bookmarkStart w:id="66" w:name="_Toc13040"/>
      <w:bookmarkStart w:id="67" w:name="_Toc19588"/>
      <w:r>
        <w:rPr>
          <w:rFonts w:hint="eastAsia"/>
        </w:rPr>
        <w:t>5.1 方法</w:t>
      </w:r>
      <w:bookmarkEnd w:id="61"/>
      <w:bookmarkEnd w:id="62"/>
      <w:bookmarkEnd w:id="63"/>
      <w:bookmarkEnd w:id="64"/>
      <w:bookmarkEnd w:id="65"/>
      <w:bookmarkEnd w:id="66"/>
      <w:bookmarkEnd w:id="67"/>
    </w:p>
    <w:p>
      <w:pPr>
        <w:pStyle w:val="12"/>
        <w:ind w:firstLine="420"/>
      </w:pPr>
      <w:r>
        <w:rPr>
          <w:rFonts w:hint="eastAsia"/>
        </w:rPr>
        <w:t>依据GB/T 24040和GB/T 24044给出的生命周期评价方法学框架及总体要求编制</w:t>
      </w:r>
      <w:r>
        <w:rPr>
          <w:rFonts w:hint="eastAsia"/>
          <w:lang w:eastAsia="zh-CN"/>
        </w:rPr>
        <w:t>职业用鞋靴</w:t>
      </w:r>
      <w:r>
        <w:rPr>
          <w:rFonts w:hint="eastAsia"/>
        </w:rPr>
        <w:t>产品的生命周期评价报告，参见附录B。</w:t>
      </w:r>
    </w:p>
    <w:p>
      <w:pPr>
        <w:pStyle w:val="14"/>
        <w:spacing w:before="156" w:after="156"/>
        <w:rPr>
          <w:rFonts w:hint="eastAsia"/>
        </w:rPr>
      </w:pPr>
      <w:bookmarkStart w:id="68" w:name="_Toc387149859"/>
      <w:bookmarkStart w:id="69" w:name="_Toc28086"/>
      <w:bookmarkStart w:id="70" w:name="_Toc397339772"/>
      <w:bookmarkStart w:id="71" w:name="_Toc404804678"/>
      <w:bookmarkStart w:id="72" w:name="_Toc397070664"/>
      <w:bookmarkStart w:id="73" w:name="_Toc424638199"/>
      <w:bookmarkStart w:id="74" w:name="_Toc5672"/>
      <w:r>
        <w:rPr>
          <w:rFonts w:hint="eastAsia"/>
        </w:rPr>
        <w:t>5.2 报告内容框架</w:t>
      </w:r>
      <w:bookmarkEnd w:id="68"/>
      <w:bookmarkEnd w:id="69"/>
      <w:bookmarkEnd w:id="70"/>
      <w:bookmarkEnd w:id="71"/>
      <w:bookmarkEnd w:id="72"/>
      <w:bookmarkEnd w:id="73"/>
      <w:bookmarkEnd w:id="74"/>
    </w:p>
    <w:p>
      <w:pPr>
        <w:pStyle w:val="15"/>
        <w:numPr>
          <w:ilvl w:val="0"/>
          <w:numId w:val="0"/>
        </w:numPr>
        <w:spacing w:before="156" w:after="156"/>
      </w:pPr>
      <w:bookmarkStart w:id="75" w:name="_Toc397070665"/>
      <w:bookmarkStart w:id="76" w:name="_Toc387149860"/>
      <w:r>
        <w:rPr>
          <w:rFonts w:hint="eastAsia"/>
        </w:rPr>
        <w:t>5.2.1 基本信息</w:t>
      </w:r>
      <w:bookmarkEnd w:id="75"/>
      <w:bookmarkEnd w:id="76"/>
      <w:r>
        <w:rPr>
          <w:rFonts w:hint="eastAsia"/>
        </w:rPr>
        <w:t xml:space="preserve"> </w:t>
      </w:r>
    </w:p>
    <w:p>
      <w:pPr>
        <w:pStyle w:val="12"/>
        <w:ind w:firstLine="0" w:firstLineChars="0"/>
      </w:pPr>
      <w:r>
        <w:rPr>
          <w:rFonts w:hint="eastAsia"/>
        </w:rPr>
        <w:t xml:space="preserve">    报告应提供报告信息、申请者信息、评估对象信息、采用的标准信息等基本信息，其中报告信息包括报告编号、编制人员、审核人员、发布日期等，申请者信息包括公司全称、统一社会信用代码、地址、联系人、联系方式等。</w:t>
      </w:r>
    </w:p>
    <w:p>
      <w:pPr>
        <w:pStyle w:val="12"/>
        <w:ind w:firstLine="420"/>
      </w:pPr>
      <w:r>
        <w:rPr>
          <w:rFonts w:hint="eastAsia"/>
        </w:rPr>
        <w:t>在报告中应标产品的主要技术参数和功能，包括：物理形态、生产厂家、使用范围、产品规格、主要原材料组成和主要注意事项等。产品重量、包装的大小和材质也应在生命周期评价报告中阐明。</w:t>
      </w:r>
    </w:p>
    <w:p>
      <w:pPr>
        <w:pStyle w:val="15"/>
        <w:numPr>
          <w:ilvl w:val="0"/>
          <w:numId w:val="0"/>
        </w:numPr>
        <w:spacing w:before="156" w:after="156"/>
      </w:pPr>
      <w:bookmarkStart w:id="77" w:name="_Toc387149861"/>
      <w:bookmarkStart w:id="78" w:name="_Toc397070666"/>
      <w:r>
        <w:rPr>
          <w:rFonts w:hint="eastAsia"/>
        </w:rPr>
        <w:t>5.2.2 符合性评价</w:t>
      </w:r>
      <w:bookmarkEnd w:id="77"/>
      <w:bookmarkEnd w:id="78"/>
    </w:p>
    <w:p>
      <w:pPr>
        <w:pStyle w:val="12"/>
        <w:ind w:firstLine="0" w:firstLineChars="0"/>
      </w:pPr>
      <w:r>
        <w:rPr>
          <w:rFonts w:hint="eastAsia"/>
        </w:rPr>
        <w:t xml:space="preserve">    报告中应提供对基本要求和评价指标要求的符合性情况，并提供所有评价指标报告期比基期改进情况的说明，或同等功能产品对比情况的说明。其中报告期为当前评价的年份，一般是指产品参与评价年份的上一年；基期为一个对照年份，一般比报告期提前一年。</w:t>
      </w:r>
    </w:p>
    <w:p>
      <w:pPr>
        <w:pStyle w:val="15"/>
        <w:numPr>
          <w:ilvl w:val="0"/>
          <w:numId w:val="0"/>
        </w:numPr>
        <w:spacing w:before="156" w:after="156"/>
      </w:pPr>
      <w:bookmarkStart w:id="79" w:name="_Toc397070667"/>
      <w:bookmarkStart w:id="80" w:name="_Toc387149862"/>
      <w:r>
        <w:rPr>
          <w:rFonts w:hint="eastAsia"/>
        </w:rPr>
        <w:t>5.2.3 生命周期评价</w:t>
      </w:r>
      <w:bookmarkEnd w:id="79"/>
      <w:bookmarkEnd w:id="80"/>
    </w:p>
    <w:p>
      <w:pPr>
        <w:pStyle w:val="16"/>
        <w:spacing w:before="156" w:after="156"/>
      </w:pPr>
      <w:r>
        <w:rPr>
          <w:rFonts w:hint="eastAsia"/>
        </w:rPr>
        <w:t>5.2.3.1 评价对象及工具</w:t>
      </w:r>
    </w:p>
    <w:p>
      <w:pPr>
        <w:pStyle w:val="12"/>
        <w:ind w:firstLine="420"/>
      </w:pPr>
      <w:r>
        <w:rPr>
          <w:rFonts w:hint="eastAsia"/>
        </w:rPr>
        <w:t>报告中应详细描述评估的对象、功能单位和产品主要功能，提供产品的材料构成及主要技术参数表，绘制并说明产品的系统边界，披露所使用的基于中国生命周期数据库的软件工具。</w:t>
      </w:r>
    </w:p>
    <w:p>
      <w:pPr>
        <w:pStyle w:val="12"/>
        <w:ind w:firstLine="420"/>
      </w:pPr>
      <w:r>
        <w:rPr>
          <w:rFonts w:hint="eastAsia"/>
        </w:rPr>
        <w:t>本标准以“1</w:t>
      </w:r>
      <w:r>
        <w:rPr>
          <w:rFonts w:hint="eastAsia"/>
          <w:lang w:val="en-US" w:eastAsia="zh-CN"/>
        </w:rPr>
        <w:t>万双</w:t>
      </w:r>
      <w:r>
        <w:rPr>
          <w:rFonts w:hint="eastAsia"/>
          <w:lang w:eastAsia="zh-CN"/>
        </w:rPr>
        <w:t>职业用鞋靴</w:t>
      </w:r>
      <w:r>
        <w:rPr>
          <w:rFonts w:hint="eastAsia"/>
        </w:rPr>
        <w:t>”为功能单元来表示。</w:t>
      </w:r>
    </w:p>
    <w:p>
      <w:pPr>
        <w:pStyle w:val="16"/>
        <w:spacing w:before="156" w:after="156"/>
      </w:pPr>
      <w:r>
        <w:rPr>
          <w:rFonts w:hint="eastAsia"/>
        </w:rPr>
        <w:t>5.2.3.2 生命周期清单分析</w:t>
      </w:r>
    </w:p>
    <w:p>
      <w:pPr>
        <w:pStyle w:val="12"/>
        <w:ind w:firstLine="420"/>
      </w:pPr>
      <w:r>
        <w:rPr>
          <w:rFonts w:hint="eastAsia"/>
        </w:rPr>
        <w:t>报告中应提供考虑的生命周期阶段，依据附录B说明每个阶段所考虑的清单因子及收集到的现场数据或背景数据，涉及到数据分配的情况应说明分配方法和结果。</w:t>
      </w:r>
    </w:p>
    <w:p>
      <w:pPr>
        <w:pStyle w:val="16"/>
        <w:spacing w:before="156" w:after="156"/>
      </w:pPr>
      <w:r>
        <w:rPr>
          <w:rFonts w:hint="eastAsia"/>
        </w:rPr>
        <w:t>5.2.3.3 生命周期影响评价</w:t>
      </w:r>
    </w:p>
    <w:p>
      <w:pPr>
        <w:pStyle w:val="12"/>
        <w:ind w:firstLine="420"/>
      </w:pPr>
      <w:r>
        <w:rPr>
          <w:rFonts w:hint="eastAsia"/>
        </w:rPr>
        <w:t>报告中应提供</w:t>
      </w:r>
      <w:r>
        <w:rPr>
          <w:rFonts w:hint="eastAsia"/>
          <w:lang w:eastAsia="zh-CN"/>
        </w:rPr>
        <w:t>职业用鞋靴</w:t>
      </w:r>
      <w:r>
        <w:rPr>
          <w:rFonts w:hint="eastAsia"/>
        </w:rPr>
        <w:t>产品生命周期各阶段的不同影响类型的特征化值，并对不同影响类在各生命周期阶段的分布情况进行比较分析。</w:t>
      </w:r>
    </w:p>
    <w:p>
      <w:pPr>
        <w:pStyle w:val="15"/>
        <w:numPr>
          <w:ilvl w:val="0"/>
          <w:numId w:val="0"/>
        </w:numPr>
        <w:spacing w:before="156" w:after="156"/>
      </w:pPr>
      <w:bookmarkStart w:id="81" w:name="_Toc397070668"/>
      <w:bookmarkStart w:id="82" w:name="_Toc387149863"/>
      <w:r>
        <w:rPr>
          <w:rFonts w:hint="eastAsia"/>
        </w:rPr>
        <w:t>5.2.3.4 绿色设计改进方案</w:t>
      </w:r>
      <w:bookmarkEnd w:id="81"/>
      <w:bookmarkEnd w:id="82"/>
    </w:p>
    <w:p>
      <w:pPr>
        <w:pStyle w:val="12"/>
        <w:ind w:firstLine="420"/>
      </w:pPr>
      <w:r>
        <w:rPr>
          <w:rFonts w:hint="eastAsia"/>
        </w:rPr>
        <w:t>在分析指标的符合性评价结果以及生命周期评价结果的基础上，为了生产环境效益或至少将环境责任降至最低，应根据清单分析和影响评价阶段的信息提出一系列与</w:t>
      </w:r>
      <w:r>
        <w:rPr>
          <w:rFonts w:hint="eastAsia"/>
          <w:lang w:eastAsia="zh-CN"/>
        </w:rPr>
        <w:t>职业用鞋靴</w:t>
      </w:r>
      <w:r>
        <w:rPr>
          <w:rFonts w:hint="eastAsia"/>
        </w:rPr>
        <w:t>产品相关的生态设计改进方案，提出产品绿色设计改进的具体方案。</w:t>
      </w:r>
    </w:p>
    <w:p>
      <w:pPr>
        <w:pStyle w:val="15"/>
        <w:numPr>
          <w:ilvl w:val="0"/>
          <w:numId w:val="0"/>
        </w:numPr>
        <w:spacing w:before="156" w:after="156"/>
      </w:pPr>
      <w:bookmarkStart w:id="83" w:name="_Toc397070669"/>
      <w:bookmarkStart w:id="84" w:name="_Toc387149864"/>
      <w:r>
        <w:rPr>
          <w:rFonts w:hint="eastAsia"/>
        </w:rPr>
        <w:t>5.2.4 评价报告主要结论</w:t>
      </w:r>
      <w:bookmarkEnd w:id="83"/>
      <w:bookmarkEnd w:id="84"/>
    </w:p>
    <w:p>
      <w:pPr>
        <w:pStyle w:val="12"/>
        <w:ind w:firstLine="420"/>
      </w:pPr>
      <w:r>
        <w:rPr>
          <w:rFonts w:hint="eastAsia"/>
        </w:rPr>
        <w:t>应说明该产品对评价指标的符合性结论、生命周期评价结果、提出的改进方案，并根据评价结论初步判断该产品是否为绿色设计产品。</w:t>
      </w:r>
    </w:p>
    <w:p>
      <w:pPr>
        <w:pStyle w:val="15"/>
        <w:numPr>
          <w:ilvl w:val="0"/>
          <w:numId w:val="0"/>
        </w:numPr>
        <w:spacing w:before="156" w:after="156"/>
      </w:pPr>
      <w:bookmarkStart w:id="85" w:name="_Toc397070670"/>
      <w:bookmarkStart w:id="86" w:name="_Toc387149865"/>
      <w:r>
        <w:rPr>
          <w:rFonts w:hint="eastAsia"/>
        </w:rPr>
        <w:t>5.2.5 附件</w:t>
      </w:r>
      <w:bookmarkEnd w:id="85"/>
      <w:bookmarkEnd w:id="86"/>
    </w:p>
    <w:p>
      <w:pPr>
        <w:pStyle w:val="12"/>
        <w:ind w:firstLine="0" w:firstLineChars="0"/>
      </w:pPr>
      <w:r>
        <w:rPr>
          <w:rFonts w:hint="eastAsia"/>
        </w:rPr>
        <w:t xml:space="preserve">    报告中应在附件中提供：</w:t>
      </w:r>
    </w:p>
    <w:p>
      <w:pPr>
        <w:pStyle w:val="17"/>
        <w:ind w:left="2393" w:hanging="266"/>
      </w:pPr>
      <w:r>
        <w:rPr>
          <w:rFonts w:hint="eastAsia"/>
        </w:rPr>
        <w:t>产品原始包装图；</w:t>
      </w:r>
    </w:p>
    <w:p>
      <w:pPr>
        <w:pStyle w:val="17"/>
        <w:ind w:left="2393" w:hanging="266"/>
      </w:pPr>
      <w:r>
        <w:rPr>
          <w:rFonts w:hint="eastAsia"/>
        </w:rPr>
        <w:t>产品生产材料清单；</w:t>
      </w:r>
    </w:p>
    <w:p>
      <w:pPr>
        <w:pStyle w:val="17"/>
        <w:ind w:left="2393" w:hanging="266"/>
      </w:pPr>
      <w:r>
        <w:rPr>
          <w:rFonts w:hint="eastAsia"/>
        </w:rPr>
        <w:t>产品工艺表（产品生产工艺过程等）；</w:t>
      </w:r>
    </w:p>
    <w:p>
      <w:pPr>
        <w:pStyle w:val="17"/>
        <w:ind w:left="2393" w:hanging="266"/>
      </w:pPr>
      <w:r>
        <w:rPr>
          <w:rFonts w:hint="eastAsia"/>
        </w:rPr>
        <w:t>各单元过程的数据收集表；</w:t>
      </w:r>
    </w:p>
    <w:p>
      <w:pPr>
        <w:pStyle w:val="17"/>
        <w:ind w:left="2393" w:hanging="266"/>
      </w:pPr>
      <w:r>
        <w:rPr>
          <w:rFonts w:hint="eastAsia"/>
        </w:rPr>
        <w:t>其他。</w:t>
      </w:r>
    </w:p>
    <w:p>
      <w:pPr>
        <w:pStyle w:val="17"/>
        <w:numPr>
          <w:ilvl w:val="0"/>
          <w:numId w:val="0"/>
        </w:numPr>
        <w:ind w:left="2127"/>
      </w:pPr>
    </w:p>
    <w:p>
      <w:pPr>
        <w:pStyle w:val="13"/>
        <w:numPr>
          <w:ilvl w:val="0"/>
          <w:numId w:val="4"/>
        </w:numPr>
        <w:spacing w:before="240" w:beforeLines="100" w:after="240" w:afterLines="100"/>
      </w:pPr>
      <w:bookmarkStart w:id="87" w:name="_Toc424638200"/>
      <w:bookmarkStart w:id="88" w:name="_Toc7937"/>
      <w:r>
        <w:rPr>
          <w:rFonts w:hint="eastAsia"/>
        </w:rPr>
        <w:t>评价方法</w:t>
      </w:r>
      <w:bookmarkEnd w:id="87"/>
      <w:bookmarkEnd w:id="88"/>
    </w:p>
    <w:p>
      <w:pPr>
        <w:widowControl/>
        <w:tabs>
          <w:tab w:val="center" w:pos="4201"/>
          <w:tab w:val="right" w:leader="dot" w:pos="9298"/>
        </w:tabs>
        <w:autoSpaceDE w:val="0"/>
        <w:autoSpaceDN w:val="0"/>
        <w:ind w:firstLine="420" w:firstLineChars="200"/>
        <w:rPr>
          <w:rFonts w:ascii="Times New Roman" w:hAnsi="Times New Roman" w:eastAsia="宋体"/>
          <w:kern w:val="0"/>
          <w:szCs w:val="20"/>
        </w:rPr>
      </w:pPr>
      <w:r>
        <w:rPr>
          <w:rFonts w:hint="eastAsia" w:ascii="Times New Roman" w:hAnsi="Times New Roman" w:eastAsia="宋体"/>
          <w:kern w:val="0"/>
          <w:szCs w:val="20"/>
        </w:rPr>
        <w:t>可按照</w:t>
      </w:r>
      <w:r>
        <w:rPr>
          <w:rFonts w:ascii="Times New Roman" w:hAnsi="Times New Roman" w:eastAsia="宋体"/>
          <w:kern w:val="0"/>
          <w:szCs w:val="20"/>
        </w:rPr>
        <w:t>4.1</w:t>
      </w:r>
      <w:r>
        <w:rPr>
          <w:rFonts w:hint="eastAsia" w:ascii="Times New Roman" w:hAnsi="Times New Roman" w:eastAsia="宋体"/>
          <w:kern w:val="0"/>
          <w:szCs w:val="20"/>
        </w:rPr>
        <w:t>和</w:t>
      </w:r>
      <w:r>
        <w:rPr>
          <w:rFonts w:ascii="Times New Roman" w:hAnsi="Times New Roman" w:eastAsia="宋体"/>
          <w:kern w:val="0"/>
          <w:szCs w:val="20"/>
        </w:rPr>
        <w:t>4.2</w:t>
      </w:r>
      <w:r>
        <w:rPr>
          <w:rFonts w:hint="eastAsia" w:ascii="Times New Roman" w:hAnsi="Times New Roman" w:eastAsia="宋体"/>
          <w:kern w:val="0"/>
          <w:szCs w:val="20"/>
        </w:rPr>
        <w:t>的要求开展自我评价或第三方评价。</w:t>
      </w:r>
    </w:p>
    <w:p>
      <w:pPr>
        <w:pStyle w:val="17"/>
        <w:numPr>
          <w:ilvl w:val="0"/>
          <w:numId w:val="0"/>
        </w:numPr>
        <w:ind w:left="834" w:hanging="408"/>
        <w:rPr>
          <w:rFonts w:hint="eastAsia" w:ascii="Times New Roman"/>
        </w:rPr>
      </w:pPr>
      <w:r>
        <w:rPr>
          <w:rFonts w:hint="eastAsia" w:ascii="Times New Roman"/>
        </w:rPr>
        <w:t>满足以下要求的产品可判定为绿色设计产品：</w:t>
      </w:r>
    </w:p>
    <w:p>
      <w:pPr>
        <w:pStyle w:val="17"/>
        <w:numPr>
          <w:ilvl w:val="0"/>
          <w:numId w:val="0"/>
        </w:numPr>
        <w:ind w:left="834" w:hanging="408"/>
        <w:rPr>
          <w:rFonts w:hint="eastAsia" w:ascii="Times New Roman"/>
        </w:rPr>
      </w:pPr>
      <w:r>
        <w:rPr>
          <w:rFonts w:hint="eastAsia" w:ascii="Times New Roman"/>
        </w:rPr>
        <w:t xml:space="preserve">                ——满足本标准4.1的要求；</w:t>
      </w:r>
    </w:p>
    <w:p>
      <w:pPr>
        <w:pStyle w:val="17"/>
        <w:numPr>
          <w:ilvl w:val="0"/>
          <w:numId w:val="0"/>
        </w:numPr>
        <w:ind w:left="834" w:hanging="408"/>
        <w:rPr>
          <w:rFonts w:hint="eastAsia" w:ascii="Times New Roman"/>
        </w:rPr>
      </w:pPr>
      <w:r>
        <w:rPr>
          <w:rFonts w:hint="eastAsia" w:ascii="Times New Roman"/>
        </w:rPr>
        <w:t xml:space="preserve">                ——满足本标准4.2的要求；</w:t>
      </w:r>
    </w:p>
    <w:p>
      <w:pPr>
        <w:pStyle w:val="17"/>
        <w:numPr>
          <w:ilvl w:val="0"/>
          <w:numId w:val="0"/>
        </w:numPr>
        <w:ind w:left="834" w:hanging="408"/>
        <w:rPr>
          <w:rFonts w:hint="eastAsia" w:ascii="Times New Roman"/>
        </w:rPr>
      </w:pPr>
      <w:r>
        <w:rPr>
          <w:rFonts w:hint="eastAsia" w:ascii="Times New Roman"/>
        </w:rPr>
        <w:t xml:space="preserve">                ——按照第5章提供</w:t>
      </w:r>
      <w:r>
        <w:rPr>
          <w:rFonts w:hint="eastAsia" w:ascii="Times New Roman"/>
          <w:lang w:eastAsia="zh-CN"/>
        </w:rPr>
        <w:t>职业用鞋靴</w:t>
      </w:r>
      <w:r>
        <w:rPr>
          <w:rFonts w:hint="eastAsia" w:ascii="Times New Roman"/>
        </w:rPr>
        <w:t>产品生命周期评价报告的。</w:t>
      </w:r>
    </w:p>
    <w:p>
      <w:pPr>
        <w:pStyle w:val="17"/>
        <w:numPr>
          <w:ilvl w:val="0"/>
          <w:numId w:val="0"/>
        </w:numPr>
        <w:ind w:left="425" w:firstLine="420" w:firstLineChars="200"/>
        <w:rPr>
          <w:rFonts w:hint="eastAsia" w:ascii="Times New Roman"/>
        </w:rPr>
      </w:pPr>
      <w:r>
        <w:rPr>
          <w:rFonts w:hint="eastAsia" w:ascii="Times New Roman"/>
        </w:rPr>
        <w:t>判定为绿色设计产品的可按照GB/T 32162的要求粘贴表示，可以各种形式进行相关信息自我声明，声明内容包括但不限于本标准4.1和4.2的要求，但需要提供相关的符合有关要求的验证说明材料。</w:t>
      </w:r>
    </w:p>
    <w:p>
      <w:pPr>
        <w:pStyle w:val="13"/>
        <w:numPr>
          <w:ilvl w:val="0"/>
          <w:numId w:val="0"/>
        </w:numPr>
        <w:spacing w:before="120" w:after="120"/>
        <w:jc w:val="center"/>
        <w:outlineLvl w:val="9"/>
      </w:pPr>
      <w:r>
        <w:rPr>
          <w:rFonts w:hint="eastAsia" w:ascii="Times New Roman"/>
        </w:rPr>
        <w:br w:type="page"/>
      </w:r>
      <w:bookmarkStart w:id="89" w:name="_Toc10010"/>
      <w:r>
        <w:rPr>
          <w:rFonts w:hint="eastAsia"/>
        </w:rPr>
        <w:t>附录A</w:t>
      </w:r>
      <w:r>
        <w:br w:type="textWrapping"/>
      </w:r>
      <w:r>
        <w:rPr>
          <w:rFonts w:hint="eastAsia"/>
        </w:rPr>
        <w:t>（规范性附录）</w:t>
      </w:r>
      <w:r>
        <w:br w:type="textWrapping"/>
      </w:r>
      <w:r>
        <w:rPr>
          <w:rFonts w:hint="eastAsia"/>
        </w:rPr>
        <w:t>检验方法和指标计算方法</w:t>
      </w:r>
      <w:bookmarkEnd w:id="89"/>
    </w:p>
    <w:p>
      <w:pPr>
        <w:widowControl/>
        <w:ind w:firstLine="420" w:firstLineChars="200"/>
        <w:rPr>
          <w:rFonts w:ascii="Times New Roman" w:hAnsi="Times New Roman" w:eastAsia="宋体"/>
          <w:kern w:val="0"/>
          <w:szCs w:val="20"/>
        </w:rPr>
      </w:pPr>
    </w:p>
    <w:p>
      <w:pPr>
        <w:widowControl/>
        <w:spacing w:before="120" w:beforeLines="50" w:after="120" w:afterLines="50"/>
        <w:jc w:val="left"/>
        <w:outlineLvl w:val="3"/>
        <w:rPr>
          <w:rFonts w:hint="default" w:ascii="Times New Roman" w:hAnsi="Times New Roman" w:eastAsia="黑体"/>
          <w:kern w:val="0"/>
          <w:szCs w:val="21"/>
          <w:lang w:val="en-US" w:eastAsia="zh-CN"/>
        </w:rPr>
      </w:pPr>
      <w:r>
        <w:rPr>
          <w:rFonts w:hint="eastAsia" w:ascii="Times New Roman" w:hAnsi="Times New Roman" w:eastAsia="黑体"/>
          <w:kern w:val="0"/>
          <w:szCs w:val="21"/>
        </w:rPr>
        <w:t xml:space="preserve">A.1 </w:t>
      </w:r>
      <w:r>
        <w:rPr>
          <w:rFonts w:hint="eastAsia" w:ascii="Times New Roman" w:hAnsi="Times New Roman" w:eastAsia="黑体"/>
          <w:kern w:val="0"/>
          <w:szCs w:val="21"/>
          <w:lang w:val="en-US" w:eastAsia="zh-CN"/>
        </w:rPr>
        <w:t>原材料有效利用率</w:t>
      </w:r>
    </w:p>
    <w:p>
      <w:pPr>
        <w:pStyle w:val="12"/>
        <w:shd w:val="clear" w:color="auto" w:fill="auto"/>
        <w:ind w:firstLine="420"/>
        <w:rPr>
          <w:rFonts w:ascii="Times New Roman"/>
          <w:szCs w:val="22"/>
        </w:rPr>
      </w:pPr>
      <w:r>
        <w:rPr>
          <w:rFonts w:hint="eastAsia" w:ascii="Times New Roman"/>
          <w:szCs w:val="22"/>
          <w:lang w:val="en-US" w:eastAsia="zh-CN"/>
        </w:rPr>
        <w:t>单位数量的合格产品</w:t>
      </w:r>
      <w:r>
        <w:rPr>
          <w:rFonts w:hint="eastAsia" w:ascii="Times New Roman"/>
          <w:szCs w:val="22"/>
        </w:rPr>
        <w:t>中包含原材料数量占</w:t>
      </w:r>
      <w:r>
        <w:rPr>
          <w:rFonts w:hint="eastAsia" w:ascii="Times New Roman"/>
          <w:szCs w:val="22"/>
          <w:lang w:val="en-US" w:eastAsia="zh-CN"/>
        </w:rPr>
        <w:t>生产</w:t>
      </w:r>
      <w:r>
        <w:rPr>
          <w:rFonts w:hint="eastAsia" w:ascii="Times New Roman"/>
          <w:szCs w:val="22"/>
        </w:rPr>
        <w:t>该</w:t>
      </w:r>
      <w:r>
        <w:rPr>
          <w:rFonts w:hint="eastAsia" w:ascii="Times New Roman"/>
          <w:szCs w:val="22"/>
          <w:lang w:val="en-US" w:eastAsia="zh-CN"/>
        </w:rPr>
        <w:t>产品</w:t>
      </w:r>
      <w:r>
        <w:rPr>
          <w:rFonts w:hint="eastAsia" w:ascii="Times New Roman"/>
          <w:szCs w:val="22"/>
        </w:rPr>
        <w:t>所消耗原材料的总耗量的比重</w:t>
      </w:r>
      <w:r>
        <w:rPr>
          <w:rFonts w:hint="eastAsia" w:ascii="Times New Roman"/>
          <w:szCs w:val="22"/>
          <w:lang w:eastAsia="zh-CN"/>
        </w:rPr>
        <w:t>。</w:t>
      </w:r>
      <w:r>
        <w:rPr>
          <w:rFonts w:hint="eastAsia" w:ascii="Times New Roman"/>
          <w:szCs w:val="22"/>
        </w:rPr>
        <w:t>原材料总</w:t>
      </w:r>
      <w:r>
        <w:rPr>
          <w:rFonts w:hint="eastAsia" w:ascii="Times New Roman"/>
          <w:szCs w:val="22"/>
          <w:lang w:val="en-US" w:eastAsia="zh-CN"/>
        </w:rPr>
        <w:t>耗</w:t>
      </w:r>
      <w:r>
        <w:rPr>
          <w:rFonts w:hint="eastAsia" w:ascii="Times New Roman"/>
          <w:szCs w:val="22"/>
        </w:rPr>
        <w:t>量是指产品用到的所有原材料(不含水)的总</w:t>
      </w:r>
      <w:r>
        <w:rPr>
          <w:rFonts w:hint="eastAsia" w:ascii="Times New Roman"/>
          <w:szCs w:val="22"/>
          <w:lang w:val="en-US" w:eastAsia="zh-CN"/>
        </w:rPr>
        <w:t>消耗</w:t>
      </w:r>
      <w:r>
        <w:rPr>
          <w:rFonts w:hint="eastAsia" w:ascii="Times New Roman"/>
          <w:szCs w:val="22"/>
        </w:rPr>
        <w:t>量。按公式(A.</w:t>
      </w:r>
      <w:r>
        <w:rPr>
          <w:rFonts w:hint="eastAsia" w:ascii="Times New Roman"/>
          <w:szCs w:val="22"/>
          <w:lang w:val="en-US" w:eastAsia="zh-CN"/>
        </w:rPr>
        <w:t>1</w:t>
      </w:r>
      <w:r>
        <w:rPr>
          <w:rFonts w:hint="eastAsia" w:ascii="Times New Roman"/>
          <w:szCs w:val="22"/>
        </w:rPr>
        <w:t>)计算:</w:t>
      </w:r>
    </w:p>
    <w:p>
      <w:pPr>
        <w:pStyle w:val="12"/>
        <w:keepNext w:val="0"/>
        <w:keepLines w:val="0"/>
        <w:pageBreakBefore w:val="0"/>
        <w:widowControl/>
        <w:shd w:val="clear" w:color="auto" w:fill="auto"/>
        <w:kinsoku/>
        <w:wordWrap/>
        <w:overflowPunct/>
        <w:topLinePunct w:val="0"/>
        <w:autoSpaceDE w:val="0"/>
        <w:autoSpaceDN w:val="0"/>
        <w:bidi w:val="0"/>
        <w:adjustRightInd/>
        <w:snapToGrid/>
        <w:ind w:firstLine="420"/>
        <w:jc w:val="right"/>
        <w:textAlignment w:val="auto"/>
        <w:rPr>
          <w:rFonts w:ascii="Times New Roman"/>
          <w:szCs w:val="22"/>
        </w:rPr>
      </w:pPr>
      <w:r>
        <w:rPr>
          <w:rFonts w:hint="eastAsia" w:ascii="Times New Roman"/>
          <w:szCs w:val="22"/>
        </w:rPr>
        <w:t xml:space="preserve"> </w:t>
      </w:r>
      <w:r>
        <w:rPr>
          <w:rFonts w:hint="eastAsia" w:ascii="Times New Roman"/>
          <w:position w:val="-30"/>
          <w:szCs w:val="22"/>
        </w:rPr>
        <w:object>
          <v:shape id="_x0000_i1025" o:spt="75" type="#_x0000_t75" style="height:33.65pt;width:95.45pt;" o:ole="t" filled="f" o:preferrelative="t" stroked="f" coordsize="21600,21600">
            <v:path/>
            <v:fill on="f" focussize="0,0"/>
            <v:stroke on="f"/>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Times New Roman"/>
          <w:szCs w:val="22"/>
        </w:rPr>
        <w:t xml:space="preserve">          …………………… (A.</w:t>
      </w:r>
      <w:r>
        <w:rPr>
          <w:rFonts w:hint="eastAsia" w:ascii="Times New Roman"/>
          <w:szCs w:val="22"/>
          <w:lang w:val="en-US" w:eastAsia="zh-CN"/>
        </w:rPr>
        <w:t>1</w:t>
      </w:r>
      <w:r>
        <w:rPr>
          <w:rFonts w:hint="eastAsia" w:ascii="Times New Roman"/>
          <w:szCs w:val="22"/>
        </w:rPr>
        <w:t>)</w:t>
      </w:r>
    </w:p>
    <w:p>
      <w:pPr>
        <w:pStyle w:val="12"/>
        <w:shd w:val="clear" w:color="auto" w:fill="auto"/>
        <w:ind w:firstLine="420"/>
        <w:rPr>
          <w:rFonts w:ascii="Times New Roman"/>
          <w:szCs w:val="22"/>
        </w:rPr>
      </w:pPr>
      <w:r>
        <w:rPr>
          <w:rFonts w:hint="eastAsia" w:ascii="Times New Roman"/>
          <w:szCs w:val="22"/>
        </w:rPr>
        <w:t>式中:</w:t>
      </w:r>
    </w:p>
    <w:p>
      <w:pPr>
        <w:pStyle w:val="12"/>
        <w:shd w:val="clear" w:color="auto" w:fill="auto"/>
        <w:ind w:firstLine="420"/>
        <w:rPr>
          <w:rFonts w:ascii="Times New Roman"/>
          <w:szCs w:val="22"/>
        </w:rPr>
      </w:pPr>
      <w:r>
        <w:rPr>
          <w:rFonts w:hint="eastAsia" w:ascii="Times New Roman"/>
          <w:szCs w:val="22"/>
        </w:rPr>
        <w:t>L</w:t>
      </w:r>
      <w:r>
        <w:rPr>
          <w:rFonts w:hint="eastAsia" w:ascii="Times New Roman"/>
          <w:szCs w:val="22"/>
          <w:lang w:val="en-US" w:eastAsia="zh-CN"/>
        </w:rPr>
        <w:t xml:space="preserve"> </w:t>
      </w:r>
      <w:r>
        <w:rPr>
          <w:rFonts w:hint="eastAsia" w:ascii="Times New Roman"/>
          <w:szCs w:val="22"/>
        </w:rPr>
        <w:t>———</w:t>
      </w:r>
      <w:r>
        <w:rPr>
          <w:rFonts w:hint="eastAsia" w:ascii="Times New Roman"/>
          <w:szCs w:val="22"/>
          <w:lang w:val="en-US" w:eastAsia="zh-CN"/>
        </w:rPr>
        <w:t>原材料有效利用率，以%表示</w:t>
      </w:r>
      <w:r>
        <w:rPr>
          <w:rFonts w:hint="eastAsia" w:ascii="Times New Roman"/>
          <w:szCs w:val="22"/>
        </w:rPr>
        <w:t>;</w:t>
      </w:r>
    </w:p>
    <w:p>
      <w:pPr>
        <w:pStyle w:val="12"/>
        <w:shd w:val="clear" w:color="auto" w:fill="auto"/>
        <w:ind w:firstLine="420"/>
        <w:rPr>
          <w:rFonts w:ascii="Times New Roman"/>
          <w:szCs w:val="22"/>
        </w:rPr>
      </w:pPr>
      <w:r>
        <w:rPr>
          <w:rFonts w:hint="eastAsia" w:ascii="Times New Roman"/>
          <w:szCs w:val="22"/>
        </w:rPr>
        <w:t>M</w:t>
      </w:r>
      <w:r>
        <w:rPr>
          <w:rFonts w:hint="eastAsia" w:ascii="Times New Roman"/>
          <w:szCs w:val="22"/>
          <w:vertAlign w:val="subscript"/>
        </w:rPr>
        <w:t>i</w:t>
      </w:r>
      <w:r>
        <w:rPr>
          <w:rFonts w:hint="eastAsia" w:ascii="Times New Roman"/>
          <w:szCs w:val="22"/>
        </w:rPr>
        <w:t>———在一定计量时间内(</w:t>
      </w:r>
      <w:r>
        <w:rPr>
          <w:rFonts w:hint="eastAsia" w:ascii="Times New Roman"/>
          <w:szCs w:val="22"/>
          <w:lang w:val="en-US" w:eastAsia="zh-CN"/>
        </w:rPr>
        <w:t>一般为</w:t>
      </w:r>
      <w:r>
        <w:rPr>
          <w:rFonts w:hint="eastAsia" w:ascii="Times New Roman"/>
          <w:szCs w:val="22"/>
        </w:rPr>
        <w:t>1年)产品</w:t>
      </w:r>
      <w:r>
        <w:rPr>
          <w:rFonts w:hint="eastAsia" w:ascii="Times New Roman"/>
          <w:szCs w:val="22"/>
          <w:lang w:val="en-US" w:eastAsia="zh-CN"/>
        </w:rPr>
        <w:t>中所包含原材料数量</w:t>
      </w:r>
      <w:r>
        <w:rPr>
          <w:rFonts w:hint="eastAsia" w:ascii="Times New Roman"/>
          <w:szCs w:val="22"/>
        </w:rPr>
        <w:t>,单位为吨(t);</w:t>
      </w:r>
    </w:p>
    <w:p>
      <w:pPr>
        <w:pStyle w:val="12"/>
        <w:shd w:val="clear" w:color="auto" w:fill="auto"/>
        <w:ind w:firstLine="420"/>
        <w:rPr>
          <w:rFonts w:ascii="Times New Roman"/>
          <w:szCs w:val="22"/>
        </w:rPr>
      </w:pPr>
      <w:r>
        <w:rPr>
          <w:rFonts w:hint="eastAsia" w:ascii="Times New Roman"/>
          <w:szCs w:val="22"/>
        </w:rPr>
        <w:t>M</w:t>
      </w:r>
      <w:r>
        <w:rPr>
          <w:rFonts w:hint="eastAsia" w:ascii="Times New Roman"/>
          <w:szCs w:val="22"/>
          <w:vertAlign w:val="subscript"/>
        </w:rPr>
        <w:t>c</w:t>
      </w:r>
      <w:r>
        <w:rPr>
          <w:rFonts w:hint="eastAsia" w:ascii="Times New Roman"/>
          <w:szCs w:val="22"/>
        </w:rPr>
        <w:t>———在一定计量时间内(</w:t>
      </w:r>
      <w:r>
        <w:rPr>
          <w:rFonts w:hint="eastAsia" w:ascii="Times New Roman"/>
          <w:szCs w:val="22"/>
          <w:lang w:val="en-US" w:eastAsia="zh-CN"/>
        </w:rPr>
        <w:t>一般为</w:t>
      </w:r>
      <w:r>
        <w:rPr>
          <w:rFonts w:hint="eastAsia" w:ascii="Times New Roman"/>
          <w:szCs w:val="22"/>
        </w:rPr>
        <w:t>1年)</w:t>
      </w:r>
      <w:r>
        <w:rPr>
          <w:rFonts w:hint="eastAsia" w:ascii="Times New Roman"/>
          <w:szCs w:val="22"/>
          <w:lang w:val="en-US" w:eastAsia="zh-CN"/>
        </w:rPr>
        <w:t>生产该产品的</w:t>
      </w:r>
      <w:r>
        <w:rPr>
          <w:rFonts w:hint="eastAsia" w:ascii="Times New Roman"/>
          <w:szCs w:val="22"/>
        </w:rPr>
        <w:t>原材料总</w:t>
      </w:r>
      <w:r>
        <w:rPr>
          <w:rFonts w:hint="eastAsia" w:ascii="Times New Roman"/>
          <w:szCs w:val="22"/>
          <w:lang w:val="en-US" w:eastAsia="zh-CN"/>
        </w:rPr>
        <w:t>消耗</w:t>
      </w:r>
      <w:r>
        <w:rPr>
          <w:rFonts w:hint="eastAsia" w:ascii="Times New Roman"/>
          <w:szCs w:val="22"/>
        </w:rPr>
        <w:t>量,单位为吨(t)。</w:t>
      </w:r>
    </w:p>
    <w:p>
      <w:pPr>
        <w:widowControl/>
        <w:shd w:val="clear" w:color="auto" w:fill="auto"/>
        <w:spacing w:before="120" w:beforeLines="50" w:after="120" w:afterLines="50"/>
        <w:jc w:val="left"/>
        <w:outlineLvl w:val="3"/>
        <w:rPr>
          <w:rFonts w:hint="eastAsia" w:ascii="Times New Roman" w:hAnsi="Times New Roman" w:eastAsia="黑体"/>
          <w:kern w:val="0"/>
          <w:szCs w:val="21"/>
          <w:lang w:val="en-US" w:eastAsia="zh-CN"/>
        </w:rPr>
      </w:pPr>
      <w:r>
        <w:rPr>
          <w:rFonts w:hint="eastAsia" w:ascii="Times New Roman" w:hAnsi="Times New Roman" w:eastAsia="黑体"/>
          <w:kern w:val="0"/>
          <w:szCs w:val="21"/>
        </w:rPr>
        <w:t xml:space="preserve">A.2 </w:t>
      </w:r>
      <w:r>
        <w:rPr>
          <w:rFonts w:hint="eastAsia" w:ascii="Times New Roman" w:hAnsi="Times New Roman" w:eastAsia="黑体"/>
          <w:kern w:val="0"/>
          <w:szCs w:val="21"/>
          <w:lang w:val="en-US" w:eastAsia="zh-CN"/>
        </w:rPr>
        <w:t>水的重复利用率</w:t>
      </w:r>
    </w:p>
    <w:p>
      <w:pPr>
        <w:pStyle w:val="12"/>
        <w:shd w:val="clear" w:color="auto" w:fill="auto"/>
        <w:ind w:firstLine="420"/>
        <w:rPr>
          <w:rFonts w:ascii="Times New Roman"/>
          <w:szCs w:val="22"/>
        </w:rPr>
      </w:pPr>
      <w:r>
        <w:rPr>
          <w:rFonts w:hint="eastAsia" w:ascii="Times New Roman"/>
          <w:szCs w:val="22"/>
          <w:lang w:val="en-US" w:eastAsia="zh-CN"/>
        </w:rPr>
        <w:t>生产过程使用的重复利用水量与总用水量之比。按公式(A.2)计算：</w:t>
      </w:r>
    </w:p>
    <w:p>
      <w:pPr>
        <w:widowControl/>
        <w:shd w:val="clear" w:color="auto" w:fill="auto"/>
        <w:spacing w:before="120" w:beforeLines="50" w:after="120" w:afterLines="50"/>
        <w:jc w:val="right"/>
        <w:outlineLvl w:val="3"/>
        <w:rPr>
          <w:rFonts w:hint="eastAsia" w:ascii="Times New Roman"/>
          <w:position w:val="-30"/>
          <w:szCs w:val="22"/>
        </w:rPr>
      </w:pPr>
      <w:r>
        <w:rPr>
          <w:rFonts w:hint="eastAsia" w:ascii="Times New Roman"/>
          <w:position w:val="-30"/>
          <w:szCs w:val="22"/>
          <w:lang w:val="en-US" w:eastAsia="zh-CN"/>
        </w:rPr>
        <w:t xml:space="preserve">        </w:t>
      </w:r>
      <w:r>
        <w:rPr>
          <w:rFonts w:hint="eastAsia" w:ascii="Times New Roman"/>
          <w:position w:val="-30"/>
          <w:szCs w:val="22"/>
        </w:rPr>
        <w:object>
          <v:shape id="_x0000_i1026" o:spt="75" type="#_x0000_t75" style="height:34pt;width:92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Times New Roman"/>
          <w:position w:val="-30"/>
          <w:szCs w:val="22"/>
          <w:lang w:val="en-US" w:eastAsia="zh-CN"/>
        </w:rPr>
        <w:t xml:space="preserve">           </w:t>
      </w:r>
      <w:r>
        <w:rPr>
          <w:rFonts w:hint="eastAsia" w:ascii="Times New Roman"/>
          <w:szCs w:val="22"/>
        </w:rPr>
        <w:t>…………………… (A.</w:t>
      </w:r>
      <w:r>
        <w:rPr>
          <w:rFonts w:hint="eastAsia" w:ascii="Times New Roman"/>
          <w:szCs w:val="22"/>
          <w:lang w:val="en-US" w:eastAsia="zh-CN"/>
        </w:rPr>
        <w:t>2</w:t>
      </w:r>
      <w:r>
        <w:rPr>
          <w:rFonts w:hint="eastAsia" w:ascii="Times New Roman"/>
          <w:szCs w:val="22"/>
        </w:rPr>
        <w:t>)</w:t>
      </w:r>
    </w:p>
    <w:p>
      <w:pPr>
        <w:pStyle w:val="12"/>
        <w:ind w:firstLine="420"/>
        <w:rPr>
          <w:rFonts w:ascii="Times New Roman"/>
          <w:szCs w:val="22"/>
        </w:rPr>
      </w:pPr>
      <w:r>
        <w:rPr>
          <w:rFonts w:hint="eastAsia" w:ascii="Times New Roman"/>
          <w:szCs w:val="22"/>
        </w:rPr>
        <w:t>式中:</w:t>
      </w:r>
    </w:p>
    <w:p>
      <w:pPr>
        <w:pStyle w:val="12"/>
        <w:ind w:firstLine="420"/>
        <w:rPr>
          <w:rFonts w:ascii="Times New Roman"/>
          <w:szCs w:val="22"/>
        </w:rPr>
      </w:pPr>
      <w:r>
        <w:rPr>
          <w:rFonts w:hint="eastAsia" w:ascii="Times New Roman"/>
          <w:szCs w:val="22"/>
          <w:lang w:val="en-US" w:eastAsia="zh-CN"/>
        </w:rPr>
        <w:t>P</w:t>
      </w:r>
      <w:r>
        <w:rPr>
          <w:rFonts w:hint="eastAsia" w:ascii="Times New Roman"/>
          <w:szCs w:val="22"/>
        </w:rPr>
        <w:t xml:space="preserve"> ———</w:t>
      </w:r>
      <w:r>
        <w:rPr>
          <w:rFonts w:hint="eastAsia" w:ascii="Times New Roman"/>
          <w:szCs w:val="22"/>
          <w:lang w:val="en-US" w:eastAsia="zh-CN"/>
        </w:rPr>
        <w:t>水的重复利用率</w:t>
      </w:r>
      <w:r>
        <w:rPr>
          <w:rFonts w:hint="eastAsia" w:ascii="Times New Roman"/>
          <w:szCs w:val="22"/>
        </w:rPr>
        <w:t>,以%表示;</w:t>
      </w:r>
    </w:p>
    <w:p>
      <w:pPr>
        <w:pStyle w:val="12"/>
        <w:ind w:firstLine="420"/>
        <w:rPr>
          <w:rFonts w:ascii="Times New Roman"/>
          <w:szCs w:val="22"/>
        </w:rPr>
      </w:pPr>
      <w:r>
        <w:rPr>
          <w:rFonts w:hint="eastAsia" w:ascii="Times New Roman"/>
          <w:szCs w:val="22"/>
        </w:rPr>
        <w:t>V</w:t>
      </w:r>
      <w:r>
        <w:rPr>
          <w:rFonts w:hint="eastAsia" w:ascii="Times New Roman"/>
          <w:szCs w:val="22"/>
          <w:vertAlign w:val="subscript"/>
          <w:lang w:val="en-US" w:eastAsia="zh-CN"/>
        </w:rPr>
        <w:t>r</w:t>
      </w:r>
      <w:r>
        <w:rPr>
          <w:rFonts w:hint="eastAsia" w:ascii="Times New Roman"/>
          <w:szCs w:val="22"/>
        </w:rPr>
        <w:t>———在一定计量时间内(</w:t>
      </w:r>
      <w:r>
        <w:rPr>
          <w:rFonts w:hint="eastAsia" w:ascii="Times New Roman"/>
          <w:szCs w:val="22"/>
          <w:lang w:val="en-US" w:eastAsia="zh-CN"/>
        </w:rPr>
        <w:t>一般为</w:t>
      </w:r>
      <w:r>
        <w:rPr>
          <w:rFonts w:hint="eastAsia" w:ascii="Times New Roman"/>
          <w:szCs w:val="22"/>
        </w:rPr>
        <w:t>1年)</w:t>
      </w:r>
      <w:r>
        <w:rPr>
          <w:rFonts w:hint="eastAsia" w:ascii="Times New Roman"/>
          <w:szCs w:val="22"/>
          <w:lang w:val="en-US" w:eastAsia="zh-CN"/>
        </w:rPr>
        <w:t>产品使用的重复利用水的总量的</w:t>
      </w:r>
      <w:r>
        <w:rPr>
          <w:rFonts w:hint="eastAsia" w:ascii="Times New Roman"/>
          <w:szCs w:val="22"/>
        </w:rPr>
        <w:t>数值,单位为</w:t>
      </w:r>
      <w:r>
        <w:rPr>
          <w:rFonts w:hint="eastAsia" w:ascii="Times New Roman"/>
          <w:szCs w:val="22"/>
          <w:lang w:val="en-US" w:eastAsia="zh-CN"/>
        </w:rPr>
        <w:t>立方米</w:t>
      </w:r>
      <w:r>
        <w:rPr>
          <w:rFonts w:hint="eastAsia" w:ascii="Times New Roman"/>
          <w:szCs w:val="22"/>
        </w:rPr>
        <w:t>(</w:t>
      </w:r>
      <w:r>
        <w:rPr>
          <w:rFonts w:hint="eastAsia" w:ascii="Times New Roman"/>
          <w:szCs w:val="22"/>
          <w:lang w:val="en-US" w:eastAsia="zh-CN"/>
        </w:rPr>
        <w:t>m</w:t>
      </w:r>
      <w:r>
        <w:rPr>
          <w:rFonts w:hint="eastAsia" w:ascii="Times New Roman"/>
          <w:szCs w:val="22"/>
          <w:vertAlign w:val="superscript"/>
          <w:lang w:val="en-US" w:eastAsia="zh-CN"/>
        </w:rPr>
        <w:t>3</w:t>
      </w:r>
      <w:r>
        <w:rPr>
          <w:rFonts w:hint="eastAsia" w:ascii="Times New Roman"/>
          <w:szCs w:val="22"/>
        </w:rPr>
        <w:t>);</w:t>
      </w:r>
    </w:p>
    <w:p>
      <w:pPr>
        <w:pStyle w:val="12"/>
        <w:ind w:firstLine="420"/>
        <w:rPr>
          <w:rFonts w:ascii="Times New Roman"/>
          <w:szCs w:val="22"/>
        </w:rPr>
      </w:pPr>
      <w:r>
        <w:rPr>
          <w:rFonts w:hint="eastAsia" w:ascii="Times New Roman"/>
          <w:szCs w:val="22"/>
        </w:rPr>
        <w:t>V</w:t>
      </w:r>
      <w:r>
        <w:rPr>
          <w:rFonts w:hint="eastAsia" w:ascii="Times New Roman"/>
          <w:szCs w:val="22"/>
          <w:vertAlign w:val="subscript"/>
        </w:rPr>
        <w:t>t</w:t>
      </w:r>
      <w:r>
        <w:rPr>
          <w:rFonts w:hint="eastAsia" w:ascii="Times New Roman"/>
          <w:szCs w:val="22"/>
        </w:rPr>
        <w:t>———在一定计量时间内(</w:t>
      </w:r>
      <w:r>
        <w:rPr>
          <w:rFonts w:hint="eastAsia" w:ascii="Times New Roman"/>
          <w:szCs w:val="22"/>
          <w:lang w:val="en-US" w:eastAsia="zh-CN"/>
        </w:rPr>
        <w:t>一般为</w:t>
      </w:r>
      <w:r>
        <w:rPr>
          <w:rFonts w:hint="eastAsia" w:ascii="Times New Roman"/>
          <w:szCs w:val="22"/>
        </w:rPr>
        <w:t>1年)</w:t>
      </w:r>
      <w:r>
        <w:rPr>
          <w:rFonts w:hint="eastAsia" w:ascii="Times New Roman"/>
          <w:szCs w:val="22"/>
          <w:lang w:val="en-US" w:eastAsia="zh-CN"/>
        </w:rPr>
        <w:t>产品使用的新鲜水的总量的数值</w:t>
      </w:r>
      <w:r>
        <w:rPr>
          <w:rFonts w:hint="eastAsia" w:ascii="Times New Roman"/>
          <w:szCs w:val="22"/>
        </w:rPr>
        <w:t>,单位为</w:t>
      </w:r>
      <w:r>
        <w:rPr>
          <w:rFonts w:hint="eastAsia" w:ascii="Times New Roman"/>
          <w:szCs w:val="22"/>
          <w:lang w:val="en-US" w:eastAsia="zh-CN"/>
        </w:rPr>
        <w:t>立方米</w:t>
      </w:r>
      <w:r>
        <w:rPr>
          <w:rFonts w:hint="eastAsia" w:ascii="Times New Roman"/>
          <w:szCs w:val="22"/>
        </w:rPr>
        <w:t>(</w:t>
      </w:r>
      <w:r>
        <w:rPr>
          <w:rFonts w:hint="eastAsia" w:ascii="Times New Roman"/>
          <w:szCs w:val="22"/>
          <w:lang w:val="en-US" w:eastAsia="zh-CN"/>
        </w:rPr>
        <w:t>m</w:t>
      </w:r>
      <w:r>
        <w:rPr>
          <w:rFonts w:hint="eastAsia" w:ascii="Times New Roman"/>
          <w:szCs w:val="22"/>
          <w:vertAlign w:val="superscript"/>
          <w:lang w:val="en-US" w:eastAsia="zh-CN"/>
        </w:rPr>
        <w:t>3</w:t>
      </w:r>
      <w:r>
        <w:rPr>
          <w:rFonts w:hint="eastAsia" w:ascii="Times New Roman"/>
          <w:szCs w:val="22"/>
        </w:rPr>
        <w:t>)。</w:t>
      </w:r>
    </w:p>
    <w:p>
      <w:pPr>
        <w:widowControl/>
        <w:shd w:val="clear" w:color="auto" w:fill="auto"/>
        <w:spacing w:before="120" w:beforeLines="50" w:after="120" w:afterLines="50"/>
        <w:jc w:val="left"/>
        <w:outlineLvl w:val="3"/>
        <w:rPr>
          <w:rFonts w:hint="eastAsia" w:ascii="Times New Roman" w:hAnsi="Times New Roman" w:eastAsia="黑体"/>
          <w:kern w:val="0"/>
          <w:szCs w:val="21"/>
          <w:lang w:val="en-US" w:eastAsia="zh-CN"/>
        </w:rPr>
      </w:pPr>
      <w:r>
        <w:rPr>
          <w:rFonts w:hint="eastAsia" w:ascii="Times New Roman" w:hAnsi="Times New Roman" w:eastAsia="黑体"/>
          <w:kern w:val="0"/>
          <w:szCs w:val="21"/>
          <w:lang w:val="en-US" w:eastAsia="zh-CN"/>
        </w:rPr>
        <w:t xml:space="preserve">A.3 </w:t>
      </w:r>
      <w:r>
        <w:rPr>
          <w:rFonts w:hint="eastAsia" w:ascii="Times New Roman" w:hAnsi="Times New Roman" w:eastAsia="黑体"/>
          <w:kern w:val="0"/>
          <w:szCs w:val="21"/>
        </w:rPr>
        <w:t>固体废物处置率</w:t>
      </w:r>
    </w:p>
    <w:p>
      <w:pPr>
        <w:pStyle w:val="12"/>
        <w:ind w:firstLine="420"/>
        <w:rPr>
          <w:rFonts w:ascii="Times New Roman"/>
          <w:szCs w:val="22"/>
        </w:rPr>
      </w:pPr>
      <w:r>
        <w:rPr>
          <w:rFonts w:hint="eastAsia" w:ascii="Times New Roman"/>
          <w:szCs w:val="22"/>
          <w:lang w:val="en-US" w:eastAsia="zh-CN"/>
        </w:rPr>
        <w:t>处置产品</w:t>
      </w:r>
      <w:r>
        <w:rPr>
          <w:rFonts w:hint="eastAsia" w:ascii="Times New Roman"/>
          <w:szCs w:val="22"/>
        </w:rPr>
        <w:t>生产过程</w:t>
      </w:r>
      <w:r>
        <w:rPr>
          <w:rFonts w:hint="eastAsia" w:ascii="Times New Roman"/>
          <w:szCs w:val="22"/>
          <w:lang w:val="en-US" w:eastAsia="zh-CN"/>
        </w:rPr>
        <w:t>所产生的固体废物量与产品生产过程所产生的固体废物总量</w:t>
      </w:r>
      <w:r>
        <w:rPr>
          <w:rFonts w:hint="eastAsia" w:ascii="Times New Roman"/>
          <w:szCs w:val="22"/>
        </w:rPr>
        <w:t>之比。</w:t>
      </w:r>
      <w:r>
        <w:rPr>
          <w:rFonts w:hint="eastAsia" w:ascii="Times New Roman"/>
          <w:szCs w:val="22"/>
          <w:lang w:val="en-US" w:eastAsia="zh-CN"/>
        </w:rPr>
        <w:t>处置固体废物可采用自主处置或委托有资质单位回收处理两种方式，其中：自主处置应提供处置工艺、设备等；委托有资质单位回收处理应提供受托方资质证明、合同等。</w:t>
      </w:r>
      <w:r>
        <w:rPr>
          <w:rFonts w:hint="eastAsia" w:ascii="Times New Roman"/>
          <w:szCs w:val="22"/>
        </w:rPr>
        <w:t>按公式(A.</w:t>
      </w:r>
      <w:r>
        <w:rPr>
          <w:rFonts w:hint="eastAsia" w:ascii="Times New Roman"/>
          <w:szCs w:val="22"/>
          <w:lang w:val="en-US" w:eastAsia="zh-CN"/>
        </w:rPr>
        <w:t>3</w:t>
      </w:r>
      <w:r>
        <w:rPr>
          <w:rFonts w:hint="eastAsia" w:ascii="Times New Roman"/>
          <w:szCs w:val="22"/>
        </w:rPr>
        <w:t>)计算:</w:t>
      </w:r>
    </w:p>
    <w:p>
      <w:pPr>
        <w:pStyle w:val="12"/>
        <w:keepNext w:val="0"/>
        <w:keepLines w:val="0"/>
        <w:pageBreakBefore w:val="0"/>
        <w:widowControl/>
        <w:kinsoku/>
        <w:wordWrap/>
        <w:overflowPunct/>
        <w:topLinePunct w:val="0"/>
        <w:autoSpaceDE w:val="0"/>
        <w:autoSpaceDN w:val="0"/>
        <w:bidi w:val="0"/>
        <w:adjustRightInd/>
        <w:snapToGrid/>
        <w:ind w:firstLine="420"/>
        <w:jc w:val="right"/>
        <w:textAlignment w:val="auto"/>
        <w:rPr>
          <w:rFonts w:ascii="Times New Roman"/>
          <w:szCs w:val="22"/>
        </w:rPr>
      </w:pPr>
      <w:r>
        <w:rPr>
          <w:rFonts w:hint="eastAsia" w:ascii="Times New Roman"/>
          <w:position w:val="-30"/>
          <w:szCs w:val="22"/>
        </w:rPr>
        <w:object>
          <v:shape id="_x0000_i1027" o:spt="75" type="#_x0000_t75" style="height:34pt;width:81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Times New Roman"/>
          <w:szCs w:val="22"/>
        </w:rPr>
        <w:t xml:space="preserve">             …………………… (A.</w:t>
      </w:r>
      <w:r>
        <w:rPr>
          <w:rFonts w:hint="eastAsia" w:ascii="Times New Roman"/>
          <w:szCs w:val="22"/>
          <w:lang w:val="en-US" w:eastAsia="zh-CN"/>
        </w:rPr>
        <w:t>3</w:t>
      </w:r>
      <w:r>
        <w:rPr>
          <w:rFonts w:hint="eastAsia" w:ascii="Times New Roman"/>
          <w:szCs w:val="22"/>
        </w:rPr>
        <w:t>)</w:t>
      </w:r>
    </w:p>
    <w:p>
      <w:pPr>
        <w:pStyle w:val="12"/>
        <w:ind w:firstLine="420"/>
        <w:rPr>
          <w:rFonts w:ascii="Times New Roman"/>
          <w:szCs w:val="22"/>
        </w:rPr>
      </w:pPr>
      <w:r>
        <w:rPr>
          <w:rFonts w:hint="eastAsia" w:ascii="Times New Roman"/>
          <w:szCs w:val="22"/>
        </w:rPr>
        <w:t>式中:</w:t>
      </w:r>
    </w:p>
    <w:p>
      <w:pPr>
        <w:pStyle w:val="12"/>
        <w:ind w:firstLine="420"/>
        <w:rPr>
          <w:rFonts w:ascii="Times New Roman"/>
          <w:szCs w:val="22"/>
        </w:rPr>
      </w:pPr>
      <w:r>
        <w:rPr>
          <w:rFonts w:hint="eastAsia" w:ascii="Times New Roman"/>
          <w:szCs w:val="22"/>
        </w:rPr>
        <w:t>K ———固体废物处置率,以%表示;</w:t>
      </w:r>
    </w:p>
    <w:p>
      <w:pPr>
        <w:pStyle w:val="12"/>
        <w:ind w:firstLine="420"/>
        <w:rPr>
          <w:rFonts w:ascii="Times New Roman"/>
          <w:szCs w:val="22"/>
        </w:rPr>
      </w:pPr>
      <w:r>
        <w:rPr>
          <w:rFonts w:hint="eastAsia" w:ascii="Times New Roman"/>
          <w:szCs w:val="22"/>
          <w:lang w:val="en-US" w:eastAsia="zh-CN"/>
        </w:rPr>
        <w:t>M</w:t>
      </w:r>
      <w:r>
        <w:rPr>
          <w:rFonts w:hint="eastAsia" w:ascii="Times New Roman"/>
          <w:szCs w:val="22"/>
          <w:vertAlign w:val="subscript"/>
          <w:lang w:val="en-US" w:eastAsia="zh-CN"/>
        </w:rPr>
        <w:t>d</w:t>
      </w:r>
      <w:r>
        <w:rPr>
          <w:rFonts w:hint="eastAsia" w:ascii="Times New Roman"/>
          <w:szCs w:val="22"/>
        </w:rPr>
        <w:t>———在一定计量时间内(</w:t>
      </w:r>
      <w:r>
        <w:rPr>
          <w:rFonts w:hint="eastAsia" w:ascii="Times New Roman"/>
          <w:szCs w:val="22"/>
          <w:lang w:val="en-US" w:eastAsia="zh-CN"/>
        </w:rPr>
        <w:t>一般为</w:t>
      </w:r>
      <w:r>
        <w:rPr>
          <w:rFonts w:hint="eastAsia" w:ascii="Times New Roman"/>
          <w:szCs w:val="22"/>
        </w:rPr>
        <w:t>1年)</w:t>
      </w:r>
      <w:r>
        <w:rPr>
          <w:rFonts w:hint="eastAsia" w:ascii="Times New Roman"/>
          <w:szCs w:val="22"/>
          <w:lang w:val="en-US" w:eastAsia="zh-CN"/>
        </w:rPr>
        <w:t>产品</w:t>
      </w:r>
      <w:r>
        <w:rPr>
          <w:rFonts w:hint="eastAsia" w:ascii="Times New Roman"/>
          <w:szCs w:val="22"/>
        </w:rPr>
        <w:t>处置固体废物的总量的数值,单位为</w:t>
      </w:r>
      <w:r>
        <w:rPr>
          <w:rFonts w:hint="eastAsia" w:ascii="Times New Roman"/>
          <w:szCs w:val="22"/>
          <w:lang w:val="en-US" w:eastAsia="zh-CN"/>
        </w:rPr>
        <w:t>吨</w:t>
      </w:r>
      <w:r>
        <w:rPr>
          <w:rFonts w:hint="eastAsia" w:ascii="Times New Roman"/>
          <w:szCs w:val="22"/>
        </w:rPr>
        <w:t>(</w:t>
      </w:r>
      <w:r>
        <w:rPr>
          <w:rFonts w:hint="eastAsia" w:ascii="Times New Roman"/>
          <w:szCs w:val="22"/>
          <w:lang w:val="en-US" w:eastAsia="zh-CN"/>
        </w:rPr>
        <w:t>t</w:t>
      </w:r>
      <w:r>
        <w:rPr>
          <w:rFonts w:hint="eastAsia" w:ascii="Times New Roman"/>
          <w:szCs w:val="22"/>
        </w:rPr>
        <w:t>);</w:t>
      </w:r>
    </w:p>
    <w:p>
      <w:pPr>
        <w:pStyle w:val="12"/>
        <w:ind w:firstLine="420"/>
        <w:rPr>
          <w:rFonts w:ascii="Times New Roman"/>
          <w:szCs w:val="22"/>
        </w:rPr>
      </w:pPr>
      <w:r>
        <w:rPr>
          <w:rFonts w:hint="eastAsia" w:ascii="Times New Roman"/>
          <w:szCs w:val="22"/>
          <w:lang w:val="en-US" w:eastAsia="zh-CN"/>
        </w:rPr>
        <w:t>M</w:t>
      </w:r>
      <w:r>
        <w:rPr>
          <w:rFonts w:hint="eastAsia" w:ascii="Times New Roman"/>
          <w:szCs w:val="22"/>
          <w:vertAlign w:val="subscript"/>
          <w:lang w:val="en-US" w:eastAsia="zh-CN"/>
        </w:rPr>
        <w:t>a</w:t>
      </w:r>
      <w:r>
        <w:rPr>
          <w:rFonts w:hint="eastAsia" w:ascii="Times New Roman"/>
          <w:szCs w:val="22"/>
        </w:rPr>
        <w:t>———在一定计量时间内(</w:t>
      </w:r>
      <w:r>
        <w:rPr>
          <w:rFonts w:hint="eastAsia" w:ascii="Times New Roman"/>
          <w:szCs w:val="22"/>
          <w:lang w:val="en-US" w:eastAsia="zh-CN"/>
        </w:rPr>
        <w:t>一般为</w:t>
      </w:r>
      <w:r>
        <w:rPr>
          <w:rFonts w:hint="eastAsia" w:ascii="Times New Roman"/>
          <w:szCs w:val="22"/>
        </w:rPr>
        <w:t>1年)</w:t>
      </w:r>
      <w:r>
        <w:rPr>
          <w:rFonts w:hint="eastAsia" w:ascii="Times New Roman"/>
          <w:szCs w:val="22"/>
          <w:lang w:val="en-US" w:eastAsia="zh-CN"/>
        </w:rPr>
        <w:t>产品生产所产生的</w:t>
      </w:r>
      <w:r>
        <w:rPr>
          <w:rFonts w:hint="eastAsia" w:ascii="Times New Roman"/>
          <w:szCs w:val="22"/>
        </w:rPr>
        <w:t>固体废物的总量的数值,单位为</w:t>
      </w:r>
      <w:r>
        <w:rPr>
          <w:rFonts w:hint="eastAsia" w:ascii="Times New Roman"/>
          <w:szCs w:val="22"/>
          <w:lang w:val="en-US" w:eastAsia="zh-CN"/>
        </w:rPr>
        <w:t>吨</w:t>
      </w:r>
      <w:r>
        <w:rPr>
          <w:rFonts w:hint="eastAsia" w:ascii="Times New Roman"/>
          <w:szCs w:val="22"/>
        </w:rPr>
        <w:t>(</w:t>
      </w:r>
      <w:r>
        <w:rPr>
          <w:rFonts w:hint="eastAsia" w:ascii="Times New Roman"/>
          <w:szCs w:val="22"/>
          <w:lang w:val="en-US" w:eastAsia="zh-CN"/>
        </w:rPr>
        <w:t>t</w:t>
      </w:r>
      <w:r>
        <w:rPr>
          <w:rFonts w:hint="eastAsia" w:ascii="Times New Roman"/>
          <w:szCs w:val="22"/>
        </w:rPr>
        <w:t>)。</w:t>
      </w:r>
    </w:p>
    <w:p>
      <w:pPr>
        <w:widowControl/>
        <w:spacing w:before="120" w:beforeLines="50" w:after="120" w:afterLines="50"/>
        <w:jc w:val="left"/>
        <w:outlineLvl w:val="3"/>
        <w:rPr>
          <w:rFonts w:hint="eastAsia" w:ascii="Times New Roman" w:hAnsi="Times New Roman" w:eastAsia="黑体"/>
          <w:kern w:val="0"/>
          <w:szCs w:val="21"/>
          <w:lang w:val="en-US" w:eastAsia="zh-CN"/>
        </w:rPr>
      </w:pPr>
      <w:r>
        <w:rPr>
          <w:rFonts w:hint="eastAsia" w:ascii="Times New Roman" w:hAnsi="Times New Roman" w:eastAsia="黑体"/>
          <w:kern w:val="0"/>
          <w:szCs w:val="21"/>
        </w:rPr>
        <w:t>A.</w:t>
      </w:r>
      <w:r>
        <w:rPr>
          <w:rFonts w:hint="eastAsia" w:ascii="Times New Roman" w:hAnsi="Times New Roman" w:eastAsia="黑体"/>
          <w:kern w:val="0"/>
          <w:szCs w:val="21"/>
          <w:lang w:val="en-US" w:eastAsia="zh-CN"/>
        </w:rPr>
        <w:t>4 附加功能</w:t>
      </w:r>
    </w:p>
    <w:p>
      <w:pPr>
        <w:pStyle w:val="12"/>
        <w:ind w:firstLine="420"/>
        <w:rPr>
          <w:rFonts w:hint="eastAsia" w:ascii="Times New Roman"/>
          <w:szCs w:val="22"/>
          <w:lang w:val="en-US" w:eastAsia="zh-CN"/>
        </w:rPr>
      </w:pPr>
      <w:r>
        <w:rPr>
          <w:rFonts w:hint="eastAsia" w:ascii="Times New Roman"/>
          <w:szCs w:val="22"/>
          <w:lang w:val="en-US" w:eastAsia="zh-CN"/>
        </w:rPr>
        <w:t>附加功能是指因职业需求或作业环境中的防护要求而在产品上附加的功能。</w:t>
      </w:r>
    </w:p>
    <w:p>
      <w:pPr>
        <w:pStyle w:val="12"/>
        <w:ind w:firstLine="420"/>
        <w:rPr>
          <w:rFonts w:hint="default" w:ascii="Times New Roman"/>
          <w:szCs w:val="22"/>
          <w:lang w:val="en-US" w:eastAsia="zh-CN"/>
        </w:rPr>
      </w:pPr>
      <w:r>
        <w:rPr>
          <w:rFonts w:hint="eastAsia" w:ascii="Times New Roman"/>
          <w:szCs w:val="22"/>
          <w:lang w:val="en-US" w:eastAsia="zh-CN"/>
        </w:rPr>
        <w:t>如产品已取得“特种劳动防护用品安全标识”（LA）认证证书，应认为该产品的附加功能满足功能性要求。否则，应按以下方法对附加功能进行符合性评价。</w:t>
      </w:r>
    </w:p>
    <w:p>
      <w:pPr>
        <w:pStyle w:val="12"/>
        <w:ind w:firstLine="420"/>
        <w:rPr>
          <w:rFonts w:hint="eastAsia" w:ascii="Times New Roman"/>
          <w:szCs w:val="22"/>
          <w:lang w:val="en-US" w:eastAsia="zh-CN"/>
        </w:rPr>
      </w:pPr>
      <w:r>
        <w:rPr>
          <w:rFonts w:hint="eastAsia" w:ascii="Times New Roman"/>
          <w:szCs w:val="22"/>
          <w:lang w:val="en-US" w:eastAsia="zh-CN"/>
        </w:rPr>
        <w:t>当产品具有表A.1中的附加功能时，应符合GB 21148中关于该项功能的规定，并提供检测报告。</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980"/>
        <w:gridCol w:w="930"/>
        <w:gridCol w:w="924"/>
        <w:gridCol w:w="940"/>
        <w:gridCol w:w="873"/>
        <w:gridCol w:w="940"/>
        <w:gridCol w:w="982"/>
        <w:gridCol w:w="1278"/>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Merge w:val="restar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附加功能</w:t>
            </w:r>
          </w:p>
        </w:tc>
        <w:tc>
          <w:tcPr>
            <w:tcW w:w="519"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保护足趾</w:t>
            </w:r>
          </w:p>
        </w:tc>
        <w:tc>
          <w:tcPr>
            <w:tcW w:w="493"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防静电</w:t>
            </w:r>
          </w:p>
        </w:tc>
        <w:tc>
          <w:tcPr>
            <w:tcW w:w="490"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导 电</w:t>
            </w:r>
          </w:p>
        </w:tc>
        <w:tc>
          <w:tcPr>
            <w:tcW w:w="498"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防 水</w:t>
            </w:r>
          </w:p>
        </w:tc>
        <w:tc>
          <w:tcPr>
            <w:tcW w:w="463"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防</w:t>
            </w:r>
            <w:r>
              <w:rPr>
                <w:rFonts w:hint="eastAsia" w:ascii="Times New Roman" w:cs="Times New Roman"/>
                <w:bCs/>
                <w:color w:val="000000"/>
                <w:kern w:val="0"/>
                <w:sz w:val="18"/>
                <w:szCs w:val="18"/>
                <w:lang w:val="en-US" w:eastAsia="zh-CN" w:bidi="ar-SA"/>
              </w:rPr>
              <w:t xml:space="preserve"> </w:t>
            </w:r>
            <w:r>
              <w:rPr>
                <w:rFonts w:hint="eastAsia" w:ascii="Times New Roman" w:hAnsi="Times New Roman" w:eastAsia="宋体" w:cs="Times New Roman"/>
                <w:bCs/>
                <w:color w:val="000000"/>
                <w:kern w:val="0"/>
                <w:sz w:val="18"/>
                <w:szCs w:val="18"/>
                <w:lang w:val="en-US" w:eastAsia="zh-CN" w:bidi="ar-SA"/>
              </w:rPr>
              <w:t>寒</w:t>
            </w:r>
          </w:p>
        </w:tc>
        <w:tc>
          <w:tcPr>
            <w:tcW w:w="498"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电绝缘</w:t>
            </w:r>
          </w:p>
        </w:tc>
        <w:tc>
          <w:tcPr>
            <w:tcW w:w="520"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耐</w:t>
            </w:r>
            <w:r>
              <w:rPr>
                <w:rFonts w:hint="eastAsia" w:ascii="Times New Roman" w:cs="Times New Roman"/>
                <w:bCs/>
                <w:color w:val="000000"/>
                <w:kern w:val="0"/>
                <w:sz w:val="18"/>
                <w:szCs w:val="18"/>
                <w:lang w:val="en-US" w:eastAsia="zh-CN" w:bidi="ar-SA"/>
              </w:rPr>
              <w:t xml:space="preserve"> </w:t>
            </w:r>
            <w:r>
              <w:rPr>
                <w:rFonts w:hint="eastAsia" w:ascii="Times New Roman" w:hAnsi="Times New Roman" w:eastAsia="宋体" w:cs="Times New Roman"/>
                <w:bCs/>
                <w:color w:val="000000"/>
                <w:kern w:val="0"/>
                <w:sz w:val="18"/>
                <w:szCs w:val="18"/>
                <w:lang w:val="en-US" w:eastAsia="zh-CN" w:bidi="ar-SA"/>
              </w:rPr>
              <w:t>油</w:t>
            </w:r>
          </w:p>
        </w:tc>
        <w:tc>
          <w:tcPr>
            <w:tcW w:w="674"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鞋座抗冲击</w:t>
            </w:r>
          </w:p>
        </w:tc>
        <w:tc>
          <w:tcPr>
            <w:tcW w:w="521"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耐热接触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Merge w:val="continue"/>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p>
        </w:tc>
        <w:tc>
          <w:tcPr>
            <w:tcW w:w="519" w:type="pct"/>
            <w:shd w:val="clear" w:color="auto" w:fill="auto"/>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跖骨保护</w:t>
            </w:r>
          </w:p>
        </w:tc>
        <w:tc>
          <w:tcPr>
            <w:tcW w:w="493"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防刺穿</w:t>
            </w:r>
          </w:p>
        </w:tc>
        <w:tc>
          <w:tcPr>
            <w:tcW w:w="490"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防 滑</w:t>
            </w:r>
          </w:p>
        </w:tc>
        <w:tc>
          <w:tcPr>
            <w:tcW w:w="498"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防 漏</w:t>
            </w:r>
          </w:p>
        </w:tc>
        <w:tc>
          <w:tcPr>
            <w:tcW w:w="463"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隔</w:t>
            </w:r>
            <w:r>
              <w:rPr>
                <w:rFonts w:hint="eastAsia" w:ascii="Times New Roman" w:cs="Times New Roman"/>
                <w:bCs/>
                <w:color w:val="000000"/>
                <w:kern w:val="0"/>
                <w:sz w:val="18"/>
                <w:szCs w:val="18"/>
                <w:lang w:val="en-US" w:eastAsia="zh-CN" w:bidi="ar-SA"/>
              </w:rPr>
              <w:t xml:space="preserve"> </w:t>
            </w:r>
            <w:r>
              <w:rPr>
                <w:rFonts w:hint="eastAsia" w:ascii="Times New Roman" w:hAnsi="Times New Roman" w:eastAsia="宋体" w:cs="Times New Roman"/>
                <w:bCs/>
                <w:color w:val="000000"/>
                <w:kern w:val="0"/>
                <w:sz w:val="18"/>
                <w:szCs w:val="18"/>
                <w:lang w:val="en-US" w:eastAsia="zh-CN" w:bidi="ar-SA"/>
              </w:rPr>
              <w:t>热</w:t>
            </w:r>
          </w:p>
        </w:tc>
        <w:tc>
          <w:tcPr>
            <w:tcW w:w="498"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防切割</w:t>
            </w:r>
          </w:p>
        </w:tc>
        <w:tc>
          <w:tcPr>
            <w:tcW w:w="520"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踝保护</w:t>
            </w:r>
          </w:p>
        </w:tc>
        <w:tc>
          <w:tcPr>
            <w:tcW w:w="674"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bidi="ar-SA"/>
              </w:rPr>
              <w:t>透水与吸水</w:t>
            </w:r>
          </w:p>
        </w:tc>
        <w:tc>
          <w:tcPr>
            <w:tcW w:w="521" w:type="pct"/>
            <w:vAlign w:val="center"/>
          </w:tcPr>
          <w:p>
            <w:pPr>
              <w:pStyle w:val="12"/>
              <w:keepNext w:val="0"/>
              <w:keepLines w:val="0"/>
              <w:pageBreakBefore w:val="0"/>
              <w:widowControl/>
              <w:numPr>
                <w:ilvl w:val="0"/>
                <w:numId w:val="1"/>
              </w:numPr>
              <w:kinsoku/>
              <w:wordWrap/>
              <w:overflowPunct/>
              <w:topLinePunct w:val="0"/>
              <w:autoSpaceDE w:val="0"/>
              <w:autoSpaceDN w:val="0"/>
              <w:bidi w:val="0"/>
              <w:adjustRightInd/>
              <w:snapToGrid/>
              <w:ind w:left="0" w:firstLine="0" w:firstLineChars="0"/>
              <w:jc w:val="center"/>
              <w:textAlignment w:val="auto"/>
              <w:rPr>
                <w:rFonts w:hint="default" w:ascii="Times New Roman" w:hAnsi="Times New Roman" w:eastAsia="宋体" w:cs="Times New Roman"/>
                <w:bCs/>
                <w:color w:val="000000"/>
                <w:kern w:val="0"/>
                <w:sz w:val="18"/>
                <w:szCs w:val="18"/>
                <w:lang w:val="en-US" w:eastAsia="zh-CN" w:bidi="ar-SA"/>
              </w:rPr>
            </w:pPr>
            <w:r>
              <w:rPr>
                <w:rFonts w:hint="eastAsia" w:ascii="Times New Roman" w:cs="Times New Roman"/>
                <w:bCs/>
                <w:color w:val="000000"/>
                <w:kern w:val="0"/>
                <w:sz w:val="18"/>
                <w:szCs w:val="18"/>
                <w:lang w:val="en-US" w:eastAsia="zh-CN" w:bidi="ar-SA"/>
              </w:rPr>
              <w:t>/</w:t>
            </w:r>
          </w:p>
        </w:tc>
      </w:tr>
    </w:tbl>
    <w:p>
      <w:pPr>
        <w:pStyle w:val="12"/>
        <w:ind w:firstLine="420"/>
        <w:rPr>
          <w:rFonts w:hint="eastAsia" w:ascii="Times New Roman"/>
          <w:szCs w:val="22"/>
          <w:lang w:val="en-US" w:eastAsia="zh-CN"/>
        </w:rPr>
      </w:pPr>
      <w:r>
        <w:rPr>
          <w:rFonts w:hint="eastAsia" w:ascii="Times New Roman"/>
          <w:szCs w:val="22"/>
          <w:lang w:val="en-US" w:eastAsia="zh-CN"/>
        </w:rPr>
        <w:t>当产品具有防化学品的附加功能时，应符合GB 20265的规定，并提供检测报告。</w:t>
      </w:r>
    </w:p>
    <w:p>
      <w:pPr>
        <w:pStyle w:val="12"/>
        <w:ind w:firstLine="420"/>
        <w:rPr>
          <w:rFonts w:hint="default" w:ascii="Times New Roman"/>
          <w:szCs w:val="22"/>
          <w:lang w:val="en-US" w:eastAsia="zh-CN"/>
        </w:rPr>
      </w:pPr>
      <w:r>
        <w:rPr>
          <w:rFonts w:hint="eastAsia" w:ascii="Times New Roman"/>
          <w:szCs w:val="22"/>
          <w:lang w:val="en-US" w:eastAsia="zh-CN"/>
        </w:rPr>
        <w:t>当产品具有除上述附加功能以外的其它附加功能时，应提供该项功能所执行的标准及产品符合性证明材料；若此项功能尚无现行标准的规定，则应当提供客户需求、试用报告、检测报告及客户体验报告等证明该项功能满足设计使用要求的证明材料。</w:t>
      </w:r>
    </w:p>
    <w:p>
      <w:pPr>
        <w:pStyle w:val="12"/>
        <w:ind w:firstLine="420"/>
        <w:jc w:val="center"/>
        <w:rPr>
          <w:rFonts w:hint="eastAsia" w:ascii="Times New Roman"/>
          <w:szCs w:val="22"/>
          <w:lang w:val="en-US" w:eastAsia="zh-CN"/>
        </w:rPr>
      </w:pPr>
    </w:p>
    <w:p>
      <w:pPr>
        <w:pStyle w:val="17"/>
        <w:numPr>
          <w:ilvl w:val="0"/>
          <w:numId w:val="0"/>
        </w:numPr>
        <w:ind w:firstLine="426"/>
      </w:pPr>
    </w:p>
    <w:p>
      <w:pPr>
        <w:pStyle w:val="13"/>
        <w:numPr>
          <w:ilvl w:val="0"/>
          <w:numId w:val="0"/>
        </w:numPr>
        <w:spacing w:before="120" w:after="120"/>
        <w:jc w:val="center"/>
        <w:outlineLvl w:val="9"/>
      </w:pPr>
      <w:bookmarkStart w:id="90" w:name="附录A"/>
      <w:bookmarkStart w:id="91" w:name="_Toc27413"/>
      <w:r>
        <w:rPr>
          <w:rFonts w:hint="eastAsia"/>
        </w:rPr>
        <w:t>附录</w:t>
      </w:r>
      <w:bookmarkEnd w:id="90"/>
      <w:r>
        <w:rPr>
          <w:rFonts w:hint="eastAsia"/>
        </w:rPr>
        <w:t>B</w:t>
      </w:r>
      <w:r>
        <w:br w:type="textWrapping"/>
      </w:r>
      <w:r>
        <w:rPr>
          <w:rFonts w:hint="eastAsia"/>
        </w:rPr>
        <w:t>（资料性附录）</w:t>
      </w:r>
      <w:r>
        <w:br w:type="textWrapping"/>
      </w:r>
      <w:r>
        <w:rPr>
          <w:rFonts w:hint="eastAsia"/>
          <w:lang w:val="en-US" w:eastAsia="zh-CN"/>
        </w:rPr>
        <w:t>职业用鞋靴</w:t>
      </w:r>
      <w:r>
        <w:rPr>
          <w:rFonts w:hint="eastAsia"/>
        </w:rPr>
        <w:t>生命周期评价方法</w:t>
      </w:r>
      <w:bookmarkEnd w:id="91"/>
    </w:p>
    <w:p>
      <w:pPr>
        <w:widowControl/>
        <w:spacing w:before="120" w:beforeLines="50" w:after="120" w:afterLines="50"/>
        <w:jc w:val="left"/>
        <w:outlineLvl w:val="3"/>
        <w:rPr>
          <w:rFonts w:ascii="Times New Roman" w:hAnsi="Times New Roman" w:eastAsia="黑体"/>
          <w:kern w:val="0"/>
          <w:szCs w:val="21"/>
        </w:rPr>
      </w:pPr>
      <w:bookmarkStart w:id="92" w:name="_Toc404804694"/>
      <w:bookmarkStart w:id="93" w:name="_Toc396422203"/>
      <w:bookmarkStart w:id="94" w:name="_Toc406442819"/>
      <w:bookmarkStart w:id="95" w:name="_Toc405815987"/>
      <w:bookmarkStart w:id="96" w:name="_Toc449014965"/>
      <w:bookmarkStart w:id="97" w:name="_Toc424638213"/>
      <w:bookmarkStart w:id="98" w:name="_Toc397339786"/>
      <w:bookmarkStart w:id="99" w:name="_Toc406443084"/>
      <w:bookmarkStart w:id="100" w:name="_Toc424055041"/>
      <w:r>
        <w:rPr>
          <w:rFonts w:hint="eastAsia" w:ascii="Times New Roman" w:hAnsi="Times New Roman" w:eastAsia="黑体"/>
          <w:kern w:val="0"/>
          <w:szCs w:val="21"/>
        </w:rPr>
        <w:t>B</w:t>
      </w:r>
      <w:r>
        <w:rPr>
          <w:rFonts w:ascii="Times New Roman" w:hAnsi="Times New Roman" w:eastAsia="黑体"/>
          <w:kern w:val="0"/>
          <w:szCs w:val="21"/>
        </w:rPr>
        <w:t>.1 目的</w:t>
      </w:r>
      <w:bookmarkEnd w:id="92"/>
      <w:bookmarkEnd w:id="93"/>
      <w:bookmarkEnd w:id="94"/>
      <w:bookmarkEnd w:id="95"/>
      <w:bookmarkEnd w:id="96"/>
      <w:bookmarkEnd w:id="97"/>
      <w:bookmarkEnd w:id="98"/>
      <w:bookmarkEnd w:id="99"/>
      <w:bookmarkEnd w:id="100"/>
    </w:p>
    <w:p>
      <w:pPr>
        <w:pStyle w:val="12"/>
        <w:ind w:firstLine="420"/>
        <w:rPr>
          <w:rFonts w:ascii="Times New Roman"/>
        </w:rPr>
      </w:pPr>
      <w:r>
        <w:rPr>
          <w:rFonts w:hint="eastAsia" w:ascii="Times New Roman"/>
          <w:lang w:val="en-US" w:eastAsia="zh-CN"/>
        </w:rPr>
        <w:t>职业用鞋靴</w:t>
      </w:r>
      <w:r>
        <w:rPr>
          <w:rFonts w:ascii="Times New Roman"/>
        </w:rPr>
        <w:t>从原材料获取、生产、运输到销售使用的过程都对环境造成影响。通过评价</w:t>
      </w:r>
      <w:r>
        <w:rPr>
          <w:rFonts w:hint="eastAsia" w:ascii="Times New Roman"/>
          <w:lang w:eastAsia="zh-CN"/>
        </w:rPr>
        <w:t>职业用鞋靴</w:t>
      </w:r>
      <w:r>
        <w:rPr>
          <w:rFonts w:ascii="Times New Roman"/>
        </w:rPr>
        <w:t>全生命周期的环境影响大小，提出</w:t>
      </w:r>
      <w:r>
        <w:rPr>
          <w:rFonts w:hint="eastAsia" w:ascii="Times New Roman"/>
          <w:lang w:eastAsia="zh-CN"/>
        </w:rPr>
        <w:t>职业用鞋靴</w:t>
      </w:r>
      <w:r>
        <w:rPr>
          <w:rFonts w:hint="eastAsia" w:ascii="Times New Roman"/>
        </w:rPr>
        <w:t>绿色设计</w:t>
      </w:r>
      <w:r>
        <w:rPr>
          <w:rFonts w:ascii="Times New Roman"/>
        </w:rPr>
        <w:t>改进方案，从而大幅提升其环境友好性。</w:t>
      </w:r>
    </w:p>
    <w:p>
      <w:pPr>
        <w:widowControl/>
        <w:spacing w:before="120" w:beforeLines="50" w:after="120" w:afterLines="50"/>
        <w:jc w:val="left"/>
        <w:outlineLvl w:val="3"/>
        <w:rPr>
          <w:rFonts w:ascii="Times New Roman" w:hAnsi="Times New Roman" w:eastAsia="黑体"/>
          <w:kern w:val="0"/>
          <w:szCs w:val="21"/>
        </w:rPr>
      </w:pPr>
      <w:bookmarkStart w:id="101" w:name="_Toc406443085"/>
      <w:bookmarkStart w:id="102" w:name="_Toc424055042"/>
      <w:bookmarkStart w:id="103" w:name="_Toc404804695"/>
      <w:bookmarkStart w:id="104" w:name="_Toc396422204"/>
      <w:bookmarkStart w:id="105" w:name="_Toc449014966"/>
      <w:bookmarkStart w:id="106" w:name="_Toc424638214"/>
      <w:bookmarkStart w:id="107" w:name="_Toc397339787"/>
      <w:bookmarkStart w:id="108" w:name="_Toc406442820"/>
      <w:bookmarkStart w:id="109" w:name="_Toc405815988"/>
      <w:r>
        <w:rPr>
          <w:rFonts w:hint="eastAsia" w:ascii="Times New Roman" w:hAnsi="Times New Roman" w:eastAsia="黑体"/>
          <w:kern w:val="0"/>
          <w:szCs w:val="21"/>
        </w:rPr>
        <w:t>B</w:t>
      </w:r>
      <w:r>
        <w:rPr>
          <w:rFonts w:ascii="Times New Roman" w:hAnsi="Times New Roman" w:eastAsia="黑体"/>
          <w:kern w:val="0"/>
          <w:szCs w:val="21"/>
        </w:rPr>
        <w:t>.2 范围</w:t>
      </w:r>
      <w:bookmarkEnd w:id="101"/>
      <w:bookmarkEnd w:id="102"/>
      <w:bookmarkEnd w:id="103"/>
      <w:bookmarkEnd w:id="104"/>
      <w:bookmarkEnd w:id="105"/>
      <w:bookmarkEnd w:id="106"/>
      <w:bookmarkEnd w:id="107"/>
      <w:bookmarkEnd w:id="108"/>
      <w:bookmarkEnd w:id="109"/>
    </w:p>
    <w:p>
      <w:pPr>
        <w:pStyle w:val="12"/>
        <w:ind w:firstLine="420"/>
        <w:rPr>
          <w:rFonts w:ascii="Times New Roman"/>
        </w:rPr>
      </w:pPr>
      <w:r>
        <w:rPr>
          <w:rFonts w:ascii="Times New Roman"/>
        </w:rPr>
        <w:t>应根据评价目的确定评价范围，确保两者相适应。定义生命周期评价范围时，应考虑以下内容并作出清晰描述：</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.2.1 功能单位</w:t>
      </w:r>
    </w:p>
    <w:p>
      <w:pPr>
        <w:pStyle w:val="12"/>
        <w:ind w:firstLine="420"/>
        <w:rPr>
          <w:rFonts w:ascii="Times New Roman"/>
        </w:rPr>
      </w:pPr>
      <w:r>
        <w:rPr>
          <w:rFonts w:ascii="Times New Roman"/>
        </w:rPr>
        <w:t>功能单位必须是明确规定并且可测量的。本标准以</w:t>
      </w:r>
      <w:r>
        <w:rPr>
          <w:rFonts w:hint="eastAsia" w:ascii="Times New Roman"/>
          <w:lang w:eastAsia="zh-CN"/>
        </w:rPr>
        <w:t>“</w:t>
      </w:r>
      <w:r>
        <w:rPr>
          <w:rFonts w:hint="eastAsia" w:ascii="Times New Roman"/>
          <w:lang w:val="en-US" w:eastAsia="zh-CN"/>
        </w:rPr>
        <w:t>1万双</w:t>
      </w:r>
      <w:r>
        <w:rPr>
          <w:rFonts w:hint="eastAsia" w:ascii="Times New Roman"/>
          <w:lang w:eastAsia="zh-CN"/>
        </w:rPr>
        <w:t>职业用鞋靴”</w:t>
      </w:r>
      <w:r>
        <w:rPr>
          <w:rFonts w:hint="eastAsia" w:ascii="Times New Roman"/>
        </w:rPr>
        <w:t>计</w:t>
      </w:r>
      <w:r>
        <w:rPr>
          <w:rFonts w:ascii="Times New Roman"/>
        </w:rPr>
        <w:t>为功能单位来表示。</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B.2.2 系统边界</w:t>
      </w:r>
    </w:p>
    <w:p>
      <w:pPr>
        <w:pStyle w:val="12"/>
        <w:tabs>
          <w:tab w:val="center" w:pos="4201"/>
          <w:tab w:val="right" w:leader="dot" w:pos="9298"/>
        </w:tabs>
        <w:ind w:firstLine="420"/>
        <w:rPr>
          <w:szCs w:val="21"/>
        </w:rPr>
      </w:pPr>
      <w:r>
        <w:rPr>
          <w:rFonts w:hint="eastAsia"/>
        </w:rPr>
        <w:t>本标准界定的</w:t>
      </w:r>
      <w:r>
        <w:rPr>
          <w:rFonts w:hint="eastAsia" w:hAnsi="宋体"/>
        </w:rPr>
        <w:t>系统边界，分</w:t>
      </w:r>
      <w:r>
        <w:rPr>
          <w:rFonts w:hint="eastAsia" w:hAnsi="宋体"/>
          <w:lang w:val="en-US" w:eastAsia="zh-CN"/>
        </w:rPr>
        <w:t>3</w:t>
      </w:r>
      <w:r>
        <w:rPr>
          <w:rFonts w:hint="eastAsia" w:hAnsi="宋体"/>
        </w:rPr>
        <w:t>个阶段：原辅料与能源采购阶段、生产阶段、销售阶段。如图 B.1 所示，具体包括：</w:t>
      </w:r>
    </w:p>
    <w:p>
      <w:pPr>
        <w:pStyle w:val="18"/>
        <w:spacing w:before="120" w:after="120"/>
        <w:ind w:left="0"/>
        <w:rPr>
          <w:rFonts w:ascii="宋体" w:eastAsia="宋体"/>
        </w:rPr>
      </w:pPr>
      <w:r>
        <mc:AlternateContent>
          <mc:Choice Requires="wps">
            <w:drawing>
              <wp:inline distT="0" distB="0" distL="114300" distR="114300">
                <wp:extent cx="3755390" cy="280035"/>
                <wp:effectExtent l="6350" t="6350" r="10160" b="18415"/>
                <wp:docPr id="7" name="文本框 7"/>
                <wp:cNvGraphicFramePr/>
                <a:graphic xmlns:a="http://schemas.openxmlformats.org/drawingml/2006/main">
                  <a:graphicData uri="http://schemas.microsoft.com/office/word/2010/wordprocessingShape">
                    <wps:wsp>
                      <wps:cNvSpPr txBox="1"/>
                      <wps:spPr bwMode="auto">
                        <a:xfrm>
                          <a:off x="0" y="0"/>
                          <a:ext cx="3755390" cy="280035"/>
                        </a:xfrm>
                        <a:prstGeom prst="rect">
                          <a:avLst/>
                        </a:prstGeom>
                        <a:noFill/>
                        <a:ln w="12700" cmpd="sng">
                          <a:solidFill>
                            <a:srgbClr val="000000"/>
                          </a:solidFill>
                          <a:prstDash val="lgDash"/>
                          <a:miter lim="800000"/>
                        </a:ln>
                        <a:effectLst/>
                      </wps:spPr>
                      <wps:txbx>
                        <w:txbxContent>
                          <w:p>
                            <w:pPr>
                              <w:jc w:val="center"/>
                              <w:rPr>
                                <w:rFonts w:hint="default" w:ascii="宋体" w:hAnsi="Times New Roman" w:eastAsia="宋体"/>
                                <w:kern w:val="0"/>
                                <w:szCs w:val="22"/>
                                <w:lang w:val="en-US" w:eastAsia="zh-CN"/>
                              </w:rPr>
                            </w:pPr>
                            <w:r>
                              <w:rPr>
                                <w:rFonts w:hint="eastAsia" w:ascii="宋体" w:hAnsi="Times New Roman" w:eastAsia="宋体"/>
                                <w:kern w:val="0"/>
                                <w:szCs w:val="22"/>
                              </w:rPr>
                              <w:t>原辅料与能源采购-------生产------销售------</w:t>
                            </w:r>
                            <w:r>
                              <w:rPr>
                                <w:rFonts w:hint="eastAsia" w:ascii="宋体" w:hAnsi="Times New Roman" w:eastAsia="宋体"/>
                                <w:kern w:val="0"/>
                                <w:szCs w:val="22"/>
                                <w:lang w:val="en-US" w:eastAsia="zh-CN"/>
                              </w:rPr>
                              <w:t>使用</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2.05pt;width:295.7pt;" filled="f" stroked="t" coordsize="21600,21600" o:gfxdata="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4hJqx0gAAAAQBAAAPAAAAAAAAAAEAIAAAACIAAABkcnMvZG93bnJl&#10;di54bWxQSwECFAAUAAAACACHTuJAVp9ECTwCAABiBAAADgAAAAAAAAABACAAAAAhAQAAZHJzL2Uy&#10;b0RvYy54bWxQSwUGAAAAAAYABgBZAQAAzwUAAAAA&#10;">
                <v:fill on="f" focussize="0,0"/>
                <v:stroke weight="1pt" color="#000000" miterlimit="8" joinstyle="miter" dashstyle="longDash"/>
                <v:imagedata o:title=""/>
                <o:lock v:ext="edit" aspectratio="f"/>
                <v:textbox>
                  <w:txbxContent>
                    <w:p>
                      <w:pPr>
                        <w:jc w:val="center"/>
                        <w:rPr>
                          <w:rFonts w:hint="default" w:ascii="宋体" w:hAnsi="Times New Roman" w:eastAsia="宋体"/>
                          <w:kern w:val="0"/>
                          <w:szCs w:val="22"/>
                          <w:lang w:val="en-US" w:eastAsia="zh-CN"/>
                        </w:rPr>
                      </w:pPr>
                      <w:r>
                        <w:rPr>
                          <w:rFonts w:hint="eastAsia" w:ascii="宋体" w:hAnsi="Times New Roman" w:eastAsia="宋体"/>
                          <w:kern w:val="0"/>
                          <w:szCs w:val="22"/>
                        </w:rPr>
                        <w:t>原辅料与能源采购-------生产------销售------</w:t>
                      </w:r>
                      <w:r>
                        <w:rPr>
                          <w:rFonts w:hint="eastAsia" w:ascii="宋体" w:hAnsi="Times New Roman" w:eastAsia="宋体"/>
                          <w:kern w:val="0"/>
                          <w:szCs w:val="22"/>
                          <w:lang w:val="en-US" w:eastAsia="zh-CN"/>
                        </w:rPr>
                        <w:t>使用</w:t>
                      </w:r>
                    </w:p>
                  </w:txbxContent>
                </v:textbox>
                <w10:wrap type="none"/>
                <w10:anchorlock/>
              </v:shape>
            </w:pict>
          </mc:Fallback>
        </mc:AlternateContent>
      </w:r>
    </w:p>
    <w:p>
      <w:pPr>
        <w:pStyle w:val="18"/>
        <w:spacing w:before="120" w:after="120"/>
        <w:ind w:left="0"/>
        <w:rPr>
          <w:sz w:val="18"/>
          <w:szCs w:val="18"/>
        </w:rPr>
      </w:pPr>
      <w:r>
        <w:rPr>
          <w:rFonts w:hint="eastAsia"/>
          <w:sz w:val="18"/>
          <w:szCs w:val="18"/>
        </w:rPr>
        <w:t xml:space="preserve">图B.1 </w:t>
      </w:r>
      <w:r>
        <w:rPr>
          <w:rFonts w:hint="eastAsia"/>
          <w:sz w:val="18"/>
          <w:szCs w:val="18"/>
          <w:lang w:eastAsia="zh-CN"/>
        </w:rPr>
        <w:t>职业用鞋靴</w:t>
      </w:r>
      <w:r>
        <w:rPr>
          <w:rFonts w:hint="eastAsia"/>
          <w:sz w:val="18"/>
          <w:szCs w:val="18"/>
        </w:rPr>
        <w:t>生命周期系统边界图</w:t>
      </w:r>
    </w:p>
    <w:p>
      <w:pPr>
        <w:pStyle w:val="12"/>
        <w:ind w:firstLine="420"/>
        <w:rPr>
          <w:rFonts w:ascii="Times New Roman"/>
        </w:rPr>
      </w:pPr>
      <w:r>
        <w:rPr>
          <w:rFonts w:ascii="Times New Roman"/>
        </w:rPr>
        <w:t>生命周期评价评价（LCA）的覆盖时间应在规定的期限内。数据应反映具有代表性的时期（取最近三年内有效值）。如果未能取到三年内有效值，应做具体说明。</w:t>
      </w:r>
    </w:p>
    <w:p>
      <w:pPr>
        <w:pStyle w:val="12"/>
        <w:ind w:firstLine="420"/>
        <w:rPr>
          <w:rFonts w:ascii="Times New Roman"/>
        </w:rPr>
      </w:pPr>
      <w:r>
        <w:rPr>
          <w:rFonts w:ascii="Times New Roman"/>
        </w:rPr>
        <w:t>原材料数据应是在参与产品的生产和使用的地点/地区。</w:t>
      </w:r>
    </w:p>
    <w:p>
      <w:pPr>
        <w:pStyle w:val="12"/>
        <w:ind w:firstLine="420"/>
        <w:rPr>
          <w:rFonts w:ascii="Times New Roman"/>
        </w:rPr>
      </w:pPr>
      <w:r>
        <w:rPr>
          <w:rFonts w:ascii="Times New Roman"/>
        </w:rPr>
        <w:t>生产过程数据应是在最终产品的生产中所涉及的地点/地区。</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.2.3 数据取舍原则</w:t>
      </w:r>
    </w:p>
    <w:p>
      <w:pPr>
        <w:pStyle w:val="12"/>
        <w:ind w:firstLine="420"/>
        <w:rPr>
          <w:rFonts w:ascii="Times New Roman"/>
        </w:rPr>
      </w:pPr>
      <w:r>
        <w:rPr>
          <w:rFonts w:ascii="Times New Roman"/>
        </w:rPr>
        <w:t>单元过程数据种类很多，应对数据进行适当的取舍，原则如下：</w:t>
      </w:r>
    </w:p>
    <w:p>
      <w:pPr>
        <w:pStyle w:val="12"/>
        <w:ind w:firstLine="420"/>
        <w:rPr>
          <w:rFonts w:ascii="Times New Roman"/>
        </w:rPr>
      </w:pPr>
      <w:r>
        <w:rPr>
          <w:rFonts w:ascii="Times New Roman"/>
        </w:rPr>
        <w:t>——能源的所有输入均列出；</w:t>
      </w:r>
    </w:p>
    <w:p>
      <w:pPr>
        <w:pStyle w:val="12"/>
        <w:ind w:firstLine="420"/>
        <w:rPr>
          <w:rFonts w:ascii="Times New Roman"/>
        </w:rPr>
      </w:pPr>
      <w:r>
        <w:rPr>
          <w:rFonts w:ascii="Times New Roman"/>
        </w:rPr>
        <w:t>——原料的所有输入均列出；</w:t>
      </w:r>
    </w:p>
    <w:p>
      <w:pPr>
        <w:pStyle w:val="12"/>
        <w:ind w:firstLine="420"/>
        <w:rPr>
          <w:rFonts w:ascii="Times New Roman"/>
        </w:rPr>
      </w:pPr>
      <w:r>
        <w:rPr>
          <w:rFonts w:ascii="Times New Roman"/>
        </w:rPr>
        <w:t>——辅助材料质量小于</w:t>
      </w:r>
      <w:r>
        <w:rPr>
          <w:rFonts w:hint="eastAsia" w:ascii="Times New Roman"/>
          <w:lang w:val="en-US" w:eastAsia="zh-CN"/>
        </w:rPr>
        <w:t>材料</w:t>
      </w:r>
      <w:r>
        <w:rPr>
          <w:rFonts w:ascii="Times New Roman"/>
        </w:rPr>
        <w:t>总消耗0.3%的项目输入可忽略；</w:t>
      </w:r>
    </w:p>
    <w:p>
      <w:pPr>
        <w:pStyle w:val="12"/>
        <w:ind w:firstLine="420"/>
        <w:rPr>
          <w:rFonts w:ascii="Times New Roman"/>
        </w:rPr>
      </w:pPr>
      <w:r>
        <w:rPr>
          <w:rFonts w:ascii="Times New Roman"/>
        </w:rPr>
        <w:t>——大气、水体的各种排放均列出；</w:t>
      </w:r>
    </w:p>
    <w:p>
      <w:pPr>
        <w:pStyle w:val="12"/>
        <w:ind w:firstLine="420"/>
        <w:rPr>
          <w:rFonts w:ascii="Times New Roman"/>
        </w:rPr>
      </w:pPr>
      <w:r>
        <w:rPr>
          <w:rFonts w:ascii="Times New Roman"/>
        </w:rPr>
        <w:t>——小于固体废弃物排放总量1%的一般性固体废弃物可忽略；</w:t>
      </w:r>
    </w:p>
    <w:p>
      <w:pPr>
        <w:pStyle w:val="12"/>
        <w:ind w:firstLine="420"/>
        <w:rPr>
          <w:rFonts w:ascii="Times New Roman"/>
        </w:rPr>
      </w:pPr>
      <w:r>
        <w:rPr>
          <w:rFonts w:ascii="Times New Roman"/>
        </w:rPr>
        <w:t>——道路与厂房的基础设施、各工序的设备、厂区内人员及生活设施的消耗和排放，均忽略；</w:t>
      </w:r>
    </w:p>
    <w:p>
      <w:pPr>
        <w:pStyle w:val="12"/>
        <w:ind w:firstLine="420"/>
        <w:rPr>
          <w:rFonts w:ascii="Times New Roman"/>
        </w:rPr>
      </w:pPr>
      <w:r>
        <w:rPr>
          <w:rFonts w:ascii="Times New Roman"/>
        </w:rPr>
        <w:t>——任何有毒有害的材料和物质均应包含于清单中，不可忽略。</w:t>
      </w:r>
    </w:p>
    <w:p>
      <w:pPr>
        <w:widowControl/>
        <w:spacing w:before="120" w:beforeLines="50" w:after="120" w:afterLines="50"/>
        <w:jc w:val="left"/>
        <w:outlineLvl w:val="3"/>
        <w:rPr>
          <w:rFonts w:ascii="Times New Roman" w:hAnsi="Times New Roman" w:eastAsia="黑体"/>
          <w:kern w:val="0"/>
          <w:szCs w:val="21"/>
        </w:rPr>
      </w:pPr>
      <w:bookmarkStart w:id="110" w:name="_Toc424055043"/>
      <w:bookmarkStart w:id="111" w:name="_Toc397339788"/>
      <w:bookmarkStart w:id="112" w:name="_Toc449014967"/>
      <w:bookmarkStart w:id="113" w:name="_Toc405815989"/>
      <w:bookmarkStart w:id="114" w:name="_Toc404804696"/>
      <w:bookmarkStart w:id="115" w:name="_Toc406442821"/>
      <w:bookmarkStart w:id="116" w:name="_Toc406443086"/>
      <w:bookmarkStart w:id="117" w:name="_Toc424638215"/>
      <w:bookmarkStart w:id="118" w:name="_Toc396422205"/>
      <w:r>
        <w:rPr>
          <w:rFonts w:hint="eastAsia" w:ascii="Times New Roman" w:hAnsi="Times New Roman" w:eastAsia="黑体"/>
          <w:kern w:val="0"/>
          <w:szCs w:val="21"/>
        </w:rPr>
        <w:t>B</w:t>
      </w:r>
      <w:r>
        <w:rPr>
          <w:rFonts w:ascii="Times New Roman" w:hAnsi="Times New Roman" w:eastAsia="黑体"/>
          <w:kern w:val="0"/>
          <w:szCs w:val="21"/>
        </w:rPr>
        <w:t>.3 生命周期清单分析</w:t>
      </w:r>
      <w:bookmarkEnd w:id="110"/>
      <w:bookmarkEnd w:id="111"/>
      <w:bookmarkEnd w:id="112"/>
      <w:bookmarkEnd w:id="113"/>
      <w:bookmarkEnd w:id="114"/>
      <w:bookmarkEnd w:id="115"/>
      <w:bookmarkEnd w:id="116"/>
      <w:bookmarkEnd w:id="117"/>
      <w:bookmarkEnd w:id="118"/>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.3.1 总则</w:t>
      </w:r>
    </w:p>
    <w:p>
      <w:pPr>
        <w:pStyle w:val="12"/>
        <w:ind w:firstLine="420"/>
        <w:rPr>
          <w:rFonts w:ascii="Times New Roman"/>
        </w:rPr>
      </w:pPr>
      <w:r>
        <w:rPr>
          <w:rFonts w:ascii="Times New Roman"/>
        </w:rPr>
        <w:t>应编制</w:t>
      </w:r>
      <w:r>
        <w:rPr>
          <w:rFonts w:hint="eastAsia" w:ascii="Times New Roman"/>
          <w:lang w:eastAsia="zh-CN"/>
        </w:rPr>
        <w:t>职业用鞋靴</w:t>
      </w:r>
      <w:r>
        <w:rPr>
          <w:rFonts w:ascii="Times New Roman"/>
        </w:rPr>
        <w:t>系统边界内的所有材料/能源输入、输出清单，作为产品生命周期评价的依据。如果数据清单有特殊情况、异常点或其它问题，应在报告中进行明确说明。</w:t>
      </w:r>
    </w:p>
    <w:p>
      <w:pPr>
        <w:pStyle w:val="12"/>
        <w:ind w:firstLine="420"/>
        <w:rPr>
          <w:rFonts w:ascii="Times New Roman"/>
        </w:rPr>
      </w:pPr>
      <w:r>
        <w:rPr>
          <w:rFonts w:ascii="Times New Roman"/>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pPr>
        <w:pStyle w:val="12"/>
        <w:ind w:firstLine="420"/>
        <w:rPr>
          <w:rFonts w:ascii="Times New Roman"/>
        </w:rPr>
      </w:pPr>
      <w:r>
        <w:rPr>
          <w:rFonts w:ascii="Times New Roman"/>
        </w:rPr>
        <w:br w:type="page"/>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.3.2 数据收集</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.3.2.1 概况</w:t>
      </w:r>
    </w:p>
    <w:p>
      <w:pPr>
        <w:pStyle w:val="12"/>
        <w:ind w:firstLine="420"/>
        <w:rPr>
          <w:rFonts w:ascii="Times New Roman"/>
        </w:rPr>
      </w:pPr>
      <w:r>
        <w:rPr>
          <w:rFonts w:ascii="Times New Roman"/>
        </w:rPr>
        <w:t>应将以下要素纳入数据清单：</w:t>
      </w:r>
    </w:p>
    <w:p>
      <w:pPr>
        <w:pStyle w:val="12"/>
        <w:ind w:firstLine="420"/>
        <w:rPr>
          <w:rFonts w:ascii="Times New Roman"/>
        </w:rPr>
      </w:pPr>
      <w:r>
        <w:rPr>
          <w:rFonts w:ascii="Times New Roman"/>
        </w:rPr>
        <w:t>——原材料采购和预加工；</w:t>
      </w:r>
    </w:p>
    <w:p>
      <w:pPr>
        <w:pStyle w:val="12"/>
        <w:ind w:firstLine="420"/>
        <w:rPr>
          <w:rFonts w:ascii="Times New Roman"/>
        </w:rPr>
      </w:pPr>
      <w:r>
        <w:rPr>
          <w:rFonts w:ascii="Times New Roman"/>
        </w:rPr>
        <w:t>——生产；</w:t>
      </w:r>
    </w:p>
    <w:p>
      <w:pPr>
        <w:pStyle w:val="12"/>
        <w:ind w:firstLine="420"/>
        <w:rPr>
          <w:rFonts w:hint="eastAsia" w:ascii="Times New Roman"/>
          <w:lang w:eastAsia="zh-CN"/>
        </w:rPr>
      </w:pPr>
      <w:r>
        <w:rPr>
          <w:rFonts w:ascii="Times New Roman"/>
        </w:rPr>
        <w:t>——产品分配和储存</w:t>
      </w:r>
      <w:r>
        <w:rPr>
          <w:rFonts w:hint="eastAsia" w:ascii="Times New Roman"/>
          <w:lang w:eastAsia="zh-CN"/>
        </w:rPr>
        <w:t>；</w:t>
      </w:r>
    </w:p>
    <w:p>
      <w:pPr>
        <w:pStyle w:val="12"/>
        <w:ind w:firstLine="420"/>
        <w:rPr>
          <w:rFonts w:hint="eastAsia" w:ascii="Times New Roman" w:eastAsia="宋体"/>
          <w:lang w:val="en-US" w:eastAsia="zh-CN"/>
        </w:rPr>
      </w:pPr>
      <w:r>
        <w:rPr>
          <w:rFonts w:ascii="Times New Roman"/>
        </w:rPr>
        <w:t>——</w:t>
      </w:r>
      <w:r>
        <w:rPr>
          <w:rFonts w:hint="eastAsia" w:ascii="Times New Roman"/>
          <w:lang w:val="en-US" w:eastAsia="zh-CN"/>
        </w:rPr>
        <w:t>使用。</w:t>
      </w:r>
    </w:p>
    <w:p>
      <w:pPr>
        <w:pStyle w:val="12"/>
        <w:ind w:firstLine="420"/>
        <w:rPr>
          <w:rFonts w:ascii="Times New Roman"/>
        </w:rPr>
      </w:pPr>
      <w:r>
        <w:rPr>
          <w:rFonts w:ascii="Times New Roman"/>
        </w:rPr>
        <w:t>基于LCA的信息中要使用的数据可分为两类：现场数据和背景数据。主要数据尽量使用现场数据，如果“现场数据”收集缺乏，可以选择“背景数据”。</w:t>
      </w:r>
    </w:p>
    <w:p>
      <w:pPr>
        <w:pStyle w:val="12"/>
        <w:ind w:firstLine="420"/>
        <w:rPr>
          <w:rFonts w:ascii="Times New Roman"/>
        </w:rPr>
      </w:pPr>
      <w:r>
        <w:rPr>
          <w:rFonts w:ascii="Times New Roman"/>
        </w:rPr>
        <w:t>现场数据是在现场具体操作过程中收集来的。主要包括生产过程的能源与水资源消耗、产品原料的使用量、产品主要包装材料的使用量和废物产生量等。现场数据还应包括运输数据，即产品原料、主要包装等从制造地点到最终交货点的运输距离，以及固体废物的处理数据。</w:t>
      </w:r>
    </w:p>
    <w:p>
      <w:pPr>
        <w:pStyle w:val="12"/>
        <w:ind w:firstLine="420"/>
        <w:rPr>
          <w:rFonts w:ascii="Times New Roman"/>
        </w:rPr>
      </w:pPr>
      <w:r>
        <w:rPr>
          <w:rFonts w:ascii="Times New Roman"/>
        </w:rPr>
        <w:t>背景数据应当包括主要原料的生产数据、权威的电力的组合的数据（如火力、水、风力发电等）、不同运输类型造成的环境影响。</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.3.2.2 现场数据采集</w:t>
      </w:r>
    </w:p>
    <w:p>
      <w:pPr>
        <w:pStyle w:val="12"/>
        <w:ind w:firstLine="420"/>
        <w:rPr>
          <w:rFonts w:ascii="Times New Roman"/>
        </w:rPr>
      </w:pPr>
      <w:r>
        <w:rPr>
          <w:rFonts w:ascii="Times New Roman"/>
        </w:rPr>
        <w:t>应描述代表某一特定设施或一组设施的活动而直接测量或收集的数据相关采集规程。可直接对过程进行的测量或者通过采访或问卷调查从经营者处获得的测量值为特定过程最具代表性的数据来源。</w:t>
      </w:r>
    </w:p>
    <w:p>
      <w:pPr>
        <w:pStyle w:val="12"/>
        <w:ind w:firstLine="420"/>
        <w:rPr>
          <w:rFonts w:ascii="Times New Roman"/>
        </w:rPr>
      </w:pPr>
      <w:r>
        <w:rPr>
          <w:rFonts w:ascii="Times New Roman"/>
        </w:rPr>
        <w:t>现场数据的质量要求包括：</w:t>
      </w:r>
    </w:p>
    <w:p>
      <w:pPr>
        <w:pStyle w:val="12"/>
        <w:ind w:firstLine="420"/>
        <w:rPr>
          <w:rFonts w:ascii="Times New Roman"/>
        </w:rPr>
      </w:pPr>
      <w:r>
        <w:rPr>
          <w:rFonts w:ascii="Times New Roman"/>
        </w:rPr>
        <w:t xml:space="preserve">a)  代表性：现场数据应按照企业生产单元收集所确定范围内的生产统计数据。 </w:t>
      </w:r>
    </w:p>
    <w:p>
      <w:pPr>
        <w:pStyle w:val="12"/>
        <w:ind w:firstLine="420"/>
        <w:rPr>
          <w:rFonts w:ascii="Times New Roman"/>
        </w:rPr>
      </w:pPr>
      <w:r>
        <w:rPr>
          <w:rFonts w:ascii="Times New Roman"/>
        </w:rPr>
        <w:t xml:space="preserve">b)  完整性：现场数据应采集完整的生命周期要求数据。 </w:t>
      </w:r>
    </w:p>
    <w:p>
      <w:pPr>
        <w:pStyle w:val="12"/>
        <w:ind w:firstLine="420"/>
        <w:rPr>
          <w:rFonts w:ascii="Times New Roman"/>
        </w:rPr>
      </w:pPr>
      <w:r>
        <w:rPr>
          <w:rFonts w:ascii="Times New Roman"/>
        </w:rPr>
        <w:t xml:space="preserve">c)  准确性：现场数据中的资源、能源、原材料消耗数据应该来自于生产单元的实际生产统计记录；环境排放数据优先选择相关的环境监测报告，或由排污因子或物料平衡公式计算获得。所有现场数据均须转换为单位产品，即1吨为基准折算，且需要详细记录相关的原始数据、数据来源、计算过程等。 </w:t>
      </w:r>
    </w:p>
    <w:p>
      <w:pPr>
        <w:pStyle w:val="12"/>
        <w:ind w:firstLine="420"/>
        <w:rPr>
          <w:rFonts w:ascii="Times New Roman"/>
        </w:rPr>
      </w:pPr>
      <w:r>
        <w:rPr>
          <w:rFonts w:ascii="Times New Roman"/>
        </w:rPr>
        <w:t>d)  一致性：企业现场数据收集时应保持相同的数据来源、统计口径、处理规则等。</w:t>
      </w:r>
    </w:p>
    <w:p>
      <w:pPr>
        <w:pStyle w:val="12"/>
        <w:ind w:firstLine="420"/>
        <w:rPr>
          <w:rFonts w:ascii="Times New Roman"/>
        </w:rPr>
      </w:pPr>
      <w:r>
        <w:rPr>
          <w:rFonts w:ascii="Times New Roman"/>
        </w:rPr>
        <w:t>典型现场数据来源包括：</w:t>
      </w:r>
    </w:p>
    <w:p>
      <w:pPr>
        <w:pStyle w:val="12"/>
        <w:ind w:firstLine="420"/>
        <w:rPr>
          <w:rFonts w:ascii="Times New Roman"/>
        </w:rPr>
      </w:pPr>
      <w:r>
        <w:rPr>
          <w:rFonts w:ascii="Times New Roman"/>
        </w:rPr>
        <w:t xml:space="preserve">——原材料和辅助材料的采购和预加工； </w:t>
      </w:r>
    </w:p>
    <w:p>
      <w:pPr>
        <w:pStyle w:val="12"/>
        <w:ind w:firstLine="420"/>
        <w:rPr>
          <w:rFonts w:ascii="Times New Roman"/>
        </w:rPr>
      </w:pPr>
      <w:r>
        <w:rPr>
          <w:rFonts w:ascii="Times New Roman"/>
        </w:rPr>
        <w:t>——原材料由原材料供应商运输至生产商处的运输数据；</w:t>
      </w:r>
    </w:p>
    <w:p>
      <w:pPr>
        <w:pStyle w:val="12"/>
        <w:ind w:firstLine="420"/>
        <w:rPr>
          <w:rFonts w:ascii="Times New Roman"/>
        </w:rPr>
      </w:pPr>
      <w:r>
        <w:rPr>
          <w:rFonts w:ascii="Times New Roman"/>
        </w:rPr>
        <w:t>——产品生产过程的能源与水资源消耗数据；</w:t>
      </w:r>
    </w:p>
    <w:p>
      <w:pPr>
        <w:pStyle w:val="12"/>
        <w:ind w:firstLine="420"/>
        <w:rPr>
          <w:rFonts w:ascii="Times New Roman"/>
        </w:rPr>
      </w:pPr>
      <w:r>
        <w:rPr>
          <w:rFonts w:ascii="Times New Roman"/>
        </w:rPr>
        <w:t xml:space="preserve">——原材料分配及用量数据； </w:t>
      </w:r>
    </w:p>
    <w:p>
      <w:pPr>
        <w:pStyle w:val="12"/>
        <w:ind w:firstLine="420"/>
        <w:rPr>
          <w:rFonts w:hint="eastAsia" w:ascii="Times New Roman" w:eastAsia="宋体"/>
          <w:lang w:eastAsia="zh-CN"/>
        </w:rPr>
      </w:pPr>
      <w:r>
        <w:rPr>
          <w:rFonts w:ascii="Times New Roman"/>
        </w:rPr>
        <w:t>——产品包装材料数据，包括原材料包装数据</w:t>
      </w:r>
      <w:r>
        <w:rPr>
          <w:rFonts w:hint="eastAsia" w:ascii="Times New Roman"/>
          <w:lang w:eastAsia="zh-CN"/>
        </w:rPr>
        <w:t>；</w:t>
      </w:r>
    </w:p>
    <w:p>
      <w:pPr>
        <w:pStyle w:val="12"/>
        <w:ind w:firstLine="420"/>
        <w:rPr>
          <w:rFonts w:hint="eastAsia" w:ascii="Times New Roman" w:eastAsia="宋体"/>
          <w:lang w:eastAsia="zh-CN"/>
        </w:rPr>
      </w:pPr>
      <w:r>
        <w:rPr>
          <w:rFonts w:ascii="Times New Roman"/>
        </w:rPr>
        <w:t>——</w:t>
      </w:r>
      <w:r>
        <w:rPr>
          <w:rFonts w:hint="eastAsia" w:ascii="Times New Roman"/>
          <w:lang w:val="en-US" w:eastAsia="zh-CN"/>
        </w:rPr>
        <w:t>废气排放和</w:t>
      </w:r>
      <w:r>
        <w:rPr>
          <w:rFonts w:ascii="Times New Roman"/>
        </w:rPr>
        <w:t>固体废物处理的数据</w:t>
      </w:r>
      <w:r>
        <w:rPr>
          <w:rFonts w:hint="eastAsia" w:ascii="Times New Roman"/>
          <w:lang w:eastAsia="zh-CN"/>
        </w:rPr>
        <w:t>；</w:t>
      </w:r>
    </w:p>
    <w:p>
      <w:pPr>
        <w:pStyle w:val="12"/>
        <w:ind w:firstLine="420"/>
        <w:rPr>
          <w:rFonts w:ascii="Times New Roman"/>
        </w:rPr>
      </w:pPr>
      <w:r>
        <w:rPr>
          <w:rFonts w:ascii="Times New Roman"/>
        </w:rPr>
        <w:t>——</w:t>
      </w:r>
      <w:r>
        <w:rPr>
          <w:rFonts w:hint="eastAsia" w:ascii="Times New Roman"/>
          <w:lang w:eastAsia="zh-CN"/>
        </w:rPr>
        <w:t>职业用鞋靴</w:t>
      </w:r>
      <w:r>
        <w:rPr>
          <w:rFonts w:ascii="Times New Roman"/>
        </w:rPr>
        <w:t>由生产商处运输至批发零售商的运输数据。</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 xml:space="preserve">.3.2.3 背景数据采集 </w:t>
      </w:r>
    </w:p>
    <w:p>
      <w:pPr>
        <w:pStyle w:val="12"/>
        <w:ind w:firstLine="420"/>
        <w:rPr>
          <w:rFonts w:ascii="Times New Roman"/>
        </w:rPr>
      </w:pPr>
      <w:r>
        <w:rPr>
          <w:rFonts w:ascii="Times New Roman"/>
        </w:rPr>
        <w:t>背景数据不是直接测量或计算而得到的数据。所使用数据的来源应有清楚的文件记载并应载入产品生命周期评价报告。</w:t>
      </w:r>
    </w:p>
    <w:p>
      <w:pPr>
        <w:pStyle w:val="12"/>
        <w:ind w:firstLine="420"/>
        <w:rPr>
          <w:rFonts w:ascii="Times New Roman"/>
        </w:rPr>
      </w:pPr>
      <w:r>
        <w:rPr>
          <w:rFonts w:ascii="Times New Roman"/>
        </w:rPr>
        <w:t>背景数据的质量要求包括：</w:t>
      </w:r>
    </w:p>
    <w:p>
      <w:pPr>
        <w:pStyle w:val="12"/>
        <w:ind w:firstLine="420"/>
        <w:rPr>
          <w:rFonts w:ascii="Times New Roman"/>
        </w:rPr>
      </w:pPr>
      <w:r>
        <w:rPr>
          <w:rFonts w:ascii="Times New Roman"/>
        </w:rPr>
        <w:t xml:space="preserve">a) 代表性：背景数据应优先选择企业的原材料供应商提供的符合相关 LCA 标准要求的、经第三方独立验证的上游产品 LCA 报告中的数据。若无，须优先选择代表中国国内平均生产水平的公开 LCA数据，数据的参考年限应优先选择近年数据。在没有符合要求的中国国内数据的情况下，可以选择国外同类技术数据作为背景数据。 </w:t>
      </w:r>
    </w:p>
    <w:p>
      <w:pPr>
        <w:pStyle w:val="12"/>
        <w:ind w:firstLine="420"/>
        <w:rPr>
          <w:rFonts w:ascii="Times New Roman"/>
        </w:rPr>
      </w:pPr>
      <w:r>
        <w:rPr>
          <w:rFonts w:ascii="Times New Roman"/>
        </w:rPr>
        <w:t xml:space="preserve">b)  完整性：背景数据的系统边界应该从资源开采到这些原辅材料或能源产品出厂为止。 </w:t>
      </w:r>
    </w:p>
    <w:p>
      <w:pPr>
        <w:pStyle w:val="12"/>
        <w:ind w:firstLine="420"/>
        <w:rPr>
          <w:rFonts w:ascii="Times New Roman"/>
        </w:rPr>
      </w:pPr>
      <w:r>
        <w:rPr>
          <w:rFonts w:ascii="Times New Roman"/>
        </w:rPr>
        <w:t>c)  一致性：所有被选择的背景数据应完整覆盖本标准确定的生命周期清单因子，并且应将背景数据转换为一致的物质名录后再进行计算。</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.3.2.4 原材料采购和预加工</w:t>
      </w:r>
    </w:p>
    <w:p>
      <w:pPr>
        <w:pStyle w:val="12"/>
        <w:ind w:firstLine="420"/>
        <w:rPr>
          <w:rFonts w:ascii="Times New Roman"/>
        </w:rPr>
      </w:pPr>
      <w:r>
        <w:rPr>
          <w:rFonts w:ascii="Times New Roman"/>
        </w:rPr>
        <w:t>该阶段始于从大自然提取资源，结束于原材料进入产品生产设施，包括但不限于：</w:t>
      </w:r>
    </w:p>
    <w:p>
      <w:pPr>
        <w:pStyle w:val="12"/>
        <w:ind w:firstLine="420"/>
        <w:rPr>
          <w:rFonts w:ascii="Times New Roman"/>
        </w:rPr>
      </w:pPr>
      <w:r>
        <w:rPr>
          <w:rFonts w:ascii="Times New Roman"/>
        </w:rPr>
        <w:t>——资源和能源的提取和开采；</w:t>
      </w:r>
    </w:p>
    <w:p>
      <w:pPr>
        <w:pStyle w:val="12"/>
        <w:ind w:firstLine="420"/>
        <w:rPr>
          <w:rFonts w:ascii="Times New Roman"/>
        </w:rPr>
      </w:pPr>
      <w:r>
        <w:rPr>
          <w:rFonts w:ascii="Times New Roman"/>
        </w:rPr>
        <w:t>——所有原材料的预加工；</w:t>
      </w:r>
    </w:p>
    <w:p>
      <w:pPr>
        <w:pStyle w:val="12"/>
        <w:ind w:firstLine="420"/>
        <w:rPr>
          <w:rFonts w:hint="default" w:ascii="Times New Roman" w:eastAsia="宋体"/>
          <w:lang w:val="en-US" w:eastAsia="zh-CN"/>
        </w:rPr>
      </w:pPr>
      <w:r>
        <w:rPr>
          <w:rFonts w:ascii="Times New Roman"/>
        </w:rPr>
        <w:t>——</w:t>
      </w:r>
      <w:r>
        <w:rPr>
          <w:rFonts w:hint="eastAsia" w:ascii="Times New Roman"/>
          <w:lang w:val="en-US" w:eastAsia="zh-CN"/>
        </w:rPr>
        <w:t>转换回收的材料；</w:t>
      </w:r>
    </w:p>
    <w:p>
      <w:pPr>
        <w:pStyle w:val="12"/>
        <w:ind w:firstLine="420"/>
        <w:rPr>
          <w:rFonts w:ascii="Times New Roman"/>
        </w:rPr>
      </w:pPr>
      <w:r>
        <w:rPr>
          <w:rFonts w:ascii="Times New Roman"/>
        </w:rPr>
        <w:t>——提取、开采或预加工设施内部或设施之间的运输。</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.3.2.5 生产</w:t>
      </w:r>
      <w:r>
        <w:rPr>
          <w:rFonts w:hint="eastAsia" w:ascii="Times New Roman" w:hAnsi="Times New Roman" w:eastAsia="黑体"/>
          <w:kern w:val="0"/>
          <w:szCs w:val="21"/>
        </w:rPr>
        <w:t>阶段</w:t>
      </w:r>
    </w:p>
    <w:p>
      <w:pPr>
        <w:pStyle w:val="12"/>
        <w:ind w:firstLine="420"/>
        <w:rPr>
          <w:rFonts w:ascii="Times New Roman"/>
        </w:rPr>
      </w:pPr>
      <w:r>
        <w:rPr>
          <w:rFonts w:ascii="Times New Roman"/>
        </w:rPr>
        <w:t>该阶段始于原材料</w:t>
      </w:r>
      <w:r>
        <w:rPr>
          <w:rFonts w:hint="eastAsia" w:ascii="Times New Roman"/>
          <w:lang w:eastAsia="zh-CN"/>
        </w:rPr>
        <w:t>、</w:t>
      </w:r>
      <w:r>
        <w:rPr>
          <w:rFonts w:hint="eastAsia" w:ascii="Times New Roman"/>
          <w:lang w:val="en-US" w:eastAsia="zh-CN"/>
        </w:rPr>
        <w:t>零部件、半成品</w:t>
      </w:r>
      <w:r>
        <w:rPr>
          <w:rFonts w:ascii="Times New Roman"/>
        </w:rPr>
        <w:t>进入生产</w:t>
      </w:r>
      <w:r>
        <w:rPr>
          <w:rFonts w:hint="eastAsia" w:ascii="Times New Roman"/>
          <w:lang w:val="en-US" w:eastAsia="zh-CN"/>
        </w:rPr>
        <w:t>场址</w:t>
      </w:r>
      <w:r>
        <w:rPr>
          <w:rFonts w:ascii="Times New Roman"/>
        </w:rPr>
        <w:t>，结束于成品离开生产设施。生产活动包括</w:t>
      </w:r>
      <w:r>
        <w:rPr>
          <w:rFonts w:hint="eastAsia" w:ascii="Times New Roman"/>
        </w:rPr>
        <w:t>化学处理、制造、制造过程中半成品的运输、材料组成包装等</w:t>
      </w:r>
      <w:r>
        <w:rPr>
          <w:rFonts w:ascii="Times New Roman"/>
        </w:rPr>
        <w:t>等步骤。</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.3.2.6 销售</w:t>
      </w:r>
      <w:r>
        <w:rPr>
          <w:rFonts w:hint="eastAsia" w:ascii="Times New Roman" w:hAnsi="Times New Roman" w:eastAsia="黑体"/>
          <w:kern w:val="0"/>
          <w:szCs w:val="21"/>
        </w:rPr>
        <w:t>阶段</w:t>
      </w:r>
    </w:p>
    <w:p>
      <w:pPr>
        <w:pStyle w:val="12"/>
        <w:ind w:firstLine="420"/>
        <w:rPr>
          <w:rFonts w:ascii="Times New Roman"/>
        </w:rPr>
      </w:pPr>
      <w:r>
        <w:rPr>
          <w:rFonts w:ascii="Times New Roman"/>
        </w:rPr>
        <w:t>该阶段将</w:t>
      </w:r>
      <w:r>
        <w:rPr>
          <w:rFonts w:hint="eastAsia" w:ascii="Times New Roman"/>
          <w:lang w:eastAsia="zh-CN"/>
        </w:rPr>
        <w:t>职业用鞋靴</w:t>
      </w:r>
      <w:r>
        <w:rPr>
          <w:rFonts w:ascii="Times New Roman"/>
        </w:rPr>
        <w:t>分配给各级批发零售商，可沿着供应链将其储存在</w:t>
      </w:r>
      <w:r>
        <w:rPr>
          <w:rFonts w:hint="eastAsia" w:ascii="Times New Roman"/>
        </w:rPr>
        <w:t>各</w:t>
      </w:r>
      <w:r>
        <w:rPr>
          <w:rFonts w:ascii="Times New Roman"/>
        </w:rPr>
        <w:t>点，包括运输车辆的燃料使用等。</w:t>
      </w:r>
    </w:p>
    <w:p>
      <w:pPr>
        <w:pStyle w:val="12"/>
        <w:ind w:firstLine="420"/>
        <w:rPr>
          <w:rFonts w:hint="eastAsia" w:ascii="Times New Roman"/>
        </w:rPr>
      </w:pPr>
      <w:r>
        <w:rPr>
          <w:rFonts w:hint="eastAsia" w:ascii="Times New Roman"/>
        </w:rPr>
        <w:t>应考虑的运输参数包括运输方式、车辆类型、燃料消耗量、装货速率、回空数量、运输距离等。</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.3.2.</w:t>
      </w:r>
      <w:r>
        <w:rPr>
          <w:rFonts w:hint="eastAsia" w:ascii="Times New Roman" w:hAnsi="Times New Roman" w:eastAsia="黑体"/>
          <w:kern w:val="0"/>
          <w:szCs w:val="21"/>
          <w:lang w:val="en-US" w:eastAsia="zh-CN"/>
        </w:rPr>
        <w:t>7</w:t>
      </w:r>
      <w:r>
        <w:rPr>
          <w:rFonts w:ascii="Times New Roman" w:hAnsi="Times New Roman" w:eastAsia="黑体"/>
          <w:kern w:val="0"/>
          <w:szCs w:val="21"/>
        </w:rPr>
        <w:t xml:space="preserve"> </w:t>
      </w:r>
      <w:r>
        <w:rPr>
          <w:rFonts w:hint="eastAsia" w:ascii="Times New Roman" w:hAnsi="Times New Roman" w:eastAsia="黑体"/>
          <w:kern w:val="0"/>
          <w:szCs w:val="21"/>
          <w:lang w:val="en-US" w:eastAsia="zh-CN"/>
        </w:rPr>
        <w:t>使用</w:t>
      </w:r>
      <w:r>
        <w:rPr>
          <w:rFonts w:hint="eastAsia" w:ascii="Times New Roman" w:hAnsi="Times New Roman" w:eastAsia="黑体"/>
          <w:kern w:val="0"/>
          <w:szCs w:val="21"/>
        </w:rPr>
        <w:t>阶段</w:t>
      </w:r>
    </w:p>
    <w:p>
      <w:pPr>
        <w:pStyle w:val="12"/>
        <w:ind w:firstLine="420"/>
        <w:rPr>
          <w:rFonts w:hint="default" w:ascii="Times New Roman" w:eastAsia="宋体"/>
          <w:lang w:val="en-US" w:eastAsia="zh-CN"/>
        </w:rPr>
      </w:pPr>
      <w:r>
        <w:rPr>
          <w:rFonts w:hint="eastAsia" w:ascii="Times New Roman"/>
          <w:lang w:val="en-US" w:eastAsia="zh-CN"/>
        </w:rPr>
        <w:t>该阶段始于消费者拥有职业用鞋靴，结束于废弃且运至回收或废物处理设施。包括使用/消费模式、使用期间的资源消耗等。</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.3.3 数据分配</w:t>
      </w:r>
    </w:p>
    <w:p>
      <w:pPr>
        <w:pStyle w:val="12"/>
        <w:ind w:firstLine="420"/>
        <w:rPr>
          <w:rFonts w:ascii="Times New Roman"/>
          <w:szCs w:val="22"/>
        </w:rPr>
      </w:pPr>
      <w:r>
        <w:rPr>
          <w:rFonts w:ascii="Times New Roman"/>
        </w:rPr>
        <w:t>在进行</w:t>
      </w:r>
      <w:r>
        <w:rPr>
          <w:rFonts w:hint="eastAsia" w:ascii="Times New Roman"/>
          <w:lang w:eastAsia="zh-CN"/>
        </w:rPr>
        <w:t>职业用鞋靴</w:t>
      </w:r>
      <w:r>
        <w:rPr>
          <w:rFonts w:ascii="Times New Roman"/>
        </w:rPr>
        <w:t>生命周期评价的过程中涉及到数据分配问题，特别是</w:t>
      </w:r>
      <w:r>
        <w:rPr>
          <w:rFonts w:hint="eastAsia" w:ascii="Times New Roman"/>
          <w:lang w:eastAsia="zh-CN"/>
        </w:rPr>
        <w:t>职业用鞋靴</w:t>
      </w:r>
      <w:r>
        <w:rPr>
          <w:rFonts w:ascii="Times New Roman"/>
        </w:rPr>
        <w:t>的生产环节。</w:t>
      </w:r>
      <w:r>
        <w:rPr>
          <w:rFonts w:hint="eastAsia" w:ascii="Times New Roman"/>
          <w:szCs w:val="22"/>
        </w:rPr>
        <w:t>由于厂家往往同时生产多种类型的产品，一条流水线上或一个车间里会同时生产多种型号。很难就某单个型号的产品生产来收集清单数据，往往会就某个车间、某条流水线或某个工艺来收集数据，然后再分配到具体的产品上。因此选取“</w:t>
      </w:r>
      <w:r>
        <w:rPr>
          <w:rFonts w:hint="eastAsia" w:ascii="Times New Roman"/>
          <w:szCs w:val="22"/>
          <w:lang w:val="en-US" w:eastAsia="zh-CN"/>
        </w:rPr>
        <w:t>数量</w:t>
      </w:r>
      <w:r>
        <w:rPr>
          <w:rFonts w:hint="eastAsia" w:ascii="Times New Roman"/>
          <w:szCs w:val="22"/>
        </w:rPr>
        <w:t>分配”作为分摊的比例，即</w:t>
      </w:r>
      <w:r>
        <w:rPr>
          <w:rFonts w:hint="eastAsia" w:ascii="Times New Roman"/>
          <w:szCs w:val="22"/>
          <w:lang w:val="en-US" w:eastAsia="zh-CN"/>
        </w:rPr>
        <w:t>数量越多</w:t>
      </w:r>
      <w:r>
        <w:rPr>
          <w:rFonts w:hint="eastAsia" w:ascii="Times New Roman"/>
          <w:szCs w:val="22"/>
        </w:rPr>
        <w:t>的产品，其分摊额度就越大。</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.3.4生命周期影响评价</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.3.4.1 数据分析</w:t>
      </w:r>
    </w:p>
    <w:p>
      <w:pPr>
        <w:pStyle w:val="12"/>
        <w:ind w:firstLine="420"/>
        <w:rPr>
          <w:rFonts w:ascii="Times New Roman"/>
        </w:rPr>
      </w:pPr>
      <w:r>
        <w:rPr>
          <w:rFonts w:ascii="Times New Roman"/>
        </w:rPr>
        <w:t>根据表</w:t>
      </w:r>
      <w:r>
        <w:rPr>
          <w:rFonts w:hint="eastAsia" w:ascii="Times New Roman"/>
        </w:rPr>
        <w:t>B</w:t>
      </w:r>
      <w:r>
        <w:rPr>
          <w:rFonts w:ascii="Times New Roman"/>
        </w:rPr>
        <w:t>.1-</w:t>
      </w:r>
      <w:r>
        <w:rPr>
          <w:rFonts w:hint="eastAsia" w:ascii="Times New Roman"/>
        </w:rPr>
        <w:t>B</w:t>
      </w:r>
      <w:r>
        <w:rPr>
          <w:rFonts w:ascii="Times New Roman"/>
        </w:rPr>
        <w:t>.</w:t>
      </w:r>
      <w:r>
        <w:rPr>
          <w:rFonts w:hint="eastAsia" w:ascii="Times New Roman"/>
        </w:rPr>
        <w:t>4</w:t>
      </w:r>
      <w:r>
        <w:rPr>
          <w:rFonts w:ascii="Times New Roman"/>
        </w:rPr>
        <w:t>对应需要的数据，进行填报。</w:t>
      </w:r>
    </w:p>
    <w:p>
      <w:pPr>
        <w:pStyle w:val="12"/>
        <w:ind w:firstLine="420"/>
        <w:rPr>
          <w:rFonts w:hint="eastAsia" w:ascii="Times New Roman" w:eastAsia="宋体"/>
          <w:lang w:val="en-US" w:eastAsia="zh-CN"/>
        </w:rPr>
      </w:pPr>
      <w:r>
        <w:rPr>
          <w:rFonts w:ascii="Times New Roman"/>
        </w:rPr>
        <w:t>a) 现场数据可通过企业调研、上游厂家提供、采样监测等途径进行收集，所收集的数据要求为企业三年平均统计数据，并能够反映企业的实际生产水平。</w:t>
      </w:r>
    </w:p>
    <w:p>
      <w:pPr>
        <w:pStyle w:val="12"/>
        <w:ind w:firstLine="420"/>
        <w:rPr>
          <w:rFonts w:ascii="Times New Roman"/>
        </w:rPr>
      </w:pPr>
      <w:r>
        <w:rPr>
          <w:rFonts w:ascii="Times New Roman"/>
        </w:rPr>
        <w:t>b) 从实际调研过程中无法获得的数据，即背景数据，采用相关数据库进行替代，在这一步骤中所涉及到的单元过程包括</w:t>
      </w:r>
      <w:r>
        <w:rPr>
          <w:rFonts w:hint="eastAsia" w:ascii="Times New Roman"/>
          <w:lang w:eastAsia="zh-CN"/>
        </w:rPr>
        <w:t>职业用鞋靴</w:t>
      </w:r>
      <w:r>
        <w:rPr>
          <w:rFonts w:ascii="Times New Roman"/>
        </w:rPr>
        <w:t>行业相关原材料和辅助材料的开采和提取、包装材料、能源消耗以及产品的运输。</w:t>
      </w:r>
    </w:p>
    <w:p>
      <w:pPr>
        <w:pStyle w:val="18"/>
        <w:spacing w:before="120" w:after="120"/>
        <w:ind w:left="0"/>
        <w:rPr>
          <w:sz w:val="18"/>
          <w:szCs w:val="18"/>
        </w:rPr>
      </w:pPr>
      <w:r>
        <w:rPr>
          <w:rFonts w:hint="eastAsia"/>
          <w:sz w:val="18"/>
          <w:szCs w:val="18"/>
        </w:rPr>
        <w:t>表B.1</w:t>
      </w:r>
      <w:r>
        <w:rPr>
          <w:rFonts w:hint="eastAsia"/>
          <w:sz w:val="18"/>
          <w:szCs w:val="18"/>
          <w:lang w:eastAsia="zh-CN"/>
        </w:rPr>
        <w:t>职业用鞋靴</w:t>
      </w:r>
      <w:r>
        <w:rPr>
          <w:rFonts w:hint="eastAsia"/>
          <w:sz w:val="18"/>
          <w:szCs w:val="18"/>
        </w:rPr>
        <w:t>的原材料成分、用量及运输清单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949"/>
        <w:gridCol w:w="912"/>
        <w:gridCol w:w="1063"/>
        <w:gridCol w:w="939"/>
        <w:gridCol w:w="2251"/>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gridSpan w:val="2"/>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原材料成分</w:t>
            </w:r>
          </w:p>
        </w:tc>
        <w:tc>
          <w:tcPr>
            <w:tcW w:w="912"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含量(%)</w:t>
            </w:r>
          </w:p>
        </w:tc>
        <w:tc>
          <w:tcPr>
            <w:tcW w:w="1063"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单位产品消耗量(%)</w:t>
            </w:r>
          </w:p>
        </w:tc>
        <w:tc>
          <w:tcPr>
            <w:tcW w:w="939"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原料产地</w:t>
            </w:r>
          </w:p>
        </w:tc>
        <w:tc>
          <w:tcPr>
            <w:tcW w:w="2251"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运输方式（货车、火车、飞机、轮船或其他方式）</w:t>
            </w:r>
          </w:p>
        </w:tc>
        <w:tc>
          <w:tcPr>
            <w:tcW w:w="1533"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运输距离(km)</w:t>
            </w:r>
          </w:p>
        </w:tc>
        <w:tc>
          <w:tcPr>
            <w:tcW w:w="1533"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单位产品运距离(km/kg)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restart"/>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鞋面材料</w:t>
            </w:r>
          </w:p>
        </w:tc>
        <w:tc>
          <w:tcPr>
            <w:tcW w:w="949" w:type="dxa"/>
            <w:noWrap w:val="0"/>
            <w:vAlign w:val="center"/>
          </w:tcPr>
          <w:p>
            <w:pPr>
              <w:pStyle w:val="18"/>
              <w:numPr>
                <w:ilvl w:val="0"/>
                <w:numId w:val="0"/>
              </w:numPr>
              <w:spacing w:before="120" w:after="120"/>
              <w:ind w:firstLine="0"/>
              <w:rPr>
                <w:rFonts w:hint="default" w:ascii="Times New Roman" w:eastAsia="黑体"/>
                <w:color w:val="FF0000"/>
                <w:sz w:val="18"/>
                <w:szCs w:val="18"/>
                <w:lang w:val="en-US" w:eastAsia="zh-CN"/>
              </w:rPr>
            </w:pPr>
            <w:r>
              <w:rPr>
                <w:rFonts w:hint="eastAsia" w:ascii="Times New Roman"/>
                <w:color w:val="FF0000"/>
                <w:sz w:val="18"/>
                <w:szCs w:val="18"/>
                <w:lang w:val="en-US" w:eastAsia="zh-CN"/>
              </w:rPr>
              <w:t>牛皮</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eastAsia" w:ascii="Times New Roman" w:eastAsia="黑体"/>
                <w:color w:val="FF0000"/>
                <w:sz w:val="18"/>
                <w:szCs w:val="18"/>
                <w:lang w:eastAsia="zh-CN"/>
              </w:rPr>
            </w:pPr>
            <w:r>
              <w:rPr>
                <w:rFonts w:hint="eastAsia" w:ascii="Times New Roman"/>
                <w:color w:val="FF0000"/>
                <w:sz w:val="18"/>
                <w:szCs w:val="18"/>
                <w:lang w:val="en-US" w:eastAsia="zh-CN"/>
              </w:rPr>
              <w:t>合成革</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eastAsia="黑体"/>
                <w:color w:val="FF0000"/>
                <w:sz w:val="18"/>
                <w:szCs w:val="18"/>
                <w:lang w:val="en-US" w:eastAsia="zh-CN"/>
              </w:rPr>
            </w:pPr>
            <w:r>
              <w:rPr>
                <w:rFonts w:hint="eastAsia" w:ascii="Times New Roman"/>
                <w:color w:val="FF0000"/>
                <w:sz w:val="18"/>
                <w:szCs w:val="18"/>
                <w:lang w:val="en-US" w:eastAsia="zh-CN"/>
              </w:rPr>
              <w:t>帆布</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color w:val="FF0000"/>
                <w:sz w:val="18"/>
                <w:szCs w:val="18"/>
                <w:lang w:val="en-US" w:eastAsia="zh-CN"/>
              </w:rPr>
            </w:pPr>
            <w:r>
              <w:rPr>
                <w:rFonts w:hint="eastAsia" w:ascii="Times New Roman"/>
                <w:color w:val="FF0000"/>
                <w:sz w:val="18"/>
                <w:szCs w:val="18"/>
                <w:lang w:val="en-US" w:eastAsia="zh-CN"/>
              </w:rPr>
              <w:t>聚氨酯</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color w:val="FF0000"/>
                <w:sz w:val="18"/>
                <w:szCs w:val="18"/>
                <w:lang w:val="en-US" w:eastAsia="zh-CN"/>
              </w:rPr>
            </w:pPr>
            <w:r>
              <w:rPr>
                <w:rFonts w:hint="eastAsia" w:ascii="Times New Roman"/>
                <w:color w:val="FF0000"/>
                <w:sz w:val="18"/>
                <w:szCs w:val="18"/>
                <w:lang w:val="en-US" w:eastAsia="zh-CN"/>
              </w:rPr>
              <w:t>缝纫线</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color w:val="FF0000"/>
                <w:sz w:val="18"/>
                <w:szCs w:val="18"/>
                <w:lang w:val="en-US" w:eastAsia="zh-CN"/>
              </w:rPr>
            </w:pPr>
            <w:r>
              <w:rPr>
                <w:rFonts w:hint="eastAsia" w:ascii="Times New Roman"/>
                <w:color w:val="FF0000"/>
                <w:sz w:val="18"/>
                <w:szCs w:val="18"/>
                <w:lang w:val="en-US" w:eastAsia="zh-CN"/>
              </w:rPr>
              <w:t>...</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restart"/>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lang w:val="en-US" w:eastAsia="zh-CN"/>
              </w:rPr>
              <w:t>鞋底</w:t>
            </w:r>
            <w:r>
              <w:rPr>
                <w:rFonts w:hint="eastAsia" w:ascii="Times New Roman"/>
                <w:sz w:val="18"/>
                <w:szCs w:val="18"/>
              </w:rPr>
              <w:t>材料</w:t>
            </w:r>
          </w:p>
        </w:tc>
        <w:tc>
          <w:tcPr>
            <w:tcW w:w="949" w:type="dxa"/>
            <w:noWrap w:val="0"/>
            <w:vAlign w:val="center"/>
          </w:tcPr>
          <w:p>
            <w:pPr>
              <w:pStyle w:val="18"/>
              <w:numPr>
                <w:ilvl w:val="0"/>
                <w:numId w:val="0"/>
              </w:numPr>
              <w:spacing w:before="120" w:after="120"/>
              <w:ind w:firstLine="0"/>
              <w:rPr>
                <w:rFonts w:hint="eastAsia" w:ascii="Times New Roman" w:eastAsia="黑体"/>
                <w:color w:val="FF0000"/>
                <w:sz w:val="18"/>
                <w:szCs w:val="18"/>
                <w:lang w:eastAsia="zh-CN"/>
              </w:rPr>
            </w:pPr>
            <w:r>
              <w:rPr>
                <w:rFonts w:hint="eastAsia" w:ascii="Times New Roman"/>
                <w:color w:val="FF0000"/>
                <w:sz w:val="18"/>
                <w:szCs w:val="18"/>
                <w:lang w:val="en-US" w:eastAsia="zh-CN"/>
              </w:rPr>
              <w:t>橡胶</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eastAsia="黑体"/>
                <w:color w:val="FF0000"/>
                <w:sz w:val="18"/>
                <w:szCs w:val="18"/>
                <w:lang w:val="en-US" w:eastAsia="zh-CN"/>
              </w:rPr>
            </w:pPr>
            <w:r>
              <w:rPr>
                <w:rFonts w:hint="eastAsia" w:ascii="Times New Roman"/>
                <w:color w:val="FF0000"/>
                <w:sz w:val="18"/>
                <w:szCs w:val="18"/>
                <w:lang w:val="en-US" w:eastAsia="zh-CN"/>
              </w:rPr>
              <w:t>TPU</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eastAsia="黑体"/>
                <w:color w:val="FF0000"/>
                <w:sz w:val="18"/>
                <w:szCs w:val="18"/>
                <w:lang w:val="en-US" w:eastAsia="zh-CN"/>
              </w:rPr>
            </w:pPr>
            <w:r>
              <w:rPr>
                <w:rFonts w:hint="eastAsia" w:ascii="Times New Roman"/>
                <w:color w:val="FF0000"/>
                <w:sz w:val="18"/>
                <w:szCs w:val="18"/>
                <w:lang w:val="en-US" w:eastAsia="zh-CN"/>
              </w:rPr>
              <w:t>EVA</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restart"/>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鞋垫材料</w:t>
            </w:r>
          </w:p>
        </w:tc>
        <w:tc>
          <w:tcPr>
            <w:tcW w:w="949" w:type="dxa"/>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聚氨酯</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海绵</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EVA</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restart"/>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结合材料</w:t>
            </w:r>
          </w:p>
        </w:tc>
        <w:tc>
          <w:tcPr>
            <w:tcW w:w="949" w:type="dxa"/>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粘合剂</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处理剂</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固化剂</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缝纫线</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鞋钉</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restart"/>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lang w:val="en-US" w:eastAsia="zh-CN"/>
              </w:rPr>
              <w:t>其它</w:t>
            </w:r>
            <w:r>
              <w:rPr>
                <w:rFonts w:hint="eastAsia" w:ascii="Times New Roman"/>
                <w:sz w:val="18"/>
                <w:szCs w:val="18"/>
              </w:rPr>
              <w:t>材料</w:t>
            </w:r>
          </w:p>
        </w:tc>
        <w:tc>
          <w:tcPr>
            <w:tcW w:w="949" w:type="dxa"/>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织带</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eastAsia="黑体"/>
                <w:sz w:val="18"/>
                <w:szCs w:val="18"/>
                <w:lang w:val="en-US" w:eastAsia="zh-CN"/>
              </w:rPr>
            </w:pPr>
            <w:r>
              <w:rPr>
                <w:rFonts w:hint="eastAsia" w:ascii="Times New Roman"/>
                <w:sz w:val="18"/>
                <w:szCs w:val="18"/>
                <w:lang w:val="en-US" w:eastAsia="zh-CN"/>
              </w:rPr>
              <w:t>鞋眼</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油墨</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鞋撑</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ascii="Times New Roman"/>
                <w:sz w:val="18"/>
                <w:szCs w:val="18"/>
              </w:rPr>
            </w:pPr>
          </w:p>
        </w:tc>
        <w:tc>
          <w:tcPr>
            <w:tcW w:w="949" w:type="dxa"/>
            <w:noWrap w:val="0"/>
            <w:vAlign w:val="center"/>
          </w:tcPr>
          <w:p>
            <w:pPr>
              <w:pStyle w:val="18"/>
              <w:numPr>
                <w:ilvl w:val="0"/>
                <w:numId w:val="0"/>
              </w:numPr>
              <w:spacing w:before="120" w:after="120"/>
              <w:ind w:firstLine="0"/>
              <w:rPr>
                <w:rFonts w:ascii="Times New Roman"/>
                <w:sz w:val="18"/>
                <w:szCs w:val="18"/>
              </w:rPr>
            </w:pPr>
            <w:r>
              <w:rPr>
                <w:rFonts w:hint="eastAsia" w:ascii="Times New Roman"/>
                <w:sz w:val="18"/>
                <w:szCs w:val="18"/>
              </w:rPr>
              <w:t>...</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restart"/>
            <w:noWrap w:val="0"/>
            <w:vAlign w:val="center"/>
          </w:tcPr>
          <w:p>
            <w:pPr>
              <w:pStyle w:val="18"/>
              <w:numPr>
                <w:ilvl w:val="0"/>
                <w:numId w:val="0"/>
              </w:numPr>
              <w:spacing w:before="120" w:after="120"/>
              <w:ind w:firstLine="0"/>
              <w:rPr>
                <w:rFonts w:hint="eastAsia" w:ascii="Times New Roman" w:eastAsia="黑体"/>
                <w:sz w:val="18"/>
                <w:szCs w:val="18"/>
                <w:lang w:val="en-US" w:eastAsia="zh-CN"/>
              </w:rPr>
            </w:pPr>
            <w:r>
              <w:rPr>
                <w:rFonts w:hint="eastAsia" w:ascii="Times New Roman"/>
                <w:sz w:val="18"/>
                <w:szCs w:val="18"/>
                <w:lang w:val="en-US" w:eastAsia="zh-CN"/>
              </w:rPr>
              <w:t>包装材料</w:t>
            </w:r>
          </w:p>
        </w:tc>
        <w:tc>
          <w:tcPr>
            <w:tcW w:w="949" w:type="dxa"/>
            <w:noWrap w:val="0"/>
            <w:vAlign w:val="center"/>
          </w:tcPr>
          <w:p>
            <w:pPr>
              <w:pStyle w:val="18"/>
              <w:numPr>
                <w:ilvl w:val="0"/>
                <w:numId w:val="0"/>
              </w:numPr>
              <w:spacing w:before="120" w:after="120"/>
              <w:ind w:firstLine="0"/>
              <w:rPr>
                <w:rFonts w:hint="eastAsia" w:ascii="Times New Roman" w:eastAsia="黑体"/>
                <w:sz w:val="18"/>
                <w:szCs w:val="18"/>
                <w:lang w:val="en-US" w:eastAsia="zh-CN"/>
              </w:rPr>
            </w:pPr>
            <w:r>
              <w:rPr>
                <w:rFonts w:hint="eastAsia" w:ascii="Times New Roman"/>
                <w:sz w:val="18"/>
                <w:szCs w:val="18"/>
                <w:lang w:val="en-US" w:eastAsia="zh-CN"/>
              </w:rPr>
              <w:t>纸箱</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干燥剂</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防虫剂</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说明书</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隔板</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封箱带</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 w:type="dxa"/>
            <w:vMerge w:val="continue"/>
            <w:noWrap w:val="0"/>
            <w:vAlign w:val="center"/>
          </w:tcPr>
          <w:p>
            <w:pPr>
              <w:pStyle w:val="18"/>
              <w:numPr>
                <w:ilvl w:val="0"/>
                <w:numId w:val="0"/>
              </w:numPr>
              <w:spacing w:before="120" w:after="120"/>
              <w:ind w:firstLine="0"/>
              <w:rPr>
                <w:rFonts w:hint="eastAsia" w:ascii="Times New Roman"/>
                <w:sz w:val="18"/>
                <w:szCs w:val="18"/>
                <w:lang w:val="en-US" w:eastAsia="zh-CN"/>
              </w:rPr>
            </w:pPr>
          </w:p>
        </w:tc>
        <w:tc>
          <w:tcPr>
            <w:tcW w:w="949" w:type="dxa"/>
            <w:noWrap w:val="0"/>
            <w:vAlign w:val="center"/>
          </w:tcPr>
          <w:p>
            <w:pPr>
              <w:pStyle w:val="18"/>
              <w:numPr>
                <w:ilvl w:val="0"/>
                <w:numId w:val="0"/>
              </w:numPr>
              <w:spacing w:before="120" w:after="120"/>
              <w:ind w:firstLine="0"/>
              <w:rPr>
                <w:rFonts w:hint="default" w:ascii="Times New Roman"/>
                <w:sz w:val="18"/>
                <w:szCs w:val="18"/>
                <w:lang w:val="en-US" w:eastAsia="zh-CN"/>
              </w:rPr>
            </w:pPr>
            <w:r>
              <w:rPr>
                <w:rFonts w:hint="eastAsia" w:ascii="Times New Roman"/>
                <w:sz w:val="18"/>
                <w:szCs w:val="18"/>
                <w:lang w:val="en-US" w:eastAsia="zh-CN"/>
              </w:rPr>
              <w:t>...</w:t>
            </w:r>
          </w:p>
        </w:tc>
        <w:tc>
          <w:tcPr>
            <w:tcW w:w="912" w:type="dxa"/>
            <w:noWrap w:val="0"/>
            <w:vAlign w:val="center"/>
          </w:tcPr>
          <w:p>
            <w:pPr>
              <w:pStyle w:val="18"/>
              <w:numPr>
                <w:ilvl w:val="0"/>
                <w:numId w:val="0"/>
              </w:numPr>
              <w:spacing w:before="120" w:after="120"/>
              <w:ind w:firstLine="0"/>
              <w:rPr>
                <w:rFonts w:ascii="Times New Roman"/>
                <w:sz w:val="18"/>
                <w:szCs w:val="18"/>
              </w:rPr>
            </w:pPr>
          </w:p>
        </w:tc>
        <w:tc>
          <w:tcPr>
            <w:tcW w:w="1063" w:type="dxa"/>
            <w:noWrap w:val="0"/>
            <w:vAlign w:val="center"/>
          </w:tcPr>
          <w:p>
            <w:pPr>
              <w:pStyle w:val="18"/>
              <w:numPr>
                <w:ilvl w:val="0"/>
                <w:numId w:val="0"/>
              </w:numPr>
              <w:spacing w:before="120" w:after="120"/>
              <w:ind w:firstLine="0"/>
              <w:rPr>
                <w:rFonts w:ascii="Times New Roman"/>
                <w:sz w:val="18"/>
                <w:szCs w:val="18"/>
              </w:rPr>
            </w:pPr>
          </w:p>
        </w:tc>
        <w:tc>
          <w:tcPr>
            <w:tcW w:w="939" w:type="dxa"/>
            <w:noWrap w:val="0"/>
            <w:vAlign w:val="center"/>
          </w:tcPr>
          <w:p>
            <w:pPr>
              <w:pStyle w:val="18"/>
              <w:numPr>
                <w:ilvl w:val="0"/>
                <w:numId w:val="0"/>
              </w:numPr>
              <w:spacing w:before="120" w:after="120"/>
              <w:ind w:firstLine="0"/>
              <w:rPr>
                <w:rFonts w:ascii="Times New Roman"/>
                <w:sz w:val="18"/>
                <w:szCs w:val="18"/>
              </w:rPr>
            </w:pPr>
          </w:p>
        </w:tc>
        <w:tc>
          <w:tcPr>
            <w:tcW w:w="2251"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c>
          <w:tcPr>
            <w:tcW w:w="1533" w:type="dxa"/>
            <w:noWrap w:val="0"/>
            <w:vAlign w:val="center"/>
          </w:tcPr>
          <w:p>
            <w:pPr>
              <w:pStyle w:val="18"/>
              <w:numPr>
                <w:ilvl w:val="0"/>
                <w:numId w:val="0"/>
              </w:numPr>
              <w:spacing w:before="120" w:after="120"/>
              <w:ind w:firstLine="0"/>
              <w:rPr>
                <w:rFonts w:ascii="Times New Roman"/>
                <w:sz w:val="18"/>
                <w:szCs w:val="18"/>
              </w:rPr>
            </w:pPr>
          </w:p>
        </w:tc>
      </w:tr>
    </w:tbl>
    <w:p>
      <w:pPr>
        <w:pStyle w:val="18"/>
        <w:spacing w:before="120" w:after="120"/>
        <w:ind w:left="0"/>
        <w:rPr>
          <w:rFonts w:ascii="Times New Roman"/>
          <w:sz w:val="18"/>
          <w:szCs w:val="18"/>
        </w:rPr>
      </w:pPr>
    </w:p>
    <w:p>
      <w:pPr>
        <w:pStyle w:val="18"/>
        <w:spacing w:before="120" w:after="120"/>
        <w:ind w:left="0"/>
        <w:rPr>
          <w:sz w:val="18"/>
          <w:szCs w:val="18"/>
        </w:rPr>
      </w:pPr>
      <w:r>
        <w:rPr>
          <w:rFonts w:hint="eastAsia"/>
          <w:sz w:val="18"/>
          <w:szCs w:val="18"/>
        </w:rPr>
        <w:t>表B.</w:t>
      </w:r>
      <w:r>
        <w:rPr>
          <w:rFonts w:hint="eastAsia"/>
          <w:sz w:val="18"/>
          <w:szCs w:val="18"/>
          <w:lang w:val="en-US" w:eastAsia="zh-CN"/>
        </w:rPr>
        <w:t>2</w:t>
      </w:r>
      <w:r>
        <w:rPr>
          <w:rFonts w:hint="eastAsia"/>
          <w:sz w:val="18"/>
          <w:szCs w:val="18"/>
          <w:lang w:eastAsia="zh-CN"/>
        </w:rPr>
        <w:t>职业用鞋靴</w:t>
      </w:r>
      <w:r>
        <w:rPr>
          <w:rFonts w:hint="eastAsia"/>
          <w:sz w:val="18"/>
          <w:szCs w:val="18"/>
        </w:rPr>
        <w:t>生产阶段清单</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jc w:val="center"/>
              <w:rPr>
                <w:rFonts w:ascii="宋体" w:eastAsia="宋体"/>
                <w:sz w:val="18"/>
                <w:szCs w:val="18"/>
              </w:rPr>
            </w:pPr>
            <w:r>
              <w:rPr>
                <w:rFonts w:hint="eastAsia" w:ascii="宋体" w:eastAsia="宋体"/>
                <w:sz w:val="18"/>
                <w:szCs w:val="18"/>
              </w:rPr>
              <w:t>能耗/其他物质消耗量种类</w:t>
            </w:r>
          </w:p>
        </w:tc>
        <w:tc>
          <w:tcPr>
            <w:tcW w:w="2130" w:type="dxa"/>
            <w:noWrap w:val="0"/>
            <w:vAlign w:val="center"/>
          </w:tcPr>
          <w:p>
            <w:pPr>
              <w:jc w:val="center"/>
              <w:rPr>
                <w:rFonts w:ascii="宋体" w:eastAsia="宋体"/>
                <w:sz w:val="18"/>
                <w:szCs w:val="18"/>
              </w:rPr>
            </w:pPr>
            <w:r>
              <w:rPr>
                <w:rFonts w:hint="eastAsia" w:ascii="宋体" w:eastAsia="宋体"/>
                <w:sz w:val="18"/>
                <w:szCs w:val="18"/>
              </w:rPr>
              <w:t>单位</w:t>
            </w:r>
          </w:p>
        </w:tc>
        <w:tc>
          <w:tcPr>
            <w:tcW w:w="2131" w:type="dxa"/>
            <w:noWrap w:val="0"/>
            <w:vAlign w:val="center"/>
          </w:tcPr>
          <w:p>
            <w:pPr>
              <w:jc w:val="center"/>
              <w:rPr>
                <w:rFonts w:ascii="宋体" w:eastAsia="宋体"/>
                <w:sz w:val="18"/>
                <w:szCs w:val="18"/>
              </w:rPr>
            </w:pPr>
            <w:r>
              <w:rPr>
                <w:rFonts w:hint="eastAsia" w:ascii="宋体" w:eastAsia="宋体"/>
                <w:sz w:val="18"/>
                <w:szCs w:val="18"/>
              </w:rPr>
              <w:t>热值</w:t>
            </w:r>
          </w:p>
        </w:tc>
        <w:tc>
          <w:tcPr>
            <w:tcW w:w="2131" w:type="dxa"/>
            <w:noWrap w:val="0"/>
            <w:vAlign w:val="center"/>
          </w:tcPr>
          <w:p>
            <w:pPr>
              <w:jc w:val="center"/>
              <w:rPr>
                <w:rFonts w:ascii="宋体" w:eastAsia="宋体"/>
                <w:sz w:val="18"/>
                <w:szCs w:val="18"/>
              </w:rPr>
            </w:pPr>
            <w:r>
              <w:rPr>
                <w:rFonts w:hint="eastAsia" w:ascii="宋体" w:eastAsia="宋体"/>
                <w:sz w:val="18"/>
                <w:szCs w:val="18"/>
              </w:rPr>
              <w:t>单位产品消耗量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jc w:val="center"/>
              <w:rPr>
                <w:rFonts w:ascii="宋体" w:eastAsia="宋体"/>
                <w:sz w:val="18"/>
                <w:szCs w:val="18"/>
              </w:rPr>
            </w:pPr>
            <w:r>
              <w:rPr>
                <w:rFonts w:hint="eastAsia" w:ascii="宋体" w:eastAsia="宋体"/>
                <w:sz w:val="18"/>
                <w:szCs w:val="18"/>
              </w:rPr>
              <w:t>电</w:t>
            </w:r>
          </w:p>
        </w:tc>
        <w:tc>
          <w:tcPr>
            <w:tcW w:w="2130" w:type="dxa"/>
            <w:noWrap w:val="0"/>
            <w:vAlign w:val="center"/>
          </w:tcPr>
          <w:p>
            <w:pPr>
              <w:jc w:val="center"/>
              <w:rPr>
                <w:rFonts w:ascii="宋体" w:eastAsia="宋体"/>
                <w:sz w:val="18"/>
                <w:szCs w:val="18"/>
              </w:rPr>
            </w:pPr>
            <w:r>
              <w:rPr>
                <w:rFonts w:hint="eastAsia" w:ascii="宋体" w:eastAsia="宋体"/>
                <w:sz w:val="18"/>
                <w:szCs w:val="18"/>
              </w:rPr>
              <w:t>千瓦时（</w:t>
            </w:r>
            <w:r>
              <w:rPr>
                <w:rFonts w:hint="eastAsia" w:ascii="Times New Roman" w:hAnsi="Times New Roman" w:eastAsia="宋体"/>
                <w:sz w:val="18"/>
                <w:szCs w:val="18"/>
              </w:rPr>
              <w:t>kWh</w:t>
            </w:r>
            <w:r>
              <w:rPr>
                <w:rFonts w:hint="eastAsia" w:ascii="宋体" w:eastAsia="宋体"/>
                <w:sz w:val="18"/>
                <w:szCs w:val="18"/>
              </w:rPr>
              <w:t>）</w:t>
            </w:r>
          </w:p>
        </w:tc>
        <w:tc>
          <w:tcPr>
            <w:tcW w:w="2131" w:type="dxa"/>
            <w:noWrap w:val="0"/>
            <w:vAlign w:val="center"/>
          </w:tcPr>
          <w:p>
            <w:pPr>
              <w:jc w:val="center"/>
              <w:rPr>
                <w:rFonts w:ascii="宋体" w:eastAsia="宋体"/>
                <w:sz w:val="18"/>
                <w:szCs w:val="18"/>
              </w:rPr>
            </w:pPr>
          </w:p>
        </w:tc>
        <w:tc>
          <w:tcPr>
            <w:tcW w:w="2131"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jc w:val="center"/>
              <w:rPr>
                <w:rFonts w:ascii="宋体" w:eastAsia="宋体"/>
                <w:sz w:val="18"/>
                <w:szCs w:val="18"/>
              </w:rPr>
            </w:pPr>
            <w:r>
              <w:rPr>
                <w:rFonts w:hint="eastAsia" w:ascii="宋体" w:eastAsia="宋体"/>
                <w:sz w:val="18"/>
                <w:szCs w:val="18"/>
              </w:rPr>
              <w:t>燃料</w:t>
            </w:r>
          </w:p>
        </w:tc>
        <w:tc>
          <w:tcPr>
            <w:tcW w:w="2130" w:type="dxa"/>
            <w:noWrap w:val="0"/>
            <w:vAlign w:val="center"/>
          </w:tcPr>
          <w:p>
            <w:pPr>
              <w:jc w:val="center"/>
              <w:rPr>
                <w:rFonts w:ascii="宋体" w:eastAsia="宋体"/>
                <w:sz w:val="18"/>
                <w:szCs w:val="18"/>
              </w:rPr>
            </w:pPr>
            <w:r>
              <w:rPr>
                <w:rFonts w:hint="eastAsia" w:ascii="宋体" w:eastAsia="宋体"/>
                <w:sz w:val="18"/>
                <w:szCs w:val="18"/>
              </w:rPr>
              <w:t>公斤（</w:t>
            </w:r>
            <w:r>
              <w:rPr>
                <w:rFonts w:hint="eastAsia" w:ascii="Times New Roman" w:hAnsi="Times New Roman" w:eastAsia="宋体"/>
                <w:sz w:val="18"/>
                <w:szCs w:val="18"/>
              </w:rPr>
              <w:t>kg</w:t>
            </w:r>
            <w:r>
              <w:rPr>
                <w:rFonts w:hint="eastAsia" w:ascii="宋体" w:eastAsia="宋体"/>
                <w:sz w:val="18"/>
                <w:szCs w:val="18"/>
              </w:rPr>
              <w:t>）</w:t>
            </w:r>
          </w:p>
        </w:tc>
        <w:tc>
          <w:tcPr>
            <w:tcW w:w="2131" w:type="dxa"/>
            <w:noWrap w:val="0"/>
            <w:vAlign w:val="center"/>
          </w:tcPr>
          <w:p>
            <w:pPr>
              <w:jc w:val="center"/>
              <w:rPr>
                <w:rFonts w:ascii="宋体" w:eastAsia="宋体"/>
                <w:sz w:val="18"/>
                <w:szCs w:val="18"/>
              </w:rPr>
            </w:pPr>
          </w:p>
        </w:tc>
        <w:tc>
          <w:tcPr>
            <w:tcW w:w="2131"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jc w:val="center"/>
              <w:rPr>
                <w:rFonts w:ascii="宋体" w:eastAsia="宋体"/>
                <w:sz w:val="18"/>
                <w:szCs w:val="18"/>
              </w:rPr>
            </w:pPr>
            <w:r>
              <w:rPr>
                <w:rFonts w:hint="eastAsia" w:ascii="宋体" w:eastAsia="宋体"/>
                <w:sz w:val="18"/>
                <w:szCs w:val="18"/>
              </w:rPr>
              <w:t>天然气</w:t>
            </w:r>
          </w:p>
        </w:tc>
        <w:tc>
          <w:tcPr>
            <w:tcW w:w="2130" w:type="dxa"/>
            <w:noWrap w:val="0"/>
            <w:vAlign w:val="center"/>
          </w:tcPr>
          <w:p>
            <w:pPr>
              <w:jc w:val="center"/>
              <w:rPr>
                <w:rFonts w:ascii="宋体" w:eastAsia="宋体"/>
                <w:sz w:val="18"/>
                <w:szCs w:val="18"/>
              </w:rPr>
            </w:pPr>
            <w:r>
              <w:rPr>
                <w:rFonts w:hint="eastAsia" w:ascii="宋体" w:eastAsia="宋体"/>
                <w:sz w:val="18"/>
                <w:szCs w:val="18"/>
              </w:rPr>
              <w:t>立方米（</w:t>
            </w:r>
            <w:r>
              <w:rPr>
                <w:rFonts w:hint="eastAsia" w:ascii="Times New Roman" w:hAnsi="Times New Roman" w:eastAsia="宋体"/>
                <w:sz w:val="18"/>
                <w:szCs w:val="18"/>
              </w:rPr>
              <w:t>m</w:t>
            </w:r>
            <w:r>
              <w:rPr>
                <w:rFonts w:hint="eastAsia" w:ascii="Times New Roman" w:hAnsi="Times New Roman" w:eastAsia="宋体"/>
                <w:sz w:val="18"/>
                <w:szCs w:val="18"/>
                <w:vertAlign w:val="superscript"/>
              </w:rPr>
              <w:t>3</w:t>
            </w:r>
            <w:r>
              <w:rPr>
                <w:rFonts w:hint="eastAsia" w:ascii="宋体" w:eastAsia="宋体"/>
                <w:sz w:val="18"/>
                <w:szCs w:val="18"/>
              </w:rPr>
              <w:t>）</w:t>
            </w:r>
          </w:p>
        </w:tc>
        <w:tc>
          <w:tcPr>
            <w:tcW w:w="2131" w:type="dxa"/>
            <w:noWrap w:val="0"/>
            <w:vAlign w:val="center"/>
          </w:tcPr>
          <w:p>
            <w:pPr>
              <w:jc w:val="center"/>
              <w:rPr>
                <w:rFonts w:ascii="宋体" w:eastAsia="宋体"/>
                <w:sz w:val="18"/>
                <w:szCs w:val="18"/>
              </w:rPr>
            </w:pPr>
          </w:p>
        </w:tc>
        <w:tc>
          <w:tcPr>
            <w:tcW w:w="2131"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jc w:val="center"/>
              <w:rPr>
                <w:rFonts w:ascii="宋体" w:eastAsia="宋体"/>
                <w:sz w:val="18"/>
                <w:szCs w:val="18"/>
              </w:rPr>
            </w:pPr>
            <w:r>
              <w:rPr>
                <w:rFonts w:hint="eastAsia" w:ascii="宋体" w:eastAsia="宋体"/>
                <w:sz w:val="18"/>
                <w:szCs w:val="18"/>
              </w:rPr>
              <w:t>液化石油气</w:t>
            </w:r>
          </w:p>
        </w:tc>
        <w:tc>
          <w:tcPr>
            <w:tcW w:w="2130" w:type="dxa"/>
            <w:noWrap w:val="0"/>
            <w:vAlign w:val="center"/>
          </w:tcPr>
          <w:p>
            <w:pPr>
              <w:jc w:val="center"/>
              <w:rPr>
                <w:rFonts w:ascii="宋体" w:eastAsia="宋体"/>
                <w:sz w:val="18"/>
                <w:szCs w:val="18"/>
              </w:rPr>
            </w:pPr>
            <w:r>
              <w:rPr>
                <w:rFonts w:hint="eastAsia" w:ascii="宋体" w:eastAsia="宋体"/>
                <w:sz w:val="18"/>
                <w:szCs w:val="18"/>
              </w:rPr>
              <w:t>立方米（</w:t>
            </w:r>
            <w:r>
              <w:rPr>
                <w:rFonts w:hint="eastAsia" w:ascii="Times New Roman" w:hAnsi="Times New Roman" w:eastAsia="宋体"/>
                <w:sz w:val="18"/>
                <w:szCs w:val="18"/>
              </w:rPr>
              <w:t>m</w:t>
            </w:r>
            <w:r>
              <w:rPr>
                <w:rFonts w:hint="eastAsia" w:ascii="Times New Roman" w:hAnsi="Times New Roman" w:eastAsia="宋体"/>
                <w:sz w:val="18"/>
                <w:szCs w:val="18"/>
                <w:vertAlign w:val="superscript"/>
              </w:rPr>
              <w:t>3</w:t>
            </w:r>
            <w:r>
              <w:rPr>
                <w:rFonts w:hint="eastAsia" w:ascii="宋体" w:eastAsia="宋体"/>
                <w:sz w:val="18"/>
                <w:szCs w:val="18"/>
              </w:rPr>
              <w:t>）</w:t>
            </w:r>
          </w:p>
        </w:tc>
        <w:tc>
          <w:tcPr>
            <w:tcW w:w="2131" w:type="dxa"/>
            <w:noWrap w:val="0"/>
            <w:vAlign w:val="center"/>
          </w:tcPr>
          <w:p>
            <w:pPr>
              <w:jc w:val="center"/>
              <w:rPr>
                <w:rFonts w:ascii="宋体" w:eastAsia="宋体"/>
                <w:sz w:val="18"/>
                <w:szCs w:val="18"/>
              </w:rPr>
            </w:pPr>
          </w:p>
        </w:tc>
        <w:tc>
          <w:tcPr>
            <w:tcW w:w="2131"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jc w:val="center"/>
              <w:rPr>
                <w:rFonts w:ascii="宋体" w:eastAsia="宋体"/>
                <w:sz w:val="18"/>
                <w:szCs w:val="18"/>
              </w:rPr>
            </w:pPr>
            <w:r>
              <w:rPr>
                <w:rFonts w:hint="eastAsia" w:ascii="宋体" w:eastAsia="宋体"/>
                <w:sz w:val="18"/>
                <w:szCs w:val="18"/>
              </w:rPr>
              <w:t>燃油</w:t>
            </w:r>
          </w:p>
        </w:tc>
        <w:tc>
          <w:tcPr>
            <w:tcW w:w="2130" w:type="dxa"/>
            <w:noWrap w:val="0"/>
            <w:vAlign w:val="center"/>
          </w:tcPr>
          <w:p>
            <w:pPr>
              <w:jc w:val="center"/>
              <w:rPr>
                <w:rFonts w:ascii="宋体" w:eastAsia="宋体"/>
                <w:sz w:val="18"/>
                <w:szCs w:val="18"/>
              </w:rPr>
            </w:pPr>
            <w:r>
              <w:rPr>
                <w:rFonts w:hint="eastAsia" w:ascii="宋体" w:eastAsia="宋体"/>
                <w:sz w:val="18"/>
                <w:szCs w:val="18"/>
              </w:rPr>
              <w:t>升（</w:t>
            </w:r>
            <w:r>
              <w:rPr>
                <w:rFonts w:hint="eastAsia" w:ascii="Times New Roman" w:hAnsi="Times New Roman" w:eastAsia="宋体"/>
                <w:sz w:val="18"/>
                <w:szCs w:val="18"/>
              </w:rPr>
              <w:t>L</w:t>
            </w:r>
            <w:r>
              <w:rPr>
                <w:rFonts w:hint="eastAsia" w:ascii="宋体" w:eastAsia="宋体"/>
                <w:sz w:val="18"/>
                <w:szCs w:val="18"/>
              </w:rPr>
              <w:t>）</w:t>
            </w:r>
          </w:p>
        </w:tc>
        <w:tc>
          <w:tcPr>
            <w:tcW w:w="2131" w:type="dxa"/>
            <w:noWrap w:val="0"/>
            <w:vAlign w:val="center"/>
          </w:tcPr>
          <w:p>
            <w:pPr>
              <w:jc w:val="center"/>
              <w:rPr>
                <w:rFonts w:ascii="宋体" w:eastAsia="宋体"/>
                <w:sz w:val="18"/>
                <w:szCs w:val="18"/>
              </w:rPr>
            </w:pPr>
          </w:p>
        </w:tc>
        <w:tc>
          <w:tcPr>
            <w:tcW w:w="2131"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ascii="宋体" w:eastAsia="宋体"/>
                <w:sz w:val="18"/>
                <w:szCs w:val="18"/>
                <w:lang w:val="en-US" w:eastAsia="zh-CN"/>
              </w:rPr>
            </w:pPr>
            <w:r>
              <w:rPr>
                <w:rFonts w:hint="eastAsia" w:ascii="宋体" w:eastAsia="宋体"/>
                <w:sz w:val="18"/>
                <w:szCs w:val="18"/>
                <w:lang w:val="en-US" w:eastAsia="zh-CN"/>
              </w:rPr>
              <w:t>水蒸气</w:t>
            </w:r>
          </w:p>
        </w:tc>
        <w:tc>
          <w:tcPr>
            <w:tcW w:w="2130" w:type="dxa"/>
            <w:noWrap w:val="0"/>
            <w:vAlign w:val="center"/>
          </w:tcPr>
          <w:p>
            <w:pPr>
              <w:jc w:val="center"/>
              <w:rPr>
                <w:rFonts w:hint="eastAsia" w:ascii="宋体" w:eastAsia="宋体"/>
                <w:sz w:val="18"/>
                <w:szCs w:val="18"/>
              </w:rPr>
            </w:pPr>
          </w:p>
        </w:tc>
        <w:tc>
          <w:tcPr>
            <w:tcW w:w="2131" w:type="dxa"/>
            <w:noWrap w:val="0"/>
            <w:vAlign w:val="center"/>
          </w:tcPr>
          <w:p>
            <w:pPr>
              <w:jc w:val="center"/>
              <w:rPr>
                <w:rFonts w:ascii="宋体" w:eastAsia="宋体"/>
                <w:sz w:val="18"/>
                <w:szCs w:val="18"/>
              </w:rPr>
            </w:pPr>
          </w:p>
        </w:tc>
        <w:tc>
          <w:tcPr>
            <w:tcW w:w="2131"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jc w:val="center"/>
              <w:rPr>
                <w:rFonts w:hint="default" w:ascii="宋体" w:eastAsia="宋体"/>
                <w:sz w:val="18"/>
                <w:szCs w:val="18"/>
                <w:lang w:val="en-US" w:eastAsia="zh-CN"/>
              </w:rPr>
            </w:pPr>
            <w:r>
              <w:rPr>
                <w:rFonts w:hint="eastAsia" w:ascii="宋体" w:eastAsia="宋体"/>
                <w:sz w:val="18"/>
                <w:szCs w:val="18"/>
                <w:lang w:val="en-US" w:eastAsia="zh-CN"/>
              </w:rPr>
              <w:t>...</w:t>
            </w:r>
          </w:p>
        </w:tc>
        <w:tc>
          <w:tcPr>
            <w:tcW w:w="2130" w:type="dxa"/>
            <w:noWrap w:val="0"/>
            <w:vAlign w:val="center"/>
          </w:tcPr>
          <w:p>
            <w:pPr>
              <w:jc w:val="center"/>
              <w:rPr>
                <w:rFonts w:hint="eastAsia" w:ascii="宋体" w:eastAsia="宋体"/>
                <w:sz w:val="18"/>
                <w:szCs w:val="18"/>
              </w:rPr>
            </w:pPr>
          </w:p>
        </w:tc>
        <w:tc>
          <w:tcPr>
            <w:tcW w:w="2131" w:type="dxa"/>
            <w:noWrap w:val="0"/>
            <w:vAlign w:val="center"/>
          </w:tcPr>
          <w:p>
            <w:pPr>
              <w:jc w:val="center"/>
              <w:rPr>
                <w:rFonts w:ascii="宋体" w:eastAsia="宋体"/>
                <w:sz w:val="18"/>
                <w:szCs w:val="18"/>
              </w:rPr>
            </w:pPr>
          </w:p>
        </w:tc>
        <w:tc>
          <w:tcPr>
            <w:tcW w:w="2131" w:type="dxa"/>
            <w:noWrap w:val="0"/>
            <w:vAlign w:val="center"/>
          </w:tcPr>
          <w:p>
            <w:pPr>
              <w:jc w:val="center"/>
              <w:rPr>
                <w:rFonts w:ascii="宋体" w:eastAsia="宋体"/>
                <w:sz w:val="18"/>
                <w:szCs w:val="18"/>
              </w:rPr>
            </w:pPr>
          </w:p>
        </w:tc>
      </w:tr>
    </w:tbl>
    <w:p>
      <w:pPr>
        <w:pStyle w:val="18"/>
        <w:spacing w:before="120" w:after="120"/>
        <w:ind w:left="0"/>
        <w:rPr>
          <w:sz w:val="18"/>
          <w:szCs w:val="18"/>
        </w:rPr>
      </w:pPr>
    </w:p>
    <w:p>
      <w:pPr>
        <w:pStyle w:val="18"/>
        <w:shd w:val="clear" w:color="auto" w:fill="auto"/>
        <w:spacing w:before="120" w:after="120"/>
        <w:ind w:left="0"/>
        <w:rPr>
          <w:rFonts w:hint="eastAsia"/>
          <w:sz w:val="18"/>
          <w:szCs w:val="18"/>
        </w:rPr>
      </w:pPr>
      <w:r>
        <w:rPr>
          <w:rFonts w:hint="eastAsia"/>
          <w:sz w:val="18"/>
          <w:szCs w:val="18"/>
        </w:rPr>
        <w:t>表B.</w:t>
      </w:r>
      <w:r>
        <w:rPr>
          <w:rFonts w:hint="eastAsia"/>
          <w:sz w:val="18"/>
          <w:szCs w:val="18"/>
          <w:lang w:val="en-US" w:eastAsia="zh-CN"/>
        </w:rPr>
        <w:t>3</w:t>
      </w:r>
      <w:r>
        <w:rPr>
          <w:rFonts w:hint="eastAsia"/>
          <w:sz w:val="18"/>
          <w:szCs w:val="18"/>
          <w:lang w:eastAsia="zh-CN"/>
        </w:rPr>
        <w:t>职业用鞋靴</w:t>
      </w:r>
      <w:r>
        <w:rPr>
          <w:rFonts w:hint="eastAsia"/>
          <w:sz w:val="18"/>
          <w:szCs w:val="18"/>
          <w:lang w:val="en-US" w:eastAsia="zh-CN"/>
        </w:rPr>
        <w:t>销售</w:t>
      </w:r>
      <w:r>
        <w:rPr>
          <w:rFonts w:hint="eastAsia"/>
          <w:sz w:val="18"/>
          <w:szCs w:val="18"/>
        </w:rPr>
        <w:t>阶段清单</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3"/>
        <w:gridCol w:w="1500"/>
        <w:gridCol w:w="1842"/>
        <w:gridCol w:w="1413"/>
        <w:gridCol w:w="1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53" w:type="dxa"/>
            <w:noWrap w:val="0"/>
            <w:vAlign w:val="center"/>
          </w:tcPr>
          <w:p>
            <w:pPr>
              <w:jc w:val="center"/>
              <w:rPr>
                <w:rFonts w:ascii="宋体" w:eastAsia="宋体"/>
                <w:sz w:val="18"/>
                <w:szCs w:val="18"/>
              </w:rPr>
            </w:pPr>
            <w:r>
              <w:rPr>
                <w:rFonts w:hint="eastAsia" w:ascii="宋体" w:eastAsia="宋体"/>
                <w:sz w:val="18"/>
                <w:szCs w:val="18"/>
              </w:rPr>
              <w:t>运输对象/零部件名称</w:t>
            </w:r>
          </w:p>
        </w:tc>
        <w:tc>
          <w:tcPr>
            <w:tcW w:w="1500" w:type="dxa"/>
            <w:noWrap w:val="0"/>
            <w:vAlign w:val="center"/>
          </w:tcPr>
          <w:p>
            <w:pPr>
              <w:jc w:val="center"/>
              <w:rPr>
                <w:rFonts w:ascii="宋体" w:eastAsia="宋体"/>
                <w:sz w:val="18"/>
                <w:szCs w:val="18"/>
              </w:rPr>
            </w:pPr>
            <w:r>
              <w:rPr>
                <w:rFonts w:hint="eastAsia" w:ascii="宋体" w:eastAsia="宋体"/>
                <w:sz w:val="18"/>
                <w:szCs w:val="18"/>
              </w:rPr>
              <w:t>质量（公斤/</w:t>
            </w:r>
            <w:r>
              <w:rPr>
                <w:rFonts w:ascii="Times New Roman" w:hAnsi="Times New Roman" w:eastAsia="宋体"/>
                <w:sz w:val="18"/>
                <w:szCs w:val="18"/>
              </w:rPr>
              <w:t>kg</w:t>
            </w:r>
            <w:r>
              <w:rPr>
                <w:rFonts w:hint="eastAsia" w:ascii="宋体" w:eastAsia="宋体"/>
                <w:sz w:val="18"/>
                <w:szCs w:val="18"/>
              </w:rPr>
              <w:t>）</w:t>
            </w:r>
          </w:p>
        </w:tc>
        <w:tc>
          <w:tcPr>
            <w:tcW w:w="1842" w:type="dxa"/>
            <w:noWrap w:val="0"/>
            <w:vAlign w:val="center"/>
          </w:tcPr>
          <w:p>
            <w:pPr>
              <w:jc w:val="center"/>
              <w:rPr>
                <w:rFonts w:ascii="宋体" w:eastAsia="宋体"/>
                <w:sz w:val="18"/>
                <w:szCs w:val="18"/>
              </w:rPr>
            </w:pPr>
            <w:r>
              <w:rPr>
                <w:rFonts w:hint="eastAsia" w:ascii="宋体" w:eastAsia="宋体"/>
                <w:sz w:val="18"/>
                <w:szCs w:val="18"/>
              </w:rPr>
              <w:t>运输距离（公里/</w:t>
            </w:r>
            <w:r>
              <w:rPr>
                <w:rFonts w:ascii="Times New Roman" w:hAnsi="Times New Roman" w:eastAsia="宋体"/>
                <w:sz w:val="18"/>
                <w:szCs w:val="18"/>
              </w:rPr>
              <w:t>km</w:t>
            </w:r>
            <w:r>
              <w:rPr>
                <w:rFonts w:hint="eastAsia" w:ascii="宋体" w:eastAsia="宋体"/>
                <w:sz w:val="18"/>
                <w:szCs w:val="18"/>
              </w:rPr>
              <w:t>）</w:t>
            </w:r>
          </w:p>
        </w:tc>
        <w:tc>
          <w:tcPr>
            <w:tcW w:w="1413" w:type="dxa"/>
            <w:noWrap w:val="0"/>
            <w:vAlign w:val="center"/>
          </w:tcPr>
          <w:p>
            <w:pPr>
              <w:jc w:val="center"/>
              <w:rPr>
                <w:rFonts w:ascii="宋体" w:eastAsia="宋体"/>
                <w:sz w:val="18"/>
                <w:szCs w:val="18"/>
              </w:rPr>
            </w:pPr>
            <w:r>
              <w:rPr>
                <w:rFonts w:hint="eastAsia" w:ascii="宋体" w:eastAsia="宋体"/>
                <w:sz w:val="18"/>
                <w:szCs w:val="18"/>
              </w:rPr>
              <w:t>运输工具</w:t>
            </w:r>
          </w:p>
        </w:tc>
        <w:tc>
          <w:tcPr>
            <w:tcW w:w="1414" w:type="dxa"/>
            <w:noWrap w:val="0"/>
            <w:vAlign w:val="center"/>
          </w:tcPr>
          <w:p>
            <w:pPr>
              <w:jc w:val="center"/>
              <w:rPr>
                <w:rFonts w:ascii="宋体" w:eastAsia="宋体"/>
                <w:sz w:val="18"/>
                <w:szCs w:val="18"/>
              </w:rPr>
            </w:pPr>
            <w:r>
              <w:rPr>
                <w:rFonts w:hint="eastAsia" w:ascii="宋体" w:eastAsia="宋体"/>
                <w:sz w:val="18"/>
                <w:szCs w:val="18"/>
              </w:rPr>
              <w:t>燃料类型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53" w:type="dxa"/>
            <w:noWrap w:val="0"/>
            <w:vAlign w:val="center"/>
          </w:tcPr>
          <w:p>
            <w:pPr>
              <w:jc w:val="center"/>
              <w:rPr>
                <w:rFonts w:hint="eastAsia" w:ascii="宋体" w:eastAsia="宋体"/>
                <w:sz w:val="18"/>
                <w:szCs w:val="18"/>
                <w:lang w:eastAsia="zh-CN"/>
              </w:rPr>
            </w:pPr>
            <w:r>
              <w:rPr>
                <w:rFonts w:hint="eastAsia" w:ascii="宋体" w:eastAsia="宋体"/>
                <w:sz w:val="18"/>
                <w:szCs w:val="18"/>
                <w:lang w:eastAsia="zh-CN"/>
              </w:rPr>
              <w:t>职业用鞋靴</w:t>
            </w:r>
          </w:p>
        </w:tc>
        <w:tc>
          <w:tcPr>
            <w:tcW w:w="1500" w:type="dxa"/>
            <w:noWrap w:val="0"/>
            <w:vAlign w:val="center"/>
          </w:tcPr>
          <w:p>
            <w:pPr>
              <w:jc w:val="center"/>
              <w:rPr>
                <w:rFonts w:ascii="宋体" w:eastAsia="宋体"/>
                <w:sz w:val="18"/>
                <w:szCs w:val="18"/>
              </w:rPr>
            </w:pPr>
          </w:p>
        </w:tc>
        <w:tc>
          <w:tcPr>
            <w:tcW w:w="1842" w:type="dxa"/>
            <w:noWrap w:val="0"/>
            <w:vAlign w:val="center"/>
          </w:tcPr>
          <w:p>
            <w:pPr>
              <w:jc w:val="center"/>
              <w:rPr>
                <w:rFonts w:ascii="宋体" w:eastAsia="宋体"/>
                <w:sz w:val="18"/>
                <w:szCs w:val="18"/>
              </w:rPr>
            </w:pPr>
          </w:p>
        </w:tc>
        <w:tc>
          <w:tcPr>
            <w:tcW w:w="1413" w:type="dxa"/>
            <w:noWrap w:val="0"/>
            <w:vAlign w:val="center"/>
          </w:tcPr>
          <w:p>
            <w:pPr>
              <w:jc w:val="center"/>
              <w:rPr>
                <w:rFonts w:ascii="宋体" w:eastAsia="宋体"/>
                <w:sz w:val="18"/>
                <w:szCs w:val="18"/>
              </w:rPr>
            </w:pPr>
          </w:p>
        </w:tc>
        <w:tc>
          <w:tcPr>
            <w:tcW w:w="1414"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53" w:type="dxa"/>
            <w:noWrap w:val="0"/>
            <w:vAlign w:val="center"/>
          </w:tcPr>
          <w:p>
            <w:pPr>
              <w:jc w:val="center"/>
              <w:rPr>
                <w:rFonts w:ascii="宋体" w:eastAsia="宋体"/>
                <w:sz w:val="18"/>
                <w:szCs w:val="18"/>
              </w:rPr>
            </w:pPr>
            <w:r>
              <w:rPr>
                <w:rFonts w:hint="eastAsia" w:ascii="宋体" w:eastAsia="宋体"/>
                <w:sz w:val="18"/>
                <w:szCs w:val="18"/>
              </w:rPr>
              <w:t>包装箱</w:t>
            </w:r>
          </w:p>
        </w:tc>
        <w:tc>
          <w:tcPr>
            <w:tcW w:w="1500" w:type="dxa"/>
            <w:noWrap w:val="0"/>
            <w:vAlign w:val="center"/>
          </w:tcPr>
          <w:p>
            <w:pPr>
              <w:jc w:val="center"/>
              <w:rPr>
                <w:rFonts w:ascii="宋体" w:eastAsia="宋体"/>
                <w:sz w:val="18"/>
                <w:szCs w:val="18"/>
              </w:rPr>
            </w:pPr>
          </w:p>
        </w:tc>
        <w:tc>
          <w:tcPr>
            <w:tcW w:w="1842" w:type="dxa"/>
            <w:noWrap w:val="0"/>
            <w:vAlign w:val="center"/>
          </w:tcPr>
          <w:p>
            <w:pPr>
              <w:jc w:val="center"/>
              <w:rPr>
                <w:rFonts w:ascii="宋体" w:eastAsia="宋体"/>
                <w:sz w:val="18"/>
                <w:szCs w:val="18"/>
              </w:rPr>
            </w:pPr>
          </w:p>
        </w:tc>
        <w:tc>
          <w:tcPr>
            <w:tcW w:w="1413" w:type="dxa"/>
            <w:noWrap w:val="0"/>
            <w:vAlign w:val="center"/>
          </w:tcPr>
          <w:p>
            <w:pPr>
              <w:jc w:val="center"/>
              <w:rPr>
                <w:rFonts w:ascii="宋体" w:eastAsia="宋体"/>
                <w:sz w:val="18"/>
                <w:szCs w:val="18"/>
              </w:rPr>
            </w:pPr>
          </w:p>
        </w:tc>
        <w:tc>
          <w:tcPr>
            <w:tcW w:w="1414"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53" w:type="dxa"/>
            <w:noWrap w:val="0"/>
            <w:vAlign w:val="center"/>
          </w:tcPr>
          <w:p>
            <w:pPr>
              <w:jc w:val="center"/>
              <w:rPr>
                <w:rFonts w:ascii="宋体" w:eastAsia="宋体"/>
                <w:sz w:val="18"/>
                <w:szCs w:val="18"/>
              </w:rPr>
            </w:pPr>
            <w:r>
              <w:rPr>
                <w:rFonts w:hint="eastAsia" w:ascii="宋体" w:eastAsia="宋体"/>
                <w:sz w:val="18"/>
                <w:szCs w:val="18"/>
              </w:rPr>
              <w:t>配件</w:t>
            </w:r>
          </w:p>
        </w:tc>
        <w:tc>
          <w:tcPr>
            <w:tcW w:w="1500" w:type="dxa"/>
            <w:noWrap w:val="0"/>
            <w:vAlign w:val="center"/>
          </w:tcPr>
          <w:p>
            <w:pPr>
              <w:jc w:val="center"/>
              <w:rPr>
                <w:rFonts w:ascii="宋体" w:eastAsia="宋体"/>
                <w:sz w:val="18"/>
                <w:szCs w:val="18"/>
              </w:rPr>
            </w:pPr>
          </w:p>
        </w:tc>
        <w:tc>
          <w:tcPr>
            <w:tcW w:w="1842" w:type="dxa"/>
            <w:noWrap w:val="0"/>
            <w:vAlign w:val="center"/>
          </w:tcPr>
          <w:p>
            <w:pPr>
              <w:jc w:val="center"/>
              <w:rPr>
                <w:rFonts w:ascii="宋体" w:eastAsia="宋体"/>
                <w:sz w:val="18"/>
                <w:szCs w:val="18"/>
              </w:rPr>
            </w:pPr>
          </w:p>
        </w:tc>
        <w:tc>
          <w:tcPr>
            <w:tcW w:w="1413" w:type="dxa"/>
            <w:noWrap w:val="0"/>
            <w:vAlign w:val="center"/>
          </w:tcPr>
          <w:p>
            <w:pPr>
              <w:jc w:val="center"/>
              <w:rPr>
                <w:rFonts w:ascii="宋体" w:eastAsia="宋体"/>
                <w:sz w:val="18"/>
                <w:szCs w:val="18"/>
              </w:rPr>
            </w:pPr>
          </w:p>
        </w:tc>
        <w:tc>
          <w:tcPr>
            <w:tcW w:w="1414" w:type="dxa"/>
            <w:noWrap w:val="0"/>
            <w:vAlign w:val="center"/>
          </w:tcPr>
          <w:p>
            <w:pPr>
              <w:jc w:val="center"/>
              <w:rPr>
                <w:rFonts w:ascii="宋体" w:eastAsia="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53" w:type="dxa"/>
            <w:noWrap w:val="0"/>
            <w:vAlign w:val="center"/>
          </w:tcPr>
          <w:p>
            <w:pPr>
              <w:jc w:val="center"/>
              <w:rPr>
                <w:rFonts w:ascii="宋体" w:eastAsia="宋体"/>
                <w:sz w:val="18"/>
                <w:szCs w:val="18"/>
              </w:rPr>
            </w:pPr>
            <w:r>
              <w:rPr>
                <w:rFonts w:ascii="宋体" w:eastAsia="宋体"/>
                <w:sz w:val="18"/>
                <w:szCs w:val="18"/>
              </w:rPr>
              <w:t>……</w:t>
            </w:r>
          </w:p>
        </w:tc>
        <w:tc>
          <w:tcPr>
            <w:tcW w:w="1500" w:type="dxa"/>
            <w:noWrap w:val="0"/>
            <w:vAlign w:val="center"/>
          </w:tcPr>
          <w:p>
            <w:pPr>
              <w:jc w:val="center"/>
              <w:rPr>
                <w:rFonts w:ascii="宋体" w:eastAsia="宋体"/>
                <w:sz w:val="18"/>
                <w:szCs w:val="18"/>
              </w:rPr>
            </w:pPr>
          </w:p>
        </w:tc>
        <w:tc>
          <w:tcPr>
            <w:tcW w:w="1842" w:type="dxa"/>
            <w:noWrap w:val="0"/>
            <w:vAlign w:val="center"/>
          </w:tcPr>
          <w:p>
            <w:pPr>
              <w:jc w:val="center"/>
              <w:rPr>
                <w:rFonts w:ascii="宋体" w:eastAsia="宋体"/>
                <w:sz w:val="18"/>
                <w:szCs w:val="18"/>
              </w:rPr>
            </w:pPr>
          </w:p>
        </w:tc>
        <w:tc>
          <w:tcPr>
            <w:tcW w:w="1413" w:type="dxa"/>
            <w:noWrap w:val="0"/>
            <w:vAlign w:val="center"/>
          </w:tcPr>
          <w:p>
            <w:pPr>
              <w:jc w:val="center"/>
              <w:rPr>
                <w:rFonts w:ascii="宋体" w:eastAsia="宋体"/>
                <w:sz w:val="18"/>
                <w:szCs w:val="18"/>
              </w:rPr>
            </w:pPr>
          </w:p>
        </w:tc>
        <w:tc>
          <w:tcPr>
            <w:tcW w:w="1414" w:type="dxa"/>
            <w:noWrap w:val="0"/>
            <w:vAlign w:val="center"/>
          </w:tcPr>
          <w:p>
            <w:pPr>
              <w:jc w:val="center"/>
              <w:rPr>
                <w:rFonts w:ascii="宋体" w:eastAsia="宋体"/>
                <w:sz w:val="18"/>
                <w:szCs w:val="18"/>
              </w:rPr>
            </w:pPr>
          </w:p>
        </w:tc>
      </w:tr>
    </w:tbl>
    <w:p>
      <w:pPr>
        <w:pStyle w:val="12"/>
      </w:pPr>
    </w:p>
    <w:p>
      <w:pPr>
        <w:pStyle w:val="18"/>
        <w:shd w:val="clear" w:color="auto" w:fill="auto"/>
        <w:spacing w:before="120" w:after="120"/>
        <w:ind w:left="0"/>
        <w:rPr>
          <w:rFonts w:hint="eastAsia"/>
          <w:sz w:val="18"/>
          <w:szCs w:val="18"/>
        </w:rPr>
      </w:pPr>
      <w:r>
        <w:rPr>
          <w:rFonts w:hint="eastAsia"/>
          <w:sz w:val="18"/>
          <w:szCs w:val="18"/>
        </w:rPr>
        <w:t>表B.</w:t>
      </w:r>
      <w:r>
        <w:rPr>
          <w:rFonts w:hint="eastAsia"/>
          <w:sz w:val="18"/>
          <w:szCs w:val="18"/>
          <w:lang w:val="en-US" w:eastAsia="zh-CN"/>
        </w:rPr>
        <w:t>4</w:t>
      </w:r>
      <w:r>
        <w:rPr>
          <w:rFonts w:hint="eastAsia"/>
          <w:sz w:val="18"/>
          <w:szCs w:val="18"/>
          <w:lang w:eastAsia="zh-CN"/>
        </w:rPr>
        <w:t>职业用鞋靴</w:t>
      </w:r>
      <w:r>
        <w:rPr>
          <w:rFonts w:hint="eastAsia"/>
          <w:sz w:val="18"/>
          <w:szCs w:val="18"/>
          <w:lang w:val="en-US" w:eastAsia="zh-CN"/>
        </w:rPr>
        <w:t>使用</w:t>
      </w:r>
      <w:r>
        <w:rPr>
          <w:rFonts w:hint="eastAsia"/>
          <w:sz w:val="18"/>
          <w:szCs w:val="18"/>
        </w:rPr>
        <w:t>阶段清单</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2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gridSpan w:val="2"/>
            <w:noWrap w:val="0"/>
            <w:vAlign w:val="center"/>
          </w:tcPr>
          <w:p>
            <w:pPr>
              <w:shd w:val="clear" w:color="auto" w:fill="auto"/>
              <w:jc w:val="center"/>
              <w:rPr>
                <w:rFonts w:ascii="宋体" w:eastAsia="宋体"/>
                <w:sz w:val="18"/>
                <w:szCs w:val="18"/>
              </w:rPr>
            </w:pPr>
            <w:r>
              <w:rPr>
                <w:rFonts w:hint="eastAsia" w:ascii="宋体" w:eastAsia="宋体"/>
                <w:sz w:val="18"/>
                <w:szCs w:val="18"/>
              </w:rPr>
              <w:t>名称</w:t>
            </w:r>
          </w:p>
        </w:tc>
        <w:tc>
          <w:tcPr>
            <w:tcW w:w="2841" w:type="dxa"/>
            <w:noWrap w:val="0"/>
            <w:vAlign w:val="top"/>
          </w:tcPr>
          <w:p>
            <w:pPr>
              <w:shd w:val="clear" w:color="auto" w:fill="auto"/>
              <w:jc w:val="center"/>
              <w:rPr>
                <w:rFonts w:ascii="宋体" w:eastAsia="宋体"/>
                <w:sz w:val="18"/>
                <w:szCs w:val="18"/>
              </w:rPr>
            </w:pPr>
            <w:r>
              <w:rPr>
                <w:rFonts w:hint="eastAsia" w:ascii="宋体" w:eastAsia="宋体"/>
                <w:sz w:val="18"/>
                <w:szCs w:val="18"/>
              </w:rPr>
              <w:t>单位</w:t>
            </w:r>
          </w:p>
        </w:tc>
        <w:tc>
          <w:tcPr>
            <w:tcW w:w="2841" w:type="dxa"/>
            <w:noWrap w:val="0"/>
            <w:vAlign w:val="top"/>
          </w:tcPr>
          <w:p>
            <w:pPr>
              <w:shd w:val="clear" w:color="auto" w:fill="auto"/>
              <w:jc w:val="center"/>
              <w:rPr>
                <w:rFonts w:ascii="宋体" w:eastAsia="宋体"/>
                <w:sz w:val="18"/>
                <w:szCs w:val="18"/>
              </w:rPr>
            </w:pPr>
            <w:r>
              <w:rPr>
                <w:rFonts w:hint="eastAsia" w:ascii="宋体" w:eastAsia="宋体"/>
                <w:sz w:val="18"/>
                <w:szCs w:val="18"/>
              </w:rPr>
              <w:t>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gridSpan w:val="2"/>
            <w:noWrap w:val="0"/>
            <w:vAlign w:val="center"/>
          </w:tcPr>
          <w:p>
            <w:pPr>
              <w:shd w:val="clear" w:color="auto" w:fill="auto"/>
              <w:jc w:val="center"/>
              <w:rPr>
                <w:rFonts w:hint="default" w:ascii="宋体" w:eastAsia="宋体"/>
                <w:sz w:val="18"/>
                <w:szCs w:val="18"/>
                <w:lang w:val="en-US" w:eastAsia="zh-CN"/>
              </w:rPr>
            </w:pPr>
            <w:r>
              <w:rPr>
                <w:rFonts w:hint="eastAsia" w:ascii="宋体" w:eastAsia="宋体"/>
                <w:sz w:val="18"/>
                <w:szCs w:val="18"/>
                <w:lang w:val="en-US" w:eastAsia="zh-CN"/>
              </w:rPr>
              <w:t>成鞋耐折性</w:t>
            </w:r>
          </w:p>
        </w:tc>
        <w:tc>
          <w:tcPr>
            <w:tcW w:w="2841" w:type="dxa"/>
            <w:noWrap w:val="0"/>
            <w:vAlign w:val="center"/>
          </w:tcPr>
          <w:p>
            <w:pPr>
              <w:jc w:val="center"/>
              <w:rPr>
                <w:rFonts w:hint="eastAsia" w:ascii="宋体" w:eastAsia="宋体"/>
                <w:sz w:val="18"/>
                <w:szCs w:val="18"/>
                <w:lang w:eastAsia="zh-CN"/>
              </w:rPr>
            </w:pPr>
            <w:r>
              <w:rPr>
                <w:rFonts w:hint="eastAsia" w:ascii="Times New Roman" w:hAnsi="Times New Roman" w:eastAsia="宋体" w:cs="Times New Roman"/>
                <w:bCs/>
                <w:color w:val="000000"/>
                <w:kern w:val="0"/>
                <w:sz w:val="18"/>
                <w:szCs w:val="18"/>
                <w:lang w:val="en-US" w:eastAsia="zh-CN"/>
              </w:rPr>
              <w:t>-</w:t>
            </w:r>
          </w:p>
        </w:tc>
        <w:tc>
          <w:tcPr>
            <w:tcW w:w="2841" w:type="dxa"/>
            <w:noWrap w:val="0"/>
            <w:vAlign w:val="center"/>
          </w:tcPr>
          <w:p>
            <w:pPr>
              <w:ind w:firstLine="180" w:firstLineChars="100"/>
              <w:jc w:val="both"/>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连续屈挠10万次，鞋底、帮面无破损，结合部位无开胶，如有预割口，则割口应不延展。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gridSpan w:val="2"/>
            <w:noWrap w:val="0"/>
            <w:vAlign w:val="center"/>
          </w:tcPr>
          <w:p>
            <w:pPr>
              <w:shd w:val="clear" w:color="auto" w:fill="auto"/>
              <w:jc w:val="center"/>
              <w:rPr>
                <w:rFonts w:hint="default" w:ascii="宋体" w:eastAsia="宋体"/>
                <w:sz w:val="18"/>
                <w:szCs w:val="18"/>
                <w:lang w:val="en-US" w:eastAsia="zh-CN"/>
              </w:rPr>
            </w:pPr>
            <w:r>
              <w:rPr>
                <w:rFonts w:hint="eastAsia" w:ascii="宋体" w:eastAsia="宋体"/>
                <w:sz w:val="18"/>
                <w:szCs w:val="18"/>
                <w:lang w:val="en-US" w:eastAsia="zh-CN"/>
              </w:rPr>
              <w:t>成鞋结合强度</w:t>
            </w:r>
          </w:p>
        </w:tc>
        <w:tc>
          <w:tcPr>
            <w:tcW w:w="2841"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N/mm</w:t>
            </w:r>
          </w:p>
        </w:tc>
        <w:tc>
          <w:tcPr>
            <w:tcW w:w="2841" w:type="dxa"/>
            <w:noWrap w:val="0"/>
            <w:vAlign w:val="center"/>
          </w:tcPr>
          <w:p>
            <w:pPr>
              <w:jc w:val="center"/>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≥40（或材破）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1420" w:type="dxa"/>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成鞋</w:t>
            </w:r>
          </w:p>
          <w:p>
            <w:pPr>
              <w:shd w:val="clear" w:color="auto" w:fill="auto"/>
              <w:jc w:val="center"/>
              <w:rPr>
                <w:rFonts w:hint="eastAsia" w:ascii="宋体" w:hAnsi="宋体" w:eastAsia="宋体" w:cs="Times New Roman"/>
                <w:kern w:val="2"/>
                <w:sz w:val="18"/>
                <w:szCs w:val="18"/>
                <w:lang w:val="en-US" w:eastAsia="zh-CN" w:bidi="ar-SA"/>
              </w:rPr>
            </w:pPr>
            <w:r>
              <w:rPr>
                <w:rFonts w:hint="eastAsia" w:ascii="Times New Roman" w:hAnsi="Times New Roman" w:eastAsia="宋体" w:cs="Times New Roman"/>
                <w:bCs/>
                <w:color w:val="000000"/>
                <w:kern w:val="0"/>
                <w:sz w:val="18"/>
                <w:szCs w:val="18"/>
                <w:lang w:val="en-US" w:eastAsia="zh-CN"/>
              </w:rPr>
              <w:t>耐久性</w:t>
            </w:r>
          </w:p>
        </w:tc>
        <w:tc>
          <w:tcPr>
            <w:tcW w:w="1420"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外观质量</w:t>
            </w:r>
          </w:p>
        </w:tc>
        <w:tc>
          <w:tcPr>
            <w:tcW w:w="2841"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2841" w:type="dxa"/>
            <w:noWrap w:val="0"/>
            <w:vAlign w:val="center"/>
          </w:tcPr>
          <w:p>
            <w:pPr>
              <w:ind w:firstLine="180" w:firstLineChars="100"/>
              <w:jc w:val="both"/>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无变色、龟裂、喷霜。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1420" w:type="dxa"/>
            <w:vMerge w:val="continue"/>
            <w:noWrap w:val="0"/>
            <w:vAlign w:val="center"/>
          </w:tcPr>
          <w:p>
            <w:pPr>
              <w:shd w:val="clear" w:color="auto" w:fill="auto"/>
              <w:jc w:val="center"/>
              <w:rPr>
                <w:rFonts w:hint="eastAsia" w:ascii="宋体" w:hAnsi="宋体" w:eastAsia="宋体" w:cs="Times New Roman"/>
                <w:kern w:val="2"/>
                <w:sz w:val="18"/>
                <w:szCs w:val="18"/>
                <w:lang w:val="en-US" w:eastAsia="zh-CN" w:bidi="ar-SA"/>
              </w:rPr>
            </w:pPr>
          </w:p>
        </w:tc>
        <w:tc>
          <w:tcPr>
            <w:tcW w:w="1420" w:type="dxa"/>
            <w:noWrap w:val="0"/>
            <w:vAlign w:val="center"/>
          </w:tcPr>
          <w:p>
            <w:pPr>
              <w:jc w:val="center"/>
              <w:rPr>
                <w:rFonts w:hint="eastAsia" w:ascii="宋体" w:hAnsi="宋体" w:eastAsia="宋体" w:cs="Times New Roman"/>
                <w:kern w:val="2"/>
                <w:sz w:val="18"/>
                <w:szCs w:val="18"/>
                <w:lang w:val="en-US" w:eastAsia="zh-CN" w:bidi="ar-SA"/>
              </w:rPr>
            </w:pPr>
            <w:r>
              <w:rPr>
                <w:rFonts w:hint="eastAsia" w:ascii="Times New Roman" w:hAnsi="Times New Roman" w:eastAsia="宋体" w:cs="Times New Roman"/>
                <w:bCs/>
                <w:color w:val="000000"/>
                <w:kern w:val="0"/>
                <w:sz w:val="18"/>
                <w:szCs w:val="18"/>
                <w:lang w:val="en-US" w:eastAsia="zh-CN"/>
              </w:rPr>
              <w:t>性能变化率</w:t>
            </w:r>
          </w:p>
        </w:tc>
        <w:tc>
          <w:tcPr>
            <w:tcW w:w="2841"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2841"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gridSpan w:val="2"/>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鞋帮耐水解</w:t>
            </w:r>
          </w:p>
          <w:p>
            <w:pPr>
              <w:jc w:val="center"/>
              <w:rPr>
                <w:rFonts w:hint="default"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（聚合材料或聚合材料膜层）</w:t>
            </w:r>
          </w:p>
        </w:tc>
        <w:tc>
          <w:tcPr>
            <w:tcW w:w="2841" w:type="dxa"/>
            <w:noWrap w:val="0"/>
            <w:vAlign w:val="center"/>
          </w:tcPr>
          <w:p>
            <w:pPr>
              <w:jc w:val="center"/>
              <w:rPr>
                <w:rFonts w:hint="default"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2841" w:type="dxa"/>
            <w:noWrap w:val="0"/>
            <w:vAlign w:val="center"/>
          </w:tcPr>
          <w:p>
            <w:pPr>
              <w:ind w:firstLine="180" w:firstLineChars="100"/>
              <w:jc w:val="both"/>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连续屈挠15万次，无裂纹、不分层。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1420" w:type="dxa"/>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鞋垫</w:t>
            </w:r>
          </w:p>
          <w:p>
            <w:pPr>
              <w:shd w:val="clear" w:color="auto" w:fill="auto"/>
              <w:jc w:val="center"/>
              <w:rPr>
                <w:rFonts w:hint="default"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抑菌率</w:t>
            </w:r>
          </w:p>
        </w:tc>
        <w:tc>
          <w:tcPr>
            <w:tcW w:w="1420"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水洗前</w:t>
            </w:r>
          </w:p>
        </w:tc>
        <w:tc>
          <w:tcPr>
            <w:tcW w:w="2841" w:type="dxa"/>
            <w:vMerge w:val="restart"/>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2841" w:type="dxa"/>
            <w:noWrap w:val="0"/>
            <w:vAlign w:val="center"/>
          </w:tcPr>
          <w:p>
            <w:pPr>
              <w:jc w:val="center"/>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1420" w:type="dxa"/>
            <w:vMerge w:val="continue"/>
            <w:noWrap w:val="0"/>
            <w:vAlign w:val="center"/>
          </w:tcPr>
          <w:p>
            <w:pPr>
              <w:shd w:val="clear" w:color="auto" w:fill="auto"/>
              <w:jc w:val="center"/>
              <w:rPr>
                <w:rFonts w:hint="eastAsia" w:ascii="宋体" w:eastAsia="宋体"/>
                <w:sz w:val="18"/>
                <w:szCs w:val="18"/>
                <w:lang w:val="en-US" w:eastAsia="zh-CN"/>
              </w:rPr>
            </w:pPr>
          </w:p>
        </w:tc>
        <w:tc>
          <w:tcPr>
            <w:tcW w:w="1420"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水洗十次</w:t>
            </w:r>
          </w:p>
        </w:tc>
        <w:tc>
          <w:tcPr>
            <w:tcW w:w="2841" w:type="dxa"/>
            <w:vMerge w:val="continue"/>
            <w:noWrap w:val="0"/>
            <w:vAlign w:val="top"/>
          </w:tcPr>
          <w:p>
            <w:pPr>
              <w:shd w:val="clear" w:color="auto" w:fill="auto"/>
              <w:jc w:val="center"/>
              <w:rPr>
                <w:rFonts w:hint="eastAsia" w:ascii="宋体" w:eastAsia="宋体"/>
                <w:sz w:val="18"/>
                <w:szCs w:val="18"/>
                <w:lang w:val="en-US" w:eastAsia="zh-CN"/>
              </w:rPr>
            </w:pPr>
          </w:p>
        </w:tc>
        <w:tc>
          <w:tcPr>
            <w:tcW w:w="2841"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1420" w:type="dxa"/>
            <w:vMerge w:val="restart"/>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鞋垫</w:t>
            </w:r>
          </w:p>
          <w:p>
            <w:pPr>
              <w:shd w:val="clear" w:color="auto" w:fill="auto"/>
              <w:jc w:val="center"/>
              <w:rPr>
                <w:rFonts w:hint="default"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消臭率</w:t>
            </w:r>
          </w:p>
        </w:tc>
        <w:tc>
          <w:tcPr>
            <w:tcW w:w="1420"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水洗前</w:t>
            </w:r>
          </w:p>
        </w:tc>
        <w:tc>
          <w:tcPr>
            <w:tcW w:w="2841" w:type="dxa"/>
            <w:vMerge w:val="restart"/>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w:t>
            </w:r>
          </w:p>
        </w:tc>
        <w:tc>
          <w:tcPr>
            <w:tcW w:w="2841" w:type="dxa"/>
            <w:noWrap w:val="0"/>
            <w:vAlign w:val="center"/>
          </w:tcPr>
          <w:p>
            <w:pPr>
              <w:jc w:val="center"/>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 w:hRule="atLeast"/>
          <w:jc w:val="center"/>
        </w:trPr>
        <w:tc>
          <w:tcPr>
            <w:tcW w:w="1420" w:type="dxa"/>
            <w:vMerge w:val="continue"/>
            <w:noWrap w:val="0"/>
            <w:vAlign w:val="center"/>
          </w:tcPr>
          <w:p>
            <w:pPr>
              <w:shd w:val="clear" w:color="auto" w:fill="auto"/>
              <w:jc w:val="center"/>
              <w:rPr>
                <w:rFonts w:hint="eastAsia" w:ascii="宋体" w:eastAsia="宋体"/>
                <w:sz w:val="18"/>
                <w:szCs w:val="18"/>
                <w:lang w:val="en-US" w:eastAsia="zh-CN"/>
              </w:rPr>
            </w:pPr>
          </w:p>
        </w:tc>
        <w:tc>
          <w:tcPr>
            <w:tcW w:w="1420"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水洗十次</w:t>
            </w:r>
          </w:p>
        </w:tc>
        <w:tc>
          <w:tcPr>
            <w:tcW w:w="2841" w:type="dxa"/>
            <w:vMerge w:val="continue"/>
            <w:noWrap w:val="0"/>
            <w:vAlign w:val="top"/>
          </w:tcPr>
          <w:p>
            <w:pPr>
              <w:shd w:val="clear" w:color="auto" w:fill="auto"/>
              <w:jc w:val="center"/>
              <w:rPr>
                <w:rFonts w:hint="eastAsia" w:ascii="宋体" w:eastAsia="宋体"/>
                <w:sz w:val="18"/>
                <w:szCs w:val="18"/>
                <w:lang w:val="en-US" w:eastAsia="zh-CN"/>
              </w:rPr>
            </w:pPr>
          </w:p>
        </w:tc>
        <w:tc>
          <w:tcPr>
            <w:tcW w:w="2841"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 w:hRule="atLeast"/>
          <w:jc w:val="center"/>
        </w:trPr>
        <w:tc>
          <w:tcPr>
            <w:tcW w:w="1420" w:type="dxa"/>
            <w:vMerge w:val="restart"/>
            <w:noWrap w:val="0"/>
            <w:vAlign w:val="center"/>
          </w:tcPr>
          <w:p>
            <w:pPr>
              <w:shd w:val="clear" w:color="auto" w:fill="auto"/>
              <w:jc w:val="center"/>
              <w:rPr>
                <w:rFonts w:hint="default"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外底耐磨性能</w:t>
            </w:r>
          </w:p>
        </w:tc>
        <w:tc>
          <w:tcPr>
            <w:tcW w:w="1420"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比重＞0.9</w:t>
            </w:r>
          </w:p>
        </w:tc>
        <w:tc>
          <w:tcPr>
            <w:tcW w:w="2841" w:type="dxa"/>
            <w:vMerge w:val="restart"/>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mm</w:t>
            </w:r>
            <w:r>
              <w:rPr>
                <w:rFonts w:hint="eastAsia" w:ascii="Times New Roman" w:hAnsi="Times New Roman" w:eastAsia="宋体" w:cs="Times New Roman"/>
                <w:bCs/>
                <w:color w:val="000000"/>
                <w:kern w:val="0"/>
                <w:sz w:val="18"/>
                <w:szCs w:val="18"/>
                <w:vertAlign w:val="superscript"/>
                <w:lang w:val="en-US" w:eastAsia="zh-CN"/>
              </w:rPr>
              <w:t>3</w:t>
            </w:r>
          </w:p>
        </w:tc>
        <w:tc>
          <w:tcPr>
            <w:tcW w:w="2841" w:type="dxa"/>
            <w:noWrap w:val="0"/>
            <w:vAlign w:val="center"/>
          </w:tcPr>
          <w:p>
            <w:pPr>
              <w:jc w:val="center"/>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 w:hRule="atLeast"/>
          <w:jc w:val="center"/>
        </w:trPr>
        <w:tc>
          <w:tcPr>
            <w:tcW w:w="1420" w:type="dxa"/>
            <w:vMerge w:val="continue"/>
            <w:noWrap w:val="0"/>
            <w:vAlign w:val="center"/>
          </w:tcPr>
          <w:p>
            <w:pPr>
              <w:shd w:val="clear" w:color="auto" w:fill="auto"/>
              <w:jc w:val="center"/>
              <w:rPr>
                <w:rFonts w:hint="eastAsia" w:ascii="宋体" w:eastAsia="宋体"/>
                <w:sz w:val="18"/>
                <w:szCs w:val="18"/>
                <w:lang w:val="en-US" w:eastAsia="zh-CN"/>
              </w:rPr>
            </w:pPr>
          </w:p>
        </w:tc>
        <w:tc>
          <w:tcPr>
            <w:tcW w:w="1420"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比重≤0.9</w:t>
            </w:r>
          </w:p>
        </w:tc>
        <w:tc>
          <w:tcPr>
            <w:tcW w:w="2841" w:type="dxa"/>
            <w:vMerge w:val="continue"/>
            <w:noWrap w:val="0"/>
            <w:vAlign w:val="top"/>
          </w:tcPr>
          <w:p>
            <w:pPr>
              <w:shd w:val="clear" w:color="auto" w:fill="auto"/>
              <w:jc w:val="center"/>
              <w:rPr>
                <w:rFonts w:hint="eastAsia" w:ascii="宋体" w:eastAsia="宋体"/>
                <w:sz w:val="18"/>
                <w:szCs w:val="18"/>
                <w:lang w:val="en-US" w:eastAsia="zh-CN"/>
              </w:rPr>
            </w:pPr>
          </w:p>
        </w:tc>
        <w:tc>
          <w:tcPr>
            <w:tcW w:w="2841"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 w:hRule="atLeast"/>
          <w:jc w:val="center"/>
        </w:trPr>
        <w:tc>
          <w:tcPr>
            <w:tcW w:w="1420" w:type="dxa"/>
            <w:vMerge w:val="continue"/>
            <w:noWrap w:val="0"/>
            <w:vAlign w:val="center"/>
          </w:tcPr>
          <w:p>
            <w:pPr>
              <w:shd w:val="clear" w:color="auto" w:fill="auto"/>
              <w:jc w:val="center"/>
              <w:rPr>
                <w:rFonts w:hint="eastAsia" w:ascii="宋体" w:eastAsia="宋体"/>
                <w:sz w:val="18"/>
                <w:szCs w:val="18"/>
                <w:lang w:val="en-US" w:eastAsia="zh-CN"/>
              </w:rPr>
            </w:pPr>
          </w:p>
        </w:tc>
        <w:tc>
          <w:tcPr>
            <w:tcW w:w="1420"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有附加功能</w:t>
            </w:r>
          </w:p>
        </w:tc>
        <w:tc>
          <w:tcPr>
            <w:tcW w:w="2841" w:type="dxa"/>
            <w:vMerge w:val="continue"/>
            <w:noWrap w:val="0"/>
            <w:vAlign w:val="top"/>
          </w:tcPr>
          <w:p>
            <w:pPr>
              <w:shd w:val="clear" w:color="auto" w:fill="auto"/>
              <w:jc w:val="center"/>
              <w:rPr>
                <w:rFonts w:hint="eastAsia" w:ascii="宋体" w:eastAsia="宋体"/>
                <w:sz w:val="18"/>
                <w:szCs w:val="18"/>
                <w:lang w:val="en-US" w:eastAsia="zh-CN"/>
              </w:rPr>
            </w:pPr>
          </w:p>
        </w:tc>
        <w:tc>
          <w:tcPr>
            <w:tcW w:w="2841" w:type="dxa"/>
            <w:noWrap w:val="0"/>
            <w:vAlign w:val="center"/>
          </w:tcPr>
          <w:p>
            <w:pPr>
              <w:jc w:val="center"/>
              <w:rPr>
                <w:rFonts w:hint="eastAsia" w:ascii="宋体" w:eastAsia="宋体"/>
                <w:sz w:val="18"/>
                <w:szCs w:val="18"/>
                <w:lang w:val="en-US" w:eastAsia="zh-CN"/>
              </w:rPr>
            </w:pPr>
            <w:r>
              <w:rPr>
                <w:rFonts w:hint="eastAsia" w:ascii="Times New Roman" w:hAnsi="Times New Roman" w:eastAsia="宋体" w:cs="Times New Roman"/>
                <w:bCs/>
                <w:color w:val="000000"/>
                <w:kern w:val="0"/>
                <w:sz w:val="18"/>
                <w:szCs w:val="18"/>
                <w:lang w:val="en-US" w:eastAsia="zh-CN"/>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gridSpan w:val="2"/>
            <w:noWrap w:val="0"/>
            <w:vAlign w:val="center"/>
          </w:tcPr>
          <w:p>
            <w:pPr>
              <w:jc w:val="center"/>
              <w:rPr>
                <w:rFonts w:hint="eastAsia" w:ascii="Times New Roman" w:hAnsi="Times New Roman" w:eastAsia="宋体" w:cs="Times New Roman"/>
                <w:bCs/>
                <w:color w:val="000000"/>
                <w:kern w:val="0"/>
                <w:sz w:val="18"/>
                <w:szCs w:val="18"/>
                <w:lang w:val="en-US" w:eastAsia="zh-CN"/>
              </w:rPr>
            </w:pPr>
            <w:r>
              <w:rPr>
                <w:rFonts w:hint="eastAsia" w:ascii="Times New Roman" w:hAnsi="Times New Roman" w:eastAsia="宋体" w:cs="Times New Roman"/>
                <w:bCs/>
                <w:color w:val="000000"/>
                <w:kern w:val="0"/>
                <w:sz w:val="18"/>
                <w:szCs w:val="18"/>
                <w:lang w:val="en-US" w:eastAsia="zh-CN"/>
              </w:rPr>
              <w:t>外底耐水解</w:t>
            </w:r>
          </w:p>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（聚氨酯外底或聚氨酯复合外底）</w:t>
            </w:r>
          </w:p>
        </w:tc>
        <w:tc>
          <w:tcPr>
            <w:tcW w:w="2841" w:type="dxa"/>
            <w:noWrap w:val="0"/>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mm</w:t>
            </w:r>
          </w:p>
        </w:tc>
        <w:tc>
          <w:tcPr>
            <w:tcW w:w="2841" w:type="dxa"/>
            <w:noWrap w:val="0"/>
            <w:vAlign w:val="center"/>
          </w:tcPr>
          <w:p>
            <w:pPr>
              <w:jc w:val="center"/>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gridSpan w:val="2"/>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附加功能</w:t>
            </w:r>
          </w:p>
        </w:tc>
        <w:tc>
          <w:tcPr>
            <w:tcW w:w="2841" w:type="dxa"/>
            <w:vAlign w:val="center"/>
          </w:tcPr>
          <w:p>
            <w:pPr>
              <w:jc w:val="center"/>
              <w:rPr>
                <w:rFonts w:hint="eastAsia" w:ascii="Times New Roman" w:hAnsi="Times New Roman" w:eastAsia="宋体" w:cs="Times New Roman"/>
                <w:bCs/>
                <w:color w:val="000000"/>
                <w:kern w:val="0"/>
                <w:sz w:val="18"/>
                <w:szCs w:val="18"/>
                <w:lang w:val="en-US" w:eastAsia="zh-CN" w:bidi="ar-SA"/>
              </w:rPr>
            </w:pPr>
            <w:r>
              <w:rPr>
                <w:rFonts w:hint="eastAsia" w:ascii="Times New Roman" w:hAnsi="Times New Roman" w:eastAsia="宋体" w:cs="Times New Roman"/>
                <w:bCs/>
                <w:color w:val="000000"/>
                <w:kern w:val="0"/>
                <w:sz w:val="18"/>
                <w:szCs w:val="18"/>
                <w:lang w:val="en-US" w:eastAsia="zh-CN"/>
              </w:rPr>
              <w:t>-</w:t>
            </w:r>
          </w:p>
        </w:tc>
        <w:tc>
          <w:tcPr>
            <w:tcW w:w="2841" w:type="dxa"/>
            <w:vAlign w:val="center"/>
          </w:tcPr>
          <w:p>
            <w:pPr>
              <w:ind w:firstLine="180" w:firstLineChars="100"/>
              <w:jc w:val="both"/>
              <w:rPr>
                <w:rFonts w:ascii="宋体" w:eastAsia="宋体"/>
                <w:sz w:val="18"/>
                <w:szCs w:val="18"/>
              </w:rPr>
            </w:pPr>
            <w:r>
              <w:rPr>
                <w:rFonts w:hint="eastAsia" w:ascii="Times New Roman" w:hAnsi="Times New Roman" w:eastAsia="宋体" w:cs="Times New Roman"/>
                <w:bCs/>
                <w:color w:val="000000"/>
                <w:kern w:val="0"/>
                <w:sz w:val="18"/>
                <w:szCs w:val="18"/>
                <w:lang w:val="en-US" w:eastAsia="zh-CN"/>
              </w:rPr>
              <w:t>具有附加功能的产品，应满足功能性要求。</w:t>
            </w:r>
          </w:p>
        </w:tc>
      </w:tr>
    </w:tbl>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.3.4.2 清单分析</w:t>
      </w:r>
    </w:p>
    <w:p>
      <w:pPr>
        <w:pStyle w:val="12"/>
        <w:ind w:firstLine="420"/>
        <w:rPr>
          <w:rFonts w:ascii="Times New Roman"/>
        </w:rPr>
      </w:pPr>
      <w:r>
        <w:rPr>
          <w:rFonts w:ascii="Times New Roman"/>
        </w:rPr>
        <w:t>所收集的数据进行核实后，利用生命周期评估软件进行数据的分析处理，用以建立生命周期评价科学完整的计算程序。企业可根据实际情况选择软件。通过建立各个过程单元模块，输入各过程单元的数据，可得到全部输入与输出物质和排放清单，选择</w:t>
      </w:r>
      <w:r>
        <w:rPr>
          <w:rFonts w:hint="eastAsia" w:ascii="Times New Roman"/>
        </w:rPr>
        <w:t>B.4.2中附表</w:t>
      </w:r>
      <w:r>
        <w:rPr>
          <w:rFonts w:ascii="Times New Roman"/>
        </w:rPr>
        <w:t>各个清单因子的量（以kg为单位），为分类评价做准备。</w:t>
      </w:r>
    </w:p>
    <w:p>
      <w:pPr>
        <w:pStyle w:val="12"/>
        <w:ind w:firstLine="420"/>
        <w:rPr>
          <w:rFonts w:ascii="Times New Roman"/>
        </w:rPr>
      </w:pPr>
    </w:p>
    <w:p>
      <w:pPr>
        <w:widowControl/>
        <w:spacing w:before="120" w:beforeLines="50" w:after="120" w:afterLines="50"/>
        <w:jc w:val="left"/>
        <w:outlineLvl w:val="3"/>
        <w:rPr>
          <w:rFonts w:ascii="Times New Roman" w:hAnsi="Times New Roman" w:eastAsia="黑体"/>
          <w:kern w:val="0"/>
          <w:szCs w:val="21"/>
        </w:rPr>
      </w:pPr>
      <w:bookmarkStart w:id="119" w:name="_Toc406443087"/>
      <w:bookmarkStart w:id="120" w:name="_Toc449014968"/>
      <w:bookmarkStart w:id="121" w:name="_Toc404804697"/>
      <w:bookmarkStart w:id="122" w:name="_Toc405815990"/>
      <w:bookmarkStart w:id="123" w:name="_Toc406442822"/>
      <w:bookmarkStart w:id="124" w:name="_Toc396422206"/>
      <w:bookmarkStart w:id="125" w:name="_Toc424638216"/>
      <w:bookmarkStart w:id="126" w:name="_Toc397339789"/>
      <w:bookmarkStart w:id="127" w:name="_Toc424055044"/>
      <w:r>
        <w:rPr>
          <w:rFonts w:hint="eastAsia" w:ascii="Times New Roman" w:hAnsi="Times New Roman" w:eastAsia="黑体"/>
          <w:kern w:val="0"/>
          <w:szCs w:val="21"/>
        </w:rPr>
        <w:t>B</w:t>
      </w:r>
      <w:r>
        <w:rPr>
          <w:rFonts w:ascii="Times New Roman" w:hAnsi="Times New Roman" w:eastAsia="黑体"/>
          <w:kern w:val="0"/>
          <w:szCs w:val="21"/>
        </w:rPr>
        <w:t>.4 影响评价</w:t>
      </w:r>
      <w:bookmarkEnd w:id="119"/>
      <w:bookmarkEnd w:id="120"/>
      <w:bookmarkEnd w:id="121"/>
      <w:bookmarkEnd w:id="122"/>
      <w:bookmarkEnd w:id="123"/>
      <w:bookmarkEnd w:id="124"/>
      <w:bookmarkEnd w:id="125"/>
      <w:bookmarkEnd w:id="126"/>
      <w:bookmarkEnd w:id="127"/>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.4.1 影响类型</w:t>
      </w:r>
    </w:p>
    <w:p>
      <w:pPr>
        <w:pStyle w:val="12"/>
        <w:ind w:firstLine="420"/>
        <w:rPr>
          <w:rFonts w:ascii="Times New Roman"/>
        </w:rPr>
      </w:pPr>
      <w:r>
        <w:rPr>
          <w:rFonts w:hint="eastAsia" w:ascii="Times New Roman"/>
          <w:lang w:eastAsia="zh-CN"/>
        </w:rPr>
        <w:t>职业用鞋靴</w:t>
      </w:r>
      <w:r>
        <w:rPr>
          <w:rFonts w:ascii="Times New Roman"/>
        </w:rPr>
        <w:t>的影响类型采用</w:t>
      </w:r>
      <w:r>
        <w:rPr>
          <w:rFonts w:hint="eastAsia" w:ascii="Times New Roman"/>
          <w:szCs w:val="22"/>
        </w:rPr>
        <w:t>气候变化</w:t>
      </w:r>
      <w:r>
        <w:rPr>
          <w:rFonts w:ascii="Times New Roman"/>
        </w:rPr>
        <w:t>指标。</w:t>
      </w:r>
    </w:p>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.4.2 清单因子归类</w:t>
      </w:r>
    </w:p>
    <w:p>
      <w:pPr>
        <w:pStyle w:val="12"/>
        <w:ind w:firstLine="420"/>
        <w:rPr>
          <w:rFonts w:ascii="Times New Roman"/>
        </w:rPr>
      </w:pPr>
      <w:r>
        <w:rPr>
          <w:rFonts w:ascii="Times New Roman"/>
        </w:rPr>
        <w:t>根据清单因子的物理化学性质，将对某影响类型有贡献的因子归到一起，见表</w:t>
      </w:r>
      <w:r>
        <w:rPr>
          <w:rFonts w:hint="eastAsia" w:ascii="Times New Roman"/>
        </w:rPr>
        <w:t>B.5</w:t>
      </w:r>
      <w:r>
        <w:rPr>
          <w:rFonts w:ascii="Times New Roman"/>
        </w:rPr>
        <w:t>。例如，将对气候变化有贡献的二氧化碳、甲烷等清单因子归到气候变化影响类型里面。</w:t>
      </w:r>
    </w:p>
    <w:p>
      <w:pPr>
        <w:pStyle w:val="18"/>
        <w:spacing w:before="120" w:after="120"/>
        <w:ind w:left="0"/>
        <w:rPr>
          <w:rFonts w:ascii="Times New Roman"/>
          <w:sz w:val="18"/>
          <w:szCs w:val="18"/>
        </w:rPr>
      </w:pPr>
      <w:r>
        <w:rPr>
          <w:rFonts w:ascii="Times New Roman"/>
          <w:sz w:val="18"/>
          <w:szCs w:val="18"/>
        </w:rPr>
        <w:t>表</w:t>
      </w:r>
      <w:r>
        <w:rPr>
          <w:rFonts w:hint="eastAsia" w:ascii="Times New Roman"/>
          <w:sz w:val="18"/>
          <w:szCs w:val="18"/>
        </w:rPr>
        <w:t>B</w:t>
      </w:r>
      <w:r>
        <w:rPr>
          <w:rFonts w:ascii="Times New Roman"/>
          <w:sz w:val="18"/>
          <w:szCs w:val="18"/>
        </w:rPr>
        <w:t>.</w:t>
      </w:r>
      <w:r>
        <w:rPr>
          <w:rFonts w:hint="eastAsia" w:ascii="Times New Roman"/>
          <w:sz w:val="18"/>
          <w:szCs w:val="18"/>
        </w:rPr>
        <w:t>5</w:t>
      </w:r>
      <w:r>
        <w:rPr>
          <w:rFonts w:hint="eastAsia" w:ascii="Times New Roman"/>
          <w:sz w:val="18"/>
          <w:szCs w:val="18"/>
          <w:lang w:eastAsia="zh-CN"/>
        </w:rPr>
        <w:t>职业用鞋靴</w:t>
      </w:r>
      <w:r>
        <w:rPr>
          <w:rFonts w:ascii="Times New Roman"/>
          <w:sz w:val="18"/>
          <w:szCs w:val="18"/>
        </w:rPr>
        <w:t>生命周期清单因子归类</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60"/>
        <w:gridCol w:w="6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3260" w:type="dxa"/>
            <w:noWrap w:val="0"/>
            <w:vAlign w:val="center"/>
          </w:tcPr>
          <w:p>
            <w:pPr>
              <w:pStyle w:val="12"/>
              <w:tabs>
                <w:tab w:val="center" w:pos="851"/>
              </w:tabs>
              <w:ind w:firstLine="0" w:firstLineChars="0"/>
              <w:jc w:val="center"/>
              <w:rPr>
                <w:rFonts w:ascii="Times New Roman"/>
                <w:sz w:val="18"/>
                <w:szCs w:val="18"/>
              </w:rPr>
            </w:pPr>
            <w:r>
              <w:rPr>
                <w:rFonts w:ascii="Times New Roman"/>
                <w:sz w:val="18"/>
                <w:szCs w:val="18"/>
              </w:rPr>
              <w:t>影响类型</w:t>
            </w:r>
          </w:p>
        </w:tc>
        <w:tc>
          <w:tcPr>
            <w:tcW w:w="6311" w:type="dxa"/>
            <w:noWrap w:val="0"/>
            <w:vAlign w:val="center"/>
          </w:tcPr>
          <w:p>
            <w:pPr>
              <w:pStyle w:val="12"/>
              <w:tabs>
                <w:tab w:val="center" w:pos="851"/>
              </w:tabs>
              <w:ind w:firstLine="0" w:firstLineChars="0"/>
              <w:jc w:val="center"/>
              <w:rPr>
                <w:rFonts w:ascii="Times New Roman"/>
                <w:sz w:val="18"/>
                <w:szCs w:val="18"/>
              </w:rPr>
            </w:pPr>
            <w:r>
              <w:rPr>
                <w:rFonts w:ascii="Times New Roman"/>
                <w:sz w:val="18"/>
                <w:szCs w:val="18"/>
              </w:rPr>
              <w:t>清单因子归类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0" w:type="dxa"/>
            <w:noWrap w:val="0"/>
            <w:vAlign w:val="center"/>
          </w:tcPr>
          <w:p>
            <w:pPr>
              <w:pStyle w:val="12"/>
              <w:tabs>
                <w:tab w:val="center" w:pos="851"/>
              </w:tabs>
              <w:ind w:firstLine="0" w:firstLineChars="0"/>
              <w:jc w:val="center"/>
              <w:rPr>
                <w:rFonts w:ascii="Times New Roman"/>
                <w:sz w:val="18"/>
                <w:szCs w:val="18"/>
              </w:rPr>
            </w:pPr>
            <w:r>
              <w:rPr>
                <w:rFonts w:hint="eastAsia" w:ascii="Times New Roman"/>
                <w:sz w:val="18"/>
                <w:szCs w:val="18"/>
              </w:rPr>
              <w:t>气候变化/碳足迹</w:t>
            </w:r>
          </w:p>
        </w:tc>
        <w:tc>
          <w:tcPr>
            <w:tcW w:w="6311" w:type="dxa"/>
            <w:noWrap w:val="0"/>
            <w:vAlign w:val="center"/>
          </w:tcPr>
          <w:p>
            <w:pPr>
              <w:pStyle w:val="12"/>
              <w:tabs>
                <w:tab w:val="center" w:pos="851"/>
              </w:tabs>
              <w:ind w:firstLine="0" w:firstLineChars="0"/>
              <w:jc w:val="center"/>
              <w:rPr>
                <w:rFonts w:ascii="Times New Roman"/>
                <w:sz w:val="18"/>
                <w:szCs w:val="18"/>
              </w:rPr>
            </w:pPr>
            <w:r>
              <w:rPr>
                <w:rFonts w:hint="eastAsia" w:ascii="Times New Roman"/>
                <w:sz w:val="18"/>
                <w:szCs w:val="18"/>
              </w:rPr>
              <w:t>二氧化碳（CO2）</w:t>
            </w:r>
          </w:p>
        </w:tc>
      </w:tr>
    </w:tbl>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.4.3 分类评价</w:t>
      </w:r>
    </w:p>
    <w:p>
      <w:pPr>
        <w:pStyle w:val="12"/>
        <w:ind w:firstLine="420"/>
        <w:rPr>
          <w:rFonts w:ascii="Times New Roman"/>
        </w:rPr>
      </w:pPr>
      <w:r>
        <w:rPr>
          <w:rFonts w:ascii="Times New Roman"/>
        </w:rPr>
        <w:t>可以选择适宜的方法计算出不同影响类型的特征化模型，分类评价的结果可以采用表</w:t>
      </w:r>
      <w:r>
        <w:rPr>
          <w:rFonts w:hint="eastAsia" w:ascii="Times New Roman"/>
        </w:rPr>
        <w:t>B.6</w:t>
      </w:r>
      <w:r>
        <w:rPr>
          <w:rFonts w:ascii="Times New Roman"/>
        </w:rPr>
        <w:t>中的当量物质表示。</w:t>
      </w:r>
    </w:p>
    <w:p>
      <w:pPr>
        <w:pStyle w:val="18"/>
        <w:spacing w:before="120" w:after="120"/>
        <w:ind w:left="0"/>
        <w:rPr>
          <w:rFonts w:ascii="Times New Roman"/>
          <w:sz w:val="18"/>
          <w:szCs w:val="18"/>
        </w:rPr>
      </w:pPr>
      <w:r>
        <w:rPr>
          <w:rFonts w:ascii="Times New Roman"/>
          <w:sz w:val="18"/>
          <w:szCs w:val="18"/>
        </w:rPr>
        <w:t>表</w:t>
      </w:r>
      <w:r>
        <w:rPr>
          <w:rFonts w:hint="eastAsia" w:ascii="Times New Roman"/>
          <w:sz w:val="18"/>
          <w:szCs w:val="18"/>
        </w:rPr>
        <w:t>B</w:t>
      </w:r>
      <w:r>
        <w:rPr>
          <w:rFonts w:ascii="Times New Roman"/>
          <w:sz w:val="18"/>
          <w:szCs w:val="18"/>
        </w:rPr>
        <w:t>.</w:t>
      </w:r>
      <w:r>
        <w:rPr>
          <w:rFonts w:hint="eastAsia" w:ascii="Times New Roman"/>
          <w:sz w:val="18"/>
          <w:szCs w:val="18"/>
        </w:rPr>
        <w:t>6</w:t>
      </w:r>
      <w:r>
        <w:rPr>
          <w:rFonts w:hint="eastAsia" w:ascii="Times New Roman"/>
          <w:sz w:val="18"/>
          <w:szCs w:val="18"/>
          <w:lang w:eastAsia="zh-CN"/>
        </w:rPr>
        <w:t>职业用鞋靴</w:t>
      </w:r>
      <w:r>
        <w:rPr>
          <w:rFonts w:ascii="Times New Roman"/>
          <w:sz w:val="18"/>
          <w:szCs w:val="18"/>
        </w:rPr>
        <w:t>生命周期影响评价</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4" w:type="dxa"/>
            <w:noWrap w:val="0"/>
            <w:vAlign w:val="center"/>
          </w:tcPr>
          <w:p>
            <w:pPr>
              <w:pStyle w:val="12"/>
              <w:ind w:firstLine="0" w:firstLineChars="0"/>
              <w:jc w:val="center"/>
              <w:rPr>
                <w:rFonts w:ascii="Times New Roman"/>
                <w:sz w:val="18"/>
                <w:szCs w:val="18"/>
              </w:rPr>
            </w:pPr>
            <w:r>
              <w:rPr>
                <w:rFonts w:ascii="Times New Roman"/>
                <w:sz w:val="18"/>
                <w:szCs w:val="18"/>
              </w:rPr>
              <w:t>环境类别</w:t>
            </w:r>
          </w:p>
        </w:tc>
        <w:tc>
          <w:tcPr>
            <w:tcW w:w="1914" w:type="dxa"/>
            <w:noWrap w:val="0"/>
            <w:vAlign w:val="center"/>
          </w:tcPr>
          <w:p>
            <w:pPr>
              <w:pStyle w:val="12"/>
              <w:ind w:firstLine="0" w:firstLineChars="0"/>
              <w:jc w:val="center"/>
              <w:rPr>
                <w:rFonts w:ascii="Times New Roman"/>
                <w:sz w:val="18"/>
                <w:szCs w:val="18"/>
              </w:rPr>
            </w:pPr>
            <w:r>
              <w:rPr>
                <w:rFonts w:ascii="Times New Roman"/>
                <w:sz w:val="18"/>
                <w:szCs w:val="18"/>
              </w:rPr>
              <w:t>单位</w:t>
            </w:r>
          </w:p>
        </w:tc>
        <w:tc>
          <w:tcPr>
            <w:tcW w:w="1914" w:type="dxa"/>
            <w:noWrap w:val="0"/>
            <w:vAlign w:val="center"/>
          </w:tcPr>
          <w:p>
            <w:pPr>
              <w:pStyle w:val="12"/>
              <w:ind w:firstLine="0" w:firstLineChars="0"/>
              <w:jc w:val="center"/>
              <w:rPr>
                <w:rFonts w:ascii="Times New Roman"/>
                <w:sz w:val="18"/>
                <w:szCs w:val="18"/>
              </w:rPr>
            </w:pPr>
            <w:r>
              <w:rPr>
                <w:rFonts w:ascii="Times New Roman"/>
                <w:sz w:val="18"/>
                <w:szCs w:val="18"/>
              </w:rPr>
              <w:t>指标参数</w:t>
            </w:r>
          </w:p>
        </w:tc>
        <w:tc>
          <w:tcPr>
            <w:tcW w:w="1914" w:type="dxa"/>
            <w:noWrap w:val="0"/>
            <w:vAlign w:val="center"/>
          </w:tcPr>
          <w:p>
            <w:pPr>
              <w:pStyle w:val="12"/>
              <w:ind w:firstLine="0" w:firstLineChars="0"/>
              <w:jc w:val="center"/>
              <w:rPr>
                <w:rFonts w:ascii="Times New Roman"/>
                <w:sz w:val="18"/>
                <w:szCs w:val="18"/>
              </w:rPr>
            </w:pPr>
            <w:r>
              <w:rPr>
                <w:rFonts w:ascii="Times New Roman"/>
                <w:sz w:val="18"/>
                <w:szCs w:val="18"/>
              </w:rPr>
              <w:t>特征化因子</w:t>
            </w:r>
          </w:p>
        </w:tc>
        <w:tc>
          <w:tcPr>
            <w:tcW w:w="1914" w:type="dxa"/>
            <w:noWrap w:val="0"/>
            <w:vAlign w:val="center"/>
          </w:tcPr>
          <w:p>
            <w:pPr>
              <w:pStyle w:val="12"/>
              <w:ind w:firstLine="0" w:firstLineChars="0"/>
              <w:jc w:val="center"/>
              <w:rPr>
                <w:rFonts w:ascii="Times New Roman"/>
                <w:sz w:val="18"/>
                <w:szCs w:val="18"/>
              </w:rPr>
            </w:pPr>
            <w:r>
              <w:rPr>
                <w:rFonts w:ascii="Times New Roman"/>
                <w:sz w:val="18"/>
                <w:szCs w:val="18"/>
              </w:rPr>
              <w:t>评价方法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14" w:type="dxa"/>
            <w:noWrap w:val="0"/>
            <w:vAlign w:val="center"/>
          </w:tcPr>
          <w:p>
            <w:pPr>
              <w:pStyle w:val="12"/>
              <w:ind w:firstLine="0" w:firstLineChars="0"/>
              <w:jc w:val="center"/>
              <w:rPr>
                <w:rFonts w:ascii="Times New Roman"/>
                <w:sz w:val="18"/>
                <w:szCs w:val="18"/>
              </w:rPr>
            </w:pPr>
            <w:r>
              <w:rPr>
                <w:rFonts w:ascii="Times New Roman"/>
                <w:sz w:val="18"/>
                <w:szCs w:val="18"/>
              </w:rPr>
              <w:t>全球变暖</w:t>
            </w:r>
          </w:p>
        </w:tc>
        <w:tc>
          <w:tcPr>
            <w:tcW w:w="1914" w:type="dxa"/>
            <w:noWrap w:val="0"/>
            <w:vAlign w:val="center"/>
          </w:tcPr>
          <w:p>
            <w:pPr>
              <w:pStyle w:val="12"/>
              <w:ind w:firstLine="0" w:firstLineChars="0"/>
              <w:jc w:val="center"/>
              <w:rPr>
                <w:rFonts w:ascii="Times New Roman"/>
                <w:sz w:val="18"/>
                <w:szCs w:val="18"/>
              </w:rPr>
            </w:pPr>
            <w:r>
              <w:rPr>
                <w:rFonts w:ascii="Times New Roman"/>
                <w:sz w:val="18"/>
                <w:szCs w:val="18"/>
              </w:rPr>
              <w:t>CO</w:t>
            </w:r>
            <w:r>
              <w:rPr>
                <w:rFonts w:ascii="Times New Roman"/>
                <w:sz w:val="18"/>
                <w:szCs w:val="18"/>
                <w:vertAlign w:val="subscript"/>
              </w:rPr>
              <w:t>2</w:t>
            </w:r>
            <w:r>
              <w:rPr>
                <w:rFonts w:ascii="Times New Roman"/>
                <w:sz w:val="18"/>
                <w:szCs w:val="18"/>
              </w:rPr>
              <w:t>当量</w:t>
            </w:r>
            <w:r>
              <w:rPr>
                <w:rFonts w:hint="eastAsia" w:ascii="Times New Roman"/>
                <w:sz w:val="18"/>
                <w:szCs w:val="18"/>
              </w:rPr>
              <w:t>·</w:t>
            </w:r>
            <w:r>
              <w:rPr>
                <w:rFonts w:ascii="Times New Roman"/>
                <w:sz w:val="18"/>
                <w:szCs w:val="18"/>
              </w:rPr>
              <w:t>kg</w:t>
            </w:r>
            <w:r>
              <w:rPr>
                <w:rFonts w:ascii="Times New Roman"/>
                <w:sz w:val="18"/>
                <w:szCs w:val="18"/>
                <w:vertAlign w:val="superscript"/>
              </w:rPr>
              <w:t>-</w:t>
            </w:r>
            <w:r>
              <w:rPr>
                <w:rFonts w:hint="eastAsia" w:ascii="Times New Roman"/>
                <w:sz w:val="18"/>
                <w:szCs w:val="18"/>
                <w:vertAlign w:val="superscript"/>
              </w:rPr>
              <w:t>1</w:t>
            </w:r>
            <w:r>
              <w:rPr>
                <w:rFonts w:ascii="Times New Roman"/>
                <w:sz w:val="18"/>
                <w:szCs w:val="18"/>
              </w:rPr>
              <w:t xml:space="preserve"> </w:t>
            </w:r>
          </w:p>
        </w:tc>
        <w:tc>
          <w:tcPr>
            <w:tcW w:w="1914" w:type="dxa"/>
            <w:noWrap w:val="0"/>
            <w:vAlign w:val="center"/>
          </w:tcPr>
          <w:p>
            <w:pPr>
              <w:pStyle w:val="12"/>
              <w:ind w:firstLine="0" w:firstLineChars="0"/>
              <w:jc w:val="center"/>
              <w:rPr>
                <w:rFonts w:ascii="Times New Roman"/>
                <w:sz w:val="18"/>
                <w:szCs w:val="18"/>
              </w:rPr>
            </w:pPr>
            <w:r>
              <w:rPr>
                <w:rFonts w:ascii="Times New Roman"/>
                <w:sz w:val="18"/>
                <w:szCs w:val="18"/>
              </w:rPr>
              <w:t>CO</w:t>
            </w:r>
            <w:r>
              <w:rPr>
                <w:rFonts w:ascii="Times New Roman"/>
                <w:sz w:val="18"/>
                <w:szCs w:val="18"/>
                <w:vertAlign w:val="subscript"/>
              </w:rPr>
              <w:t>2</w:t>
            </w:r>
          </w:p>
        </w:tc>
        <w:tc>
          <w:tcPr>
            <w:tcW w:w="1914" w:type="dxa"/>
            <w:noWrap w:val="0"/>
            <w:vAlign w:val="center"/>
          </w:tcPr>
          <w:p>
            <w:pPr>
              <w:pStyle w:val="12"/>
              <w:ind w:firstLine="0" w:firstLineChars="0"/>
              <w:jc w:val="center"/>
              <w:rPr>
                <w:rFonts w:hint="eastAsia" w:ascii="Times New Roman" w:eastAsia="宋体"/>
                <w:sz w:val="18"/>
                <w:szCs w:val="18"/>
              </w:rPr>
            </w:pPr>
            <w:r>
              <w:rPr>
                <w:rFonts w:hint="eastAsia" w:ascii="Times New Roman"/>
                <w:sz w:val="18"/>
                <w:szCs w:val="18"/>
              </w:rPr>
              <w:t>1</w:t>
            </w:r>
          </w:p>
        </w:tc>
        <w:tc>
          <w:tcPr>
            <w:tcW w:w="1914" w:type="dxa"/>
            <w:noWrap w:val="0"/>
            <w:vAlign w:val="center"/>
          </w:tcPr>
          <w:p>
            <w:pPr>
              <w:pStyle w:val="12"/>
              <w:ind w:firstLine="0" w:firstLineChars="0"/>
              <w:jc w:val="center"/>
              <w:rPr>
                <w:rFonts w:ascii="Times New Roman"/>
                <w:sz w:val="18"/>
                <w:szCs w:val="18"/>
              </w:rPr>
            </w:pPr>
            <w:r>
              <w:rPr>
                <w:rFonts w:hint="eastAsia" w:ascii="Times New Roman"/>
                <w:sz w:val="18"/>
                <w:szCs w:val="18"/>
              </w:rPr>
              <w:t>IPCC 2006</w:t>
            </w:r>
          </w:p>
        </w:tc>
      </w:tr>
    </w:tbl>
    <w:p>
      <w:pPr>
        <w:widowControl/>
        <w:spacing w:before="120" w:beforeLines="50" w:after="120" w:afterLines="50"/>
        <w:jc w:val="left"/>
        <w:outlineLvl w:val="3"/>
        <w:rPr>
          <w:rFonts w:ascii="Times New Roman" w:hAnsi="Times New Roman" w:eastAsia="黑体"/>
          <w:kern w:val="0"/>
          <w:szCs w:val="21"/>
        </w:rPr>
      </w:pPr>
      <w:r>
        <w:rPr>
          <w:rFonts w:hint="eastAsia" w:ascii="Times New Roman" w:hAnsi="Times New Roman" w:eastAsia="黑体"/>
          <w:kern w:val="0"/>
          <w:szCs w:val="21"/>
        </w:rPr>
        <w:t>B</w:t>
      </w:r>
      <w:r>
        <w:rPr>
          <w:rFonts w:ascii="Times New Roman" w:hAnsi="Times New Roman" w:eastAsia="黑体"/>
          <w:kern w:val="0"/>
          <w:szCs w:val="21"/>
        </w:rPr>
        <w:t>.4.4 计算方法</w:t>
      </w:r>
    </w:p>
    <w:p>
      <w:pPr>
        <w:pStyle w:val="12"/>
        <w:ind w:firstLine="420"/>
        <w:rPr>
          <w:rFonts w:ascii="Times New Roman"/>
        </w:rPr>
      </w:pPr>
      <w:r>
        <w:rPr>
          <w:rFonts w:ascii="Times New Roman"/>
        </w:rPr>
        <w:t>影响评价结果计算方法见公式1。</w:t>
      </w:r>
    </w:p>
    <w:p>
      <w:pPr>
        <w:pStyle w:val="12"/>
        <w:ind w:firstLine="420"/>
        <w:jc w:val="center"/>
        <w:rPr>
          <w:rFonts w:ascii="Times New Roman"/>
        </w:rPr>
      </w:pPr>
      <w:r>
        <w:rPr>
          <w:rFonts w:ascii="Times New Roman"/>
        </w:rPr>
        <w:t xml:space="preserve">                      </w:t>
      </w:r>
      <w:r>
        <w:rPr>
          <w:rFonts w:ascii="Times New Roman"/>
        </w:rPr>
        <w:object>
          <v:shape id="_x0000_i1028" o:spt="75" type="#_x0000_t75" style="height:20.05pt;width:132.1pt;" o:ole="t" filled="f" o:preferrelative="t" stroked="f" coordsize="21600,21600">
            <v:path/>
            <v:fill on="f" focussize="0,0"/>
            <v:stroke on="f" joinstyle="miter"/>
            <v:imagedata r:id="rId23" o:title=""/>
            <o:lock v:ext="edit" aspectratio="t"/>
            <w10:wrap type="none"/>
            <w10:anchorlock/>
          </v:shape>
          <o:OLEObject Type="Embed" ProgID="Equation.DSMT4" ShapeID="_x0000_i1028" DrawAspect="Content" ObjectID="_1468075728" r:id="rId22">
            <o:LockedField>false</o:LockedField>
          </o:OLEObject>
        </w:object>
      </w:r>
      <w:r>
        <w:rPr>
          <w:rFonts w:ascii="Times New Roman"/>
        </w:rPr>
        <w:t xml:space="preserve">                                （</w:t>
      </w:r>
      <w:r>
        <w:rPr>
          <w:rFonts w:hint="eastAsia" w:ascii="Times New Roman"/>
        </w:rPr>
        <w:t>1</w:t>
      </w:r>
      <w:r>
        <w:rPr>
          <w:rFonts w:ascii="Times New Roman"/>
        </w:rPr>
        <w:t>）</w:t>
      </w:r>
    </w:p>
    <w:p>
      <w:pPr>
        <w:pStyle w:val="12"/>
        <w:ind w:firstLine="420"/>
        <w:rPr>
          <w:rFonts w:ascii="Times New Roman"/>
        </w:rPr>
      </w:pPr>
      <w:r>
        <w:rPr>
          <w:rFonts w:ascii="Times New Roman"/>
        </w:rPr>
        <w:t>式中：</w:t>
      </w:r>
    </w:p>
    <w:p>
      <w:pPr>
        <w:pStyle w:val="12"/>
        <w:ind w:firstLine="420"/>
        <w:rPr>
          <w:rFonts w:ascii="Times New Roman"/>
        </w:rPr>
      </w:pPr>
      <w:r>
        <w:rPr>
          <w:rFonts w:ascii="Times New Roman"/>
          <w:i/>
        </w:rPr>
        <w:t>EP</w:t>
      </w:r>
      <w:r>
        <w:rPr>
          <w:rFonts w:ascii="Times New Roman"/>
          <w:i/>
          <w:vertAlign w:val="subscript"/>
        </w:rPr>
        <w:t>i</w:t>
      </w:r>
      <w:r>
        <w:rPr>
          <w:rFonts w:ascii="Times New Roman"/>
        </w:rPr>
        <w:t>——第i种影响类型特征化值；</w:t>
      </w:r>
    </w:p>
    <w:p>
      <w:pPr>
        <w:pStyle w:val="12"/>
        <w:ind w:firstLine="420"/>
        <w:rPr>
          <w:rFonts w:ascii="Times New Roman"/>
        </w:rPr>
      </w:pPr>
      <w:r>
        <w:rPr>
          <w:rFonts w:ascii="Times New Roman"/>
          <w:i/>
        </w:rPr>
        <w:t>EP</w:t>
      </w:r>
      <w:r>
        <w:rPr>
          <w:rFonts w:ascii="Times New Roman"/>
          <w:i/>
          <w:vertAlign w:val="subscript"/>
        </w:rPr>
        <w:t>ij</w:t>
      </w:r>
      <w:r>
        <w:rPr>
          <w:rFonts w:ascii="Times New Roman"/>
        </w:rPr>
        <w:t>——第i种影响类别中第j种清单因子的贡献；</w:t>
      </w:r>
    </w:p>
    <w:p>
      <w:pPr>
        <w:pStyle w:val="12"/>
        <w:ind w:firstLine="420"/>
        <w:rPr>
          <w:rFonts w:ascii="Times New Roman"/>
        </w:rPr>
      </w:pPr>
      <w:r>
        <w:rPr>
          <w:rFonts w:ascii="Times New Roman"/>
          <w:i/>
        </w:rPr>
        <w:t>Q</w:t>
      </w:r>
      <w:r>
        <w:rPr>
          <w:rFonts w:ascii="Times New Roman"/>
          <w:i/>
          <w:vertAlign w:val="subscript"/>
        </w:rPr>
        <w:t xml:space="preserve">j </w:t>
      </w:r>
      <w:r>
        <w:rPr>
          <w:rFonts w:ascii="Times New Roman"/>
        </w:rPr>
        <w:t>——第j种清单因子的排放量；</w:t>
      </w:r>
    </w:p>
    <w:p>
      <w:pPr>
        <w:pStyle w:val="12"/>
        <w:ind w:firstLine="420"/>
        <w:rPr>
          <w:rFonts w:ascii="Times New Roman"/>
        </w:rPr>
      </w:pPr>
      <w:r>
        <w:rPr>
          <w:rFonts w:ascii="Times New Roman"/>
          <w:i/>
        </w:rPr>
        <w:t>EF</w:t>
      </w:r>
      <w:r>
        <w:rPr>
          <w:rFonts w:ascii="Times New Roman"/>
          <w:i/>
          <w:vertAlign w:val="subscript"/>
        </w:rPr>
        <w:t>ij</w:t>
      </w:r>
      <w:r>
        <w:rPr>
          <w:rFonts w:ascii="Times New Roman"/>
        </w:rPr>
        <w:t>——第i种影响类型中第j种清单因子的特征化因子。</w:t>
      </w:r>
    </w:p>
    <w:p>
      <w:pPr>
        <w:pStyle w:val="12"/>
        <w:ind w:firstLine="420"/>
        <w:rPr>
          <w:rFonts w:ascii="Times New Roman"/>
        </w:rPr>
      </w:pPr>
    </w:p>
    <w:p>
      <w:pPr>
        <w:pStyle w:val="12"/>
        <w:ind w:firstLine="420"/>
      </w:pPr>
    </w:p>
    <w:p/>
    <w:p>
      <w:pPr>
        <w:pStyle w:val="17"/>
        <w:numPr>
          <w:ilvl w:val="0"/>
          <w:numId w:val="0"/>
        </w:numPr>
        <w:ind w:left="425" w:firstLine="420" w:firstLineChars="200"/>
      </w:pPr>
    </w:p>
    <w:p>
      <w:pPr>
        <w:rPr>
          <w:rFonts w:hint="eastAsia" w:ascii="Times New Roman" w:hAnsi="Times New Roman" w:eastAsia="宋体" w:cs="Times New Roman"/>
          <w:szCs w:val="22"/>
          <w:lang w:val="en-US" w:eastAsia="zh-CN"/>
        </w:rPr>
      </w:pPr>
    </w:p>
    <w:sectPr>
      <w:headerReference r:id="rId12" w:type="first"/>
      <w:headerReference r:id="rId10" w:type="default"/>
      <w:footerReference r:id="rId13" w:type="default"/>
      <w:headerReference r:id="rId11" w:type="even"/>
      <w:footerReference r:id="rId14" w:type="even"/>
      <w:pgSz w:w="11907" w:h="16840"/>
      <w:pgMar w:top="1418" w:right="1134" w:bottom="1134" w:left="1418" w:header="851" w:footer="1134" w:gutter="0"/>
      <w:pgNumType w:fmt="numberInDash"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jc w:val="center"/>
                          </w:pPr>
                          <w:r>
                            <w:fldChar w:fldCharType="begin"/>
                          </w:r>
                          <w:r>
                            <w:rPr>
                              <w:rStyle w:val="11"/>
                            </w:rPr>
                            <w:instrText xml:space="preserve"> PAGE </w:instrText>
                          </w:r>
                          <w:r>
                            <w:fldChar w:fldCharType="separate"/>
                          </w:r>
                          <w:r>
                            <w:rPr>
                              <w:rStyle w:val="11"/>
                            </w:rP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4"/>
                      <w:jc w:val="center"/>
                    </w:pPr>
                    <w:r>
                      <w:fldChar w:fldCharType="begin"/>
                    </w:r>
                    <w:r>
                      <w:rPr>
                        <w:rStyle w:val="11"/>
                      </w:rPr>
                      <w:instrText xml:space="preserve"> PAGE </w:instrText>
                    </w:r>
                    <w:r>
                      <w:fldChar w:fldCharType="separate"/>
                    </w:r>
                    <w:r>
                      <w:rPr>
                        <w:rStyle w:val="11"/>
                      </w:rPr>
                      <w:t>- 6 -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11"/>
      </w:rPr>
      <w:instrText xml:space="preserve"> PAGE </w:instrText>
    </w:r>
    <w:r>
      <w:fldChar w:fldCharType="separate"/>
    </w:r>
    <w:r>
      <w:rPr>
        <w:rStyle w:val="11"/>
      </w:rPr>
      <w:t>- 6 -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180"/>
      <w:jc w:val="right"/>
      <w:rPr>
        <w:rFonts w:hint="eastAsia"/>
      </w:rPr>
    </w:pPr>
    <w:r>
      <w:rPr>
        <w:rFonts w:hint="eastAsia"/>
      </w:rPr>
      <w:t>T/CSTE</w:t>
    </w:r>
    <w:r>
      <w:t xml:space="preserve"> XXXX</w:t>
    </w:r>
    <w:r>
      <w:rPr>
        <w:rFonts w:hint="eastAsia"/>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黑体" w:hAnsi="黑体" w:eastAsia="黑体"/>
        <w:color w:val="000000"/>
        <w:sz w:val="21"/>
        <w:szCs w:val="21"/>
      </w:rPr>
    </w:pPr>
    <w:r>
      <w:rPr>
        <w:rFonts w:ascii="黑体" w:hAnsi="黑体" w:eastAsia="黑体" w:cs="宋体"/>
        <w:color w:val="000000"/>
        <w:kern w:val="0"/>
        <w:sz w:val="21"/>
        <w:szCs w:val="21"/>
      </w:rPr>
      <w:t>T/CSTE</w:t>
    </w:r>
    <w:r>
      <w:rPr>
        <w:rFonts w:hint="eastAsia" w:ascii="黑体" w:hAnsi="黑体" w:eastAsia="黑体" w:cs="宋体"/>
        <w:color w:val="000000"/>
        <w:kern w:val="0"/>
        <w:sz w:val="21"/>
        <w:szCs w:val="21"/>
      </w:rPr>
      <w:t xml:space="preserve"> </w:t>
    </w:r>
    <w:r>
      <w:rPr>
        <w:rFonts w:ascii="黑体" w:hAnsi="黑体" w:eastAsia="黑体"/>
        <w:color w:val="000000"/>
        <w:sz w:val="21"/>
        <w:szCs w:val="21"/>
      </w:rPr>
      <w:t>00XX—20</w:t>
    </w:r>
    <w:r>
      <w:rPr>
        <w:rFonts w:hint="eastAsia" w:ascii="黑体" w:hAnsi="黑体" w:eastAsia="黑体"/>
        <w:color w:val="000000"/>
        <w:sz w:val="21"/>
        <w:szCs w:val="21"/>
      </w:rPr>
      <w:t>XX</w:t>
    </w:r>
  </w:p>
  <w:p>
    <w:pPr>
      <w:pStyle w:val="5"/>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黑体" w:hAnsi="黑体" w:eastAsia="黑体"/>
        <w:color w:val="000000"/>
        <w:sz w:val="21"/>
        <w:szCs w:val="21"/>
      </w:rPr>
    </w:pPr>
    <w:r>
      <w:rPr>
        <w:rFonts w:ascii="黑体" w:hAnsi="黑体" w:eastAsia="黑体" w:cs="宋体"/>
        <w:color w:val="000000"/>
        <w:kern w:val="0"/>
        <w:sz w:val="21"/>
        <w:szCs w:val="21"/>
      </w:rPr>
      <w:t>T/CSTE</w:t>
    </w:r>
    <w:r>
      <w:rPr>
        <w:rFonts w:hint="eastAsia" w:ascii="黑体" w:hAnsi="黑体" w:eastAsia="黑体" w:cs="宋体"/>
        <w:color w:val="000000"/>
        <w:kern w:val="0"/>
        <w:sz w:val="21"/>
        <w:szCs w:val="21"/>
      </w:rPr>
      <w:t xml:space="preserve"> </w:t>
    </w:r>
    <w:r>
      <w:rPr>
        <w:rFonts w:ascii="黑体" w:hAnsi="黑体" w:eastAsia="黑体"/>
        <w:color w:val="000000"/>
        <w:sz w:val="21"/>
        <w:szCs w:val="21"/>
      </w:rPr>
      <w:t>00XX—20</w:t>
    </w:r>
    <w:r>
      <w:rPr>
        <w:rFonts w:hint="eastAsia" w:ascii="黑体" w:hAnsi="黑体" w:eastAsia="黑体"/>
        <w:color w:val="000000"/>
        <w:sz w:val="21"/>
        <w:szCs w:val="21"/>
      </w:rPr>
      <w:t>XX</w:t>
    </w:r>
  </w:p>
  <w:p>
    <w:pPr>
      <w:pStyle w:val="5"/>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pStyle w:val="17"/>
      <w:suff w:val="nothing"/>
      <w:lvlText w:val="%1——"/>
      <w:lvlJc w:val="left"/>
      <w:pPr>
        <w:ind w:left="833"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50616D8B"/>
    <w:multiLevelType w:val="multilevel"/>
    <w:tmpl w:val="50616D8B"/>
    <w:lvl w:ilvl="0" w:tentative="0">
      <w:start w:val="1"/>
      <w:numFmt w:val="decimal"/>
      <w:lvlText w:val="%1."/>
      <w:lvlJc w:val="left"/>
      <w:pPr>
        <w:ind w:left="420" w:hanging="420"/>
      </w:pPr>
    </w:lvl>
    <w:lvl w:ilvl="1" w:tentative="0">
      <w:start w:val="3"/>
      <w:numFmt w:val="decimal"/>
      <w:isLgl/>
      <w:lvlText w:val="%1.%2"/>
      <w:lvlJc w:val="left"/>
      <w:pPr>
        <w:ind w:left="840" w:hanging="840"/>
      </w:pPr>
      <w:rPr>
        <w:rFonts w:hint="default"/>
      </w:rPr>
    </w:lvl>
    <w:lvl w:ilvl="2" w:tentative="0">
      <w:start w:val="4"/>
      <w:numFmt w:val="decimal"/>
      <w:isLgl/>
      <w:lvlText w:val="%1.%2.%3"/>
      <w:lvlJc w:val="left"/>
      <w:pPr>
        <w:ind w:left="840" w:hanging="840"/>
      </w:pPr>
      <w:rPr>
        <w:rFonts w:hint="default"/>
      </w:rPr>
    </w:lvl>
    <w:lvl w:ilvl="3" w:tentative="0">
      <w:start w:val="2"/>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
    <w:nsid w:val="61303BB8"/>
    <w:multiLevelType w:val="multilevel"/>
    <w:tmpl w:val="61303BB8"/>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26DE7"/>
    <w:rsid w:val="06956131"/>
    <w:rsid w:val="17DE5CC4"/>
    <w:rsid w:val="260F31F1"/>
    <w:rsid w:val="29AB1B63"/>
    <w:rsid w:val="2D004AAD"/>
    <w:rsid w:val="2D8F09EA"/>
    <w:rsid w:val="35471A59"/>
    <w:rsid w:val="41EF4228"/>
    <w:rsid w:val="480431AB"/>
    <w:rsid w:val="55830DCF"/>
    <w:rsid w:val="583E6AAF"/>
    <w:rsid w:val="5E382AB7"/>
    <w:rsid w:val="60E6396D"/>
    <w:rsid w:val="656D680D"/>
    <w:rsid w:val="6B36237F"/>
    <w:rsid w:val="6BE26DE7"/>
    <w:rsid w:val="6D224919"/>
    <w:rsid w:val="6D6F0F73"/>
    <w:rsid w:val="71B41504"/>
    <w:rsid w:val="7A07011B"/>
    <w:rsid w:val="7A811AA9"/>
    <w:rsid w:val="7D135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2"/>
      <w:sz w:val="21"/>
      <w:szCs w:val="28"/>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c 3"/>
    <w:basedOn w:val="1"/>
    <w:next w:val="1"/>
    <w:uiPriority w:val="0"/>
    <w:pPr>
      <w:ind w:left="840" w:leftChars="400"/>
    </w:pPr>
  </w:style>
  <w:style w:type="paragraph" w:styleId="4">
    <w:name w:val="footer"/>
    <w:basedOn w:val="1"/>
    <w:qFormat/>
    <w:uiPriority w:val="99"/>
    <w:pPr>
      <w:tabs>
        <w:tab w:val="center" w:pos="4153"/>
        <w:tab w:val="right" w:pos="8306"/>
      </w:tabs>
      <w:adjustRightInd w:val="0"/>
      <w:snapToGrid w:val="0"/>
      <w:jc w:val="left"/>
      <w:textAlignment w:val="baseline"/>
    </w:pPr>
    <w:rPr>
      <w:rFonts w:ascii="Times New Roman" w:hAnsi="Times New Roman" w:eastAsia="宋体"/>
      <w:spacing w:val="20"/>
      <w:kern w:val="0"/>
      <w:sz w:val="18"/>
      <w:szCs w:val="20"/>
    </w:rPr>
  </w:style>
  <w:style w:type="paragraph" w:styleId="5">
    <w:name w:val="header"/>
    <w:basedOn w:val="1"/>
    <w:qFormat/>
    <w:uiPriority w:val="99"/>
    <w:pPr>
      <w:tabs>
        <w:tab w:val="center" w:pos="4153"/>
        <w:tab w:val="right" w:pos="8306"/>
      </w:tabs>
      <w:snapToGrid w:val="0"/>
      <w:jc w:val="center"/>
    </w:pPr>
    <w:rPr>
      <w:rFonts w:cs="Times New Roman"/>
      <w:sz w:val="18"/>
      <w:szCs w:val="18"/>
    </w:rPr>
  </w:style>
  <w:style w:type="paragraph" w:styleId="6">
    <w:name w:val="toc 1"/>
    <w:basedOn w:val="1"/>
    <w:next w:val="1"/>
    <w:qFormat/>
    <w:uiPriority w:val="39"/>
    <w:pPr>
      <w:tabs>
        <w:tab w:val="right" w:leader="dot" w:pos="9241"/>
      </w:tabs>
      <w:spacing w:before="25" w:beforeLines="25" w:after="25" w:afterLines="25"/>
      <w:jc w:val="left"/>
    </w:pPr>
    <w:rPr>
      <w:rFonts w:ascii="宋体" w:hAnsi="Times New Roman" w:eastAsia="宋体"/>
      <w:szCs w:val="21"/>
    </w:rPr>
  </w:style>
  <w:style w:type="paragraph" w:styleId="7">
    <w:name w:val="toc 2"/>
    <w:basedOn w:val="1"/>
    <w:next w:val="1"/>
    <w:qFormat/>
    <w:uiPriority w:val="39"/>
    <w:pPr>
      <w:tabs>
        <w:tab w:val="right" w:leader="dot" w:pos="9241"/>
      </w:tabs>
    </w:pPr>
    <w:rPr>
      <w:rFonts w:ascii="宋体" w:hAnsi="Times New Roman" w:eastAsia="宋体"/>
      <w:szCs w:val="21"/>
    </w:rPr>
  </w:style>
  <w:style w:type="table" w:styleId="9">
    <w:name w:val="Table Grid"/>
    <w:basedOn w:val="8"/>
    <w:qFormat/>
    <w:uiPriority w:val="0"/>
    <w:pPr>
      <w:numPr>
        <w:numId w:val="1"/>
      </w:numPr>
      <w:ind w:left="0" w:firstLine="0"/>
    </w:pPr>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
    <w:name w:val="章标题"/>
    <w:next w:val="12"/>
    <w:qFormat/>
    <w:uiPriority w:val="0"/>
    <w:pPr>
      <w:numPr>
        <w:ilvl w:val="0"/>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4">
    <w:name w:val="一级条标题"/>
    <w:basedOn w:val="13"/>
    <w:next w:val="12"/>
    <w:qFormat/>
    <w:uiPriority w:val="0"/>
    <w:pPr>
      <w:numPr>
        <w:ilvl w:val="0"/>
        <w:numId w:val="0"/>
      </w:numPr>
      <w:spacing w:before="0" w:beforeLines="0" w:after="0" w:afterLines="0"/>
      <w:outlineLvl w:val="2"/>
    </w:pPr>
    <w:rPr>
      <w:rFonts w:hAnsi="等线" w:cs="Times New Roman"/>
      <w:kern w:val="2"/>
      <w:szCs w:val="24"/>
    </w:rPr>
  </w:style>
  <w:style w:type="paragraph" w:customStyle="1" w:styleId="15">
    <w:name w:val="二级条标题"/>
    <w:basedOn w:val="1"/>
    <w:next w:val="12"/>
    <w:qFormat/>
    <w:uiPriority w:val="0"/>
    <w:pPr>
      <w:widowControl/>
      <w:numPr>
        <w:ilvl w:val="2"/>
        <w:numId w:val="2"/>
      </w:numPr>
      <w:outlineLvl w:val="3"/>
    </w:pPr>
    <w:rPr>
      <w:rFonts w:ascii="黑体" w:hAnsi="Times New Roman" w:eastAsia="黑体"/>
      <w:kern w:val="0"/>
      <w:szCs w:val="20"/>
    </w:rPr>
  </w:style>
  <w:style w:type="paragraph" w:customStyle="1" w:styleId="16">
    <w:name w:val="三级条标题"/>
    <w:basedOn w:val="15"/>
    <w:next w:val="12"/>
    <w:qFormat/>
    <w:uiPriority w:val="0"/>
    <w:pPr>
      <w:numPr>
        <w:ilvl w:val="0"/>
        <w:numId w:val="0"/>
      </w:numPr>
      <w:outlineLvl w:val="4"/>
    </w:pPr>
  </w:style>
  <w:style w:type="paragraph" w:customStyle="1" w:styleId="1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18">
    <w:name w:val="正文表标题"/>
    <w:next w:val="12"/>
    <w:qFormat/>
    <w:uiPriority w:val="0"/>
    <w:pPr>
      <w:tabs>
        <w:tab w:val="left" w:pos="360"/>
      </w:tabs>
      <w:spacing w:before="156" w:beforeLines="50" w:after="156" w:afterLines="50"/>
      <w:ind w:left="3544"/>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wmf"/><Relationship Id="rId22" Type="http://schemas.openxmlformats.org/officeDocument/2006/relationships/oleObject" Target="embeddings/oleObject4.bin"/><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2021-08-09T06:34:00Z</dcterms:created>
  <dc:creator>蔡瑞</dc:creator>
  <cp:lastModifiedBy>蔡瑞</cp:lastModifiedBy>
  <dcterms:modified xsi:type="dcterms:W3CDTF">2021-08-22T15:38:31Z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970B379B5CB7426D9783BB0332E7BBB0</vt:lpwstr>
  </property>
</Properties>
</file>