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25046548"/>
      <w:bookmarkStart w:id="1" w:name="_Toc509826185"/>
      <w:bookmarkStart w:id="2" w:name="_Toc530051741"/>
      <w:bookmarkStart w:id="3" w:name="_Toc873628"/>
      <w:bookmarkStart w:id="4" w:name="_Toc415043894"/>
      <w:bookmarkStart w:id="5" w:name="_Toc65687976"/>
      <w:bookmarkStart w:id="6" w:name="_Toc415043548"/>
      <w:bookmarkStart w:id="7" w:name="_Toc13964"/>
      <w:bookmarkStart w:id="8" w:name="_Toc385602845"/>
      <w:bookmarkStart w:id="9" w:name="_Toc415043487"/>
      <w:r>
        <w:pict>
          <v:shape id="Text Box 396" o:spid="_x0000_s1041" o:spt="202" type="#_x0000_t202" style="position:absolute;left:0pt;margin-left:308.85pt;margin-top:15.6pt;height:70.2pt;width:158.35pt;z-index:251660288;mso-width-relative:page;mso-height-relative:page;"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xoE&#10;I9gAAAAKAQAADwAAAAAAAAABACAAAAAiAAAAZHJzL2Rvd25yZXYueG1sUEsBAhQAFAAAAAgAh07i&#10;QPbSK1EiAgAATgQAAA4AAAAAAAAAAQAgAAAAJwEAAGRycy9lMm9Eb2MueG1sUEsFBgAAAAAGAAYA&#10;WQEAALsFAAAAAA==&#10;">
            <v:path/>
            <v:fill focussize="0,0"/>
            <v:stroke on="f" joinstyle="miter"/>
            <v:imagedata o:title=""/>
            <o:lock v:ext="edit"/>
            <v:textbox>
              <w:txbxContent>
                <w:p/>
              </w:txbxContent>
            </v:textbox>
          </v:shape>
        </w:pict>
      </w:r>
      <w:r>
        <w:pict>
          <v:shape id="文本框 21" o:spid="_x0000_s1036" o:spt="202" type="#_x0000_t202" style="position:absolute;left:0pt;margin-left:357.15pt;margin-top:711.45pt;height:34pt;width:67.3pt;mso-position-horizontal-relative:margin;mso-position-vertical-relative:margin;z-index:251666432;mso-width-relative:page;mso-height-relative:page;" stroked="f" coordsize="21600,21600" o:gfxdata="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8UA+2wAAAA0BAAAPAAAAAAAAAAEAIAAAACIAAABkcnMvZG93bnJldi54bWxQSwECFAAU&#10;AAAACACHTuJAF57hTCcCAAA8BAAADgAAAAAAAAABACAAAAAqAQAAZHJzL2Uyb0RvYy54bWxQSwUG&#10;AAAAAAYABgBZAQAAwwUAAAAA&#10;">
            <v:path/>
            <v:fill focussize="0,0"/>
            <v:stroke on="f" joinstyle="miter"/>
            <v:imagedata o:title=""/>
            <o:lock v:ext="edit"/>
            <v:textbox inset="0mm,0mm,0mm,0mm">
              <w:txbxContent>
                <w:p>
                  <w:pPr>
                    <w:pStyle w:val="47"/>
                    <w:jc w:val="right"/>
                  </w:pPr>
                  <w:r>
                    <w:rPr>
                      <w:rStyle w:val="34"/>
                      <w:rFonts w:hint="eastAsia"/>
                    </w:rPr>
                    <w:t xml:space="preserve">    发布</w:t>
                  </w:r>
                </w:p>
              </w:txbxContent>
            </v:textbox>
            <w10:anchorlock/>
          </v:shape>
        </w:pict>
      </w:r>
      <w:r>
        <w:pict>
          <v:shape id="_x0000_s1037" o:spid="_x0000_s1037" o:spt="202" type="#_x0000_t202" style="position:absolute;left:0pt;margin-left:10pt;margin-top:715.95pt;height:54.25pt;width:401.7pt;mso-position-horizontal-relative:margin;mso-position-vertical-relative:margin;z-index:251662336;mso-width-relative:page;mso-height-relative:page;" stroked="f" coordsize="21600,21600" o:gfxdata="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ILe/ZAAAADAEAAA8AAAAAAAAAAQAgAAAAIgAAAGRycy9kb3ducmV2LnhtbFBLAQIUABQA&#10;AAAIAIdO4kBE3SZAKAIAAD4EAAAOAAAAAAAAAAEAIAAAACgBAABkcnMvZTJvRG9jLnhtbFBLBQYA&#10;AAAABgAGAFkBAADCBQAAAAA=&#10;">
            <v:path/>
            <v:fill focussize="0,0"/>
            <v:stroke on="f" joinstyle="miter"/>
            <v:imagedata o:title=""/>
            <o:lock v:ext="edit"/>
            <v:textbox inset="0mm,0mm,0mm,0mm">
              <w:txbxContent>
                <w:p>
                  <w:pPr>
                    <w:pStyle w:val="47"/>
                  </w:pPr>
                  <w:r>
                    <w:rPr>
                      <w:rFonts w:hint="eastAsia"/>
                      <w:sz w:val="36"/>
                      <w:szCs w:val="36"/>
                    </w:rPr>
                    <w:t xml:space="preserve"> </w:t>
                  </w:r>
                  <w:r>
                    <w:rPr>
                      <w:rFonts w:hint="eastAsia"/>
                      <w:sz w:val="30"/>
                      <w:szCs w:val="30"/>
                    </w:rPr>
                    <w:t>山东省电线电缆行业协会</w:t>
                  </w:r>
                  <w:r>
                    <w:rPr>
                      <w:rStyle w:val="34"/>
                      <w:rFonts w:hint="eastAsia"/>
                      <w:sz w:val="30"/>
                      <w:szCs w:val="30"/>
                    </w:rPr>
                    <w:t xml:space="preserve">          </w:t>
                  </w:r>
                  <w:r>
                    <w:rPr>
                      <w:rFonts w:hint="eastAsia"/>
                      <w:sz w:val="30"/>
                      <w:szCs w:val="30"/>
                    </w:rPr>
                    <w:t>中国技术经济学会</w:t>
                  </w:r>
                </w:p>
              </w:txbxContent>
            </v:textbox>
            <w10:anchorlock/>
          </v:shape>
        </w:pict>
      </w:r>
      <w:r>
        <w:rPr>
          <w:rFonts w:ascii="Times New Roman"/>
          <w:szCs w:val="20"/>
        </w:rPr>
        <w:t xml:space="preserve">ICS </w:t>
      </w:r>
      <w:r>
        <w:rPr>
          <w:rFonts w:ascii="Times New Roman"/>
          <w:color w:val="FF0000"/>
          <w:szCs w:val="20"/>
        </w:rPr>
        <w:t>XXX</w:t>
      </w:r>
    </w:p>
    <w:p>
      <w:pPr>
        <w:pStyle w:val="35"/>
        <w:rPr>
          <w:rFonts w:ascii="Times New Roman"/>
          <w:szCs w:val="20"/>
        </w:rPr>
      </w:pPr>
      <w:r>
        <w:rPr>
          <w:rFonts w:hint="eastAsia" w:ascii="Times New Roman"/>
          <w:szCs w:val="20"/>
        </w:rPr>
        <w:t>CCS</w:t>
      </w:r>
      <w:r>
        <w:rPr>
          <w:rFonts w:ascii="Times New Roman"/>
          <w:szCs w:val="20"/>
        </w:rPr>
        <w:t xml:space="preserve"> </w:t>
      </w:r>
      <w:r>
        <w:rPr>
          <w:rFonts w:ascii="Times New Roman"/>
          <w:color w:val="FF0000"/>
          <w:szCs w:val="20"/>
        </w:rPr>
        <w:t>XXX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color w:val="FF0000"/>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/CBMF</w:t>
      </w:r>
      <w:r>
        <w:rPr>
          <w:rFonts w:ascii="Times New Roman" w:hAnsi="Times New Roman" w:eastAsia="宋体" w:cs="Times New Roman"/>
          <w:kern w:val="0"/>
          <w:sz w:val="28"/>
          <w:szCs w:val="20"/>
        </w:rPr>
        <w:t xml:space="preserve"> </w:t>
      </w:r>
      <w:r>
        <w:rPr>
          <w:rFonts w:ascii="Times New Roman" w:hAnsi="Times New Roman" w:eastAsia="宋体" w:cs="Times New Roman"/>
          <w:color w:val="FF0000"/>
          <w:kern w:val="0"/>
          <w:sz w:val="28"/>
          <w:szCs w:val="20"/>
        </w:rPr>
        <w:t>XX-</w:t>
      </w:r>
      <w:r>
        <w:rPr>
          <w:rFonts w:hint="eastAsia" w:ascii="Times New Roman" w:hAnsi="Times New Roman" w:eastAsia="宋体" w:cs="Times New Roman"/>
          <w:color w:val="FF0000"/>
          <w:kern w:val="0"/>
          <w:sz w:val="28"/>
          <w:szCs w:val="20"/>
        </w:rPr>
        <w:t>XXXX</w:t>
      </w:r>
    </w:p>
    <w:p>
      <w:pPr>
        <w:pStyle w:val="33"/>
        <w:ind w:right="-2" w:firstLine="0" w:firstLineChars="0"/>
        <w:jc w:val="right"/>
        <w:rPr>
          <w:rFonts w:ascii="Times New Roman" w:hAnsi="Times New Roman" w:eastAsia="宋体" w:cs="Times New Roman"/>
          <w:color w:val="FF0000"/>
          <w:kern w:val="0"/>
          <w:sz w:val="28"/>
          <w:szCs w:val="20"/>
        </w:rPr>
      </w:pPr>
      <w:r>
        <w:rPr>
          <w:rFonts w:hint="eastAsia" w:ascii="Times New Roman" w:hAnsi="Times New Roman" w:eastAsia="宋体" w:cs="Times New Roman"/>
          <w:kern w:val="0"/>
          <w:sz w:val="28"/>
          <w:szCs w:val="20"/>
        </w:rPr>
        <w:t xml:space="preserve">T/CSTE </w:t>
      </w:r>
      <w:r>
        <w:rPr>
          <w:rFonts w:hint="eastAsia" w:ascii="Times New Roman" w:hAnsi="Times New Roman" w:eastAsia="宋体" w:cs="Times New Roman"/>
          <w:color w:val="FF0000"/>
          <w:kern w:val="0"/>
          <w:sz w:val="28"/>
          <w:szCs w:val="20"/>
        </w:rPr>
        <w:t>XX-XXXX</w:t>
      </w:r>
    </w:p>
    <w:p>
      <w:pPr>
        <w:pStyle w:val="33"/>
        <w:ind w:right="420" w:rightChars="200" w:firstLine="0" w:firstLineChars="0"/>
        <w:jc w:val="right"/>
        <w:rPr>
          <w:rFonts w:ascii="Times New Roman" w:eastAsia="黑体"/>
          <w:b/>
          <w:sz w:val="24"/>
          <w:szCs w:val="24"/>
        </w:rPr>
      </w:pPr>
      <w:r>
        <w:pict>
          <v:line id="直接连接符 22" o:spid="_x0000_s1040" o:spt="20" style="position:absolute;left:0pt;margin-left:-5.9pt;margin-top:17.05pt;height:0pt;width:482pt;z-index:251661312;mso-width-relative:page;mso-height-relative:page;"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i&#10;LcLYAAAACQEAAA8AAAAAAAAAAQAgAAAAIgAAAGRycy9kb3ducmV2LnhtbFBLAQIUABQAAAAIAIdO&#10;4kBS3mFm6gEAALsDAAAOAAAAAAAAAAEAIAAAACcBAABkcnMvZTJvRG9jLnhtbFBLBQYAAAAABgAG&#10;AFkBAACDBQAAAAA=&#10;">
            <v:path arrowok="t"/>
            <v:fill focussize="0,0"/>
            <v:stroke weight="1pt" color="#080000"/>
            <v:imagedata o:title=""/>
            <o:lock v:ext="edit"/>
          </v:line>
        </w:pic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2443" w:leftChars="418" w:hanging="1565" w:hangingChars="300"/>
        <w:jc w:val="center"/>
        <w:rPr>
          <w:rFonts w:ascii="黑体" w:hAnsi="Times New Roman" w:eastAsia="黑体" w:cs="Times New Roman"/>
          <w:b/>
          <w:spacing w:val="40"/>
          <w:kern w:val="0"/>
          <w:sz w:val="44"/>
          <w:szCs w:val="44"/>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p>
    <w:p>
      <w:pPr>
        <w:pStyle w:val="33"/>
        <w:ind w:left="2443" w:leftChars="418" w:hanging="1565" w:hangingChars="300"/>
        <w:jc w:val="center"/>
        <w:rPr>
          <w:rFonts w:ascii="黑体" w:hAnsi="Times New Roman" w:eastAsia="黑体" w:cs="Times New Roman"/>
          <w:b/>
          <w:spacing w:val="40"/>
          <w:kern w:val="0"/>
          <w:sz w:val="44"/>
          <w:szCs w:val="44"/>
        </w:rPr>
      </w:pPr>
      <w:r>
        <w:rPr>
          <w:rFonts w:hint="eastAsia" w:ascii="黑体" w:hAnsi="Times New Roman" w:eastAsia="黑体" w:cs="Times New Roman"/>
          <w:b/>
          <w:spacing w:val="40"/>
          <w:kern w:val="0"/>
          <w:sz w:val="44"/>
          <w:szCs w:val="44"/>
          <w:highlight w:val="none"/>
        </w:rPr>
        <w:t>刚性矿物绝缘电缆</w:t>
      </w:r>
    </w:p>
    <w:p>
      <w:pPr>
        <w:spacing w:before="156" w:beforeLines="50" w:line="360" w:lineRule="exact"/>
        <w:jc w:val="center"/>
        <w:rPr>
          <w:rFonts w:ascii="Times New Roman" w:hAnsi="Times New Roman" w:eastAsia="黑体"/>
          <w:color w:val="000000" w:themeColor="text1"/>
          <w:kern w:val="0"/>
          <w:sz w:val="28"/>
          <w:szCs w:val="28"/>
          <w:shd w:val="clear" w:color="auto" w:fill="FFFFFF"/>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rPr>
        <w:t>—</w:t>
      </w:r>
      <w:r>
        <w:rPr>
          <w:rFonts w:ascii="Times New Roman" w:hAnsi="Times New Roman" w:eastAsia="黑体" w:cs="Times New Roman"/>
          <w:kern w:val="0"/>
          <w:sz w:val="28"/>
          <w:szCs w:val="28"/>
          <w:shd w:val="clear" w:color="auto" w:fill="FFFFFF"/>
        </w:rPr>
        <w:t>Rigid mineral insulated cable</w:t>
      </w:r>
    </w:p>
    <w:p>
      <w:pPr>
        <w:pStyle w:val="33"/>
        <w:ind w:firstLine="0" w:firstLineChars="0"/>
        <w:rPr>
          <w:rFonts w:ascii="Times New Roman"/>
          <w:sz w:val="18"/>
          <w:szCs w:val="18"/>
        </w:rPr>
      </w:pPr>
      <w:r>
        <w:rPr>
          <w:rFonts w:hint="eastAsia" w:ascii="TimesNewRoman" w:hAnsi="TimesNewRoman" w:cs="TimesNewRoman"/>
          <w:kern w:val="0"/>
          <w:sz w:val="28"/>
          <w:szCs w:val="28"/>
        </w:rPr>
        <w:t> </w:t>
      </w: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（标准草案）</w:t>
      </w:r>
    </w:p>
    <w:p>
      <w:pPr>
        <w:pStyle w:val="33"/>
        <w:ind w:firstLine="0" w:firstLineChars="0"/>
        <w:rPr>
          <w:rFonts w:ascii="Times New Roman"/>
          <w:sz w:val="18"/>
          <w:szCs w:val="18"/>
        </w:rPr>
      </w:pPr>
    </w:p>
    <w:p>
      <w:pPr>
        <w:pStyle w:val="44"/>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w:pict>
          <v:shape id="文本框 19" o:spid="_x0000_s1039" o:spt="202" type="#_x0000_t202" style="position:absolute;left:0pt;margin-left:334.95pt;margin-top:679.35pt;height:24.6pt;width:132.75pt;mso-position-horizontal-relative:margin;mso-position-vertical-relative:margin;z-index:251663360;mso-width-relative:page;mso-height-relative:page;"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wJLp9sAAAANAQAADwAAAAAAAAABACAAAAAiAAAAZHJzL2Rvd25yZXYueG1sUEsBAhQA&#10;FAAAAAgAh07iQLPeG+MoAgAAPgQAAA4AAAAAAAAAAQAgAAAAKgEAAGRycy9lMm9Eb2MueG1sUEsF&#10;BgAAAAAGAAYAWQEAAMQFAAAAAA==&#10;">
            <v:path/>
            <v:fill focussize="0,0"/>
            <v:stroke on="f" joinstyle="miter"/>
            <v:imagedata o:title=""/>
            <o:lock v:ext="edit"/>
            <v:textbox inset="0mm,0mm,0mm,0mm">
              <w:txbxContent>
                <w:p>
                  <w:pPr>
                    <w:pStyle w:val="71"/>
                  </w:pPr>
                  <w:r>
                    <w:t>2021</w:t>
                  </w:r>
                  <w:r>
                    <w:rPr>
                      <w:rFonts w:hint="eastAsia"/>
                    </w:rPr>
                    <w:t>-</w:t>
                  </w:r>
                  <w:r>
                    <w:rPr>
                      <w:color w:val="FF0000"/>
                    </w:rPr>
                    <w:t>XX</w:t>
                  </w:r>
                  <w:r>
                    <w:rPr>
                      <w:rFonts w:hint="eastAsia"/>
                      <w:color w:val="FF0000"/>
                    </w:rPr>
                    <w:t>-</w:t>
                  </w:r>
                  <w:r>
                    <w:rPr>
                      <w:color w:val="FF0000"/>
                    </w:rPr>
                    <w:t>XX</w:t>
                  </w:r>
                  <w:r>
                    <w:rPr>
                      <w:rFonts w:hint="eastAsia"/>
                    </w:rPr>
                    <w:t>实施</w:t>
                  </w:r>
                </w:p>
              </w:txbxContent>
            </v:textbox>
            <w10:anchorlock/>
          </v:shape>
        </w:pict>
      </w: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w:pict>
          <v:shape id="_x0000_s1038" o:spid="_x0000_s1038" o:spt="202" type="#_x0000_t202" style="position:absolute;left:0pt;margin-left:-2.05pt;margin-top:676.45pt;height:24.6pt;width:159pt;mso-position-horizontal-relative:margin;mso-position-vertical-relative:margin;z-index:251664384;mso-width-relative:page;mso-height-relative:page;"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R+MXdoAAAAMAQAADwAAAAAAAAABACAAAAAiAAAAZHJzL2Rvd25yZXYueG1sUEsBAhQAFAAA&#10;AAgAh07iQHEctZMmAgAAPgQAAA4AAAAAAAAAAQAgAAAAKQEAAGRycy9lMm9Eb2MueG1sUEsFBgAA&#10;AAAGAAYAWQEAAMEFAAAAAA==&#10;">
            <v:path/>
            <v:fill focussize="0,0"/>
            <v:stroke on="f" joinstyle="miter"/>
            <v:imagedata o:title=""/>
            <o:lock v:ext="edit"/>
            <v:textbox inset="0mm,0mm,0mm,0mm">
              <w:txbxContent>
                <w:p>
                  <w:pPr>
                    <w:pStyle w:val="71"/>
                  </w:pPr>
                  <w:r>
                    <w:t>2021</w:t>
                  </w:r>
                  <w:r>
                    <w:rPr>
                      <w:rFonts w:hint="eastAsia"/>
                    </w:rPr>
                    <w:t>-</w:t>
                  </w:r>
                  <w:r>
                    <w:rPr>
                      <w:color w:val="FF0000"/>
                    </w:rPr>
                    <w:t>XX</w:t>
                  </w:r>
                  <w:r>
                    <w:rPr>
                      <w:rFonts w:hint="eastAsia"/>
                      <w:color w:val="FF0000"/>
                    </w:rPr>
                    <w:t>-</w:t>
                  </w:r>
                  <w:r>
                    <w:rPr>
                      <w:color w:val="FF0000"/>
                    </w:rPr>
                    <w:t>XX</w:t>
                  </w:r>
                  <w:r>
                    <w:rPr>
                      <w:rFonts w:hint="eastAsia"/>
                    </w:rPr>
                    <w:t>发布</w:t>
                  </w:r>
                </w:p>
              </w:txbxContent>
            </v:textbox>
            <w10:anchorlock/>
          </v:shape>
        </w:pict>
      </w:r>
      <w:r>
        <w:pict>
          <v:shape id="AutoShape 38" o:spid="_x0000_s1035" o:spt="32" type="#_x0000_t32" style="position:absolute;left:0pt;margin-left:0.4pt;margin-top:115.4pt;height:0pt;width:464.8pt;z-index:251665408;mso-width-relative:page;mso-height-relative:page;" filled="f"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BL/DVAAAACAEAAA8AAAAAAAAA&#10;AQAgAAAAIgAAAGRycy9kb3ducmV2LnhtbFBLAQIUABQAAAAIAIdO4kDa0Czp2wEAAMIDAAAOAAAA&#10;AAAAAAEAIAAAACQBAABkcnMvZTJvRG9jLnhtbFBLBQYAAAAABgAGAFkBAABxBQAAAAA=&#10;">
            <v:path arrowok="t"/>
            <v:fill on="f" focussize="0,0"/>
            <v:stroke/>
            <v:imagedata o:title=""/>
            <o:lock v:ext="edit"/>
          </v:shape>
        </w:pict>
      </w:r>
    </w:p>
    <w:bookmarkEnd w:id="0"/>
    <w:bookmarkEnd w:id="1"/>
    <w:bookmarkEnd w:id="2"/>
    <w:bookmarkEnd w:id="3"/>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color w:val="FF0000"/>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360" w:lineRule="auto"/>
        <w:ind w:firstLine="420" w:firstLineChars="200"/>
        <w:rPr>
          <w:rFonts w:ascii="宋体" w:hAnsi="宋体"/>
          <w:szCs w:val="21"/>
        </w:rPr>
      </w:pPr>
      <w:r>
        <w:rPr>
          <w:rFonts w:hint="eastAsia" w:ascii="宋体" w:hAnsi="宋体"/>
          <w:szCs w:val="21"/>
        </w:rPr>
        <w:t>本文件按照GB/T 1.1—2020《标准化工作导则  第1部分：标准化文件的结构和起草规则》和</w:t>
      </w:r>
      <w:r>
        <w:rPr>
          <w:rFonts w:hint="eastAsia" w:ascii="宋体" w:hAnsi="宋体" w:cs="Arial"/>
          <w:szCs w:val="21"/>
        </w:rPr>
        <w:t>T/CAQP 015—2020、 T/ESF 0001—2020 《“领跑者”标准编制通则》</w:t>
      </w:r>
      <w:r>
        <w:rPr>
          <w:rFonts w:hint="eastAsia" w:ascii="宋体" w:hAnsi="宋体"/>
          <w:szCs w:val="21"/>
        </w:rPr>
        <w:t>的规定起草。</w:t>
      </w:r>
    </w:p>
    <w:p>
      <w:pPr>
        <w:autoSpaceDE w:val="0"/>
        <w:autoSpaceDN w:val="0"/>
        <w:adjustRightInd w:val="0"/>
        <w:spacing w:line="276" w:lineRule="auto"/>
        <w:ind w:firstLine="420" w:firstLineChars="200"/>
        <w:rPr>
          <w:rFonts w:ascii="宋体" w:hAnsi="宋体" w:eastAsia="宋体" w:cs="Times New Roman"/>
          <w:color w:val="000000"/>
          <w:kern w:val="0"/>
        </w:rPr>
      </w:pPr>
      <w:r>
        <w:rPr>
          <w:rFonts w:ascii="宋体" w:hAnsi="宋体" w:eastAsia="宋体" w:cs="Times New Roman"/>
          <w:color w:val="000000"/>
          <w:kern w:val="0"/>
        </w:rPr>
        <w:t>请注意本文件的某些内容可能涉及专利。本文件的发布机构不承担识别专利的责任。</w:t>
      </w:r>
    </w:p>
    <w:p>
      <w:pPr>
        <w:spacing w:line="360" w:lineRule="auto"/>
        <w:ind w:firstLine="420" w:firstLineChars="200"/>
        <w:rPr>
          <w:rFonts w:cs="宋体"/>
        </w:rPr>
      </w:pPr>
      <w:r>
        <w:rPr>
          <w:rFonts w:cs="宋体"/>
        </w:rPr>
        <w:t>本</w:t>
      </w:r>
      <w:r>
        <w:rPr>
          <w:rFonts w:hint="eastAsia" w:cs="宋体"/>
        </w:rPr>
        <w:t>文件</w:t>
      </w:r>
      <w:r>
        <w:rPr>
          <w:rFonts w:cs="宋体"/>
        </w:rPr>
        <w:t>由</w:t>
      </w:r>
      <w:r>
        <w:rPr>
          <w:rFonts w:hint="eastAsia" w:cs="宋体"/>
        </w:rPr>
        <w:t>山东省电线电缆行业协会与企业标准“领跑者”工作委员会联合提出</w:t>
      </w:r>
    </w:p>
    <w:p>
      <w:pPr>
        <w:spacing w:line="360" w:lineRule="auto"/>
        <w:ind w:firstLine="420" w:firstLineChars="200"/>
        <w:rPr>
          <w:rFonts w:cs="宋体"/>
        </w:rPr>
      </w:pPr>
      <w:r>
        <w:rPr>
          <w:rFonts w:hint="eastAsia" w:cs="宋体"/>
        </w:rPr>
        <w:t>本文件由山东省电线电缆行业协会与中国技术经济学会归口。</w:t>
      </w:r>
    </w:p>
    <w:p>
      <w:pPr>
        <w:spacing w:line="360" w:lineRule="auto"/>
        <w:ind w:firstLine="420" w:firstLineChars="200"/>
        <w:rPr>
          <w:rFonts w:hint="eastAsia" w:cs="宋体" w:eastAsiaTheme="minorEastAsia"/>
          <w:highlight w:val="none"/>
          <w:lang w:val="en-US" w:eastAsia="zh-CN"/>
        </w:rPr>
      </w:pPr>
      <w:r>
        <w:rPr>
          <w:rFonts w:hint="eastAsia" w:cs="宋体"/>
        </w:rPr>
        <w:t>本文件起草单位</w:t>
      </w:r>
      <w:r>
        <w:rPr>
          <w:rFonts w:cs="宋体"/>
        </w:rPr>
        <w:t>：</w:t>
      </w:r>
      <w:r>
        <w:rPr>
          <w:rFonts w:hint="eastAsia" w:cs="宋体"/>
          <w:highlight w:val="none"/>
        </w:rPr>
        <w:t>青岛汉缆股份有限公司</w:t>
      </w:r>
      <w:r>
        <w:rPr>
          <w:rFonts w:hint="eastAsia" w:cs="宋体"/>
          <w:highlight w:val="none"/>
          <w:lang w:eastAsia="zh-CN"/>
        </w:rPr>
        <w:t>、</w:t>
      </w:r>
      <w:r>
        <w:rPr>
          <w:rFonts w:hint="eastAsia" w:cs="宋体"/>
          <w:highlight w:val="none"/>
          <w:lang w:val="en-US" w:eastAsia="zh-CN"/>
        </w:rPr>
        <w:t>山东省电线电缆行业协会</w:t>
      </w:r>
      <w:bookmarkStart w:id="67" w:name="_GoBack"/>
      <w:bookmarkEnd w:id="67"/>
      <w:r>
        <w:rPr>
          <w:rFonts w:hint="eastAsia" w:cs="宋体"/>
          <w:highlight w:val="none"/>
          <w:lang w:val="en-US" w:eastAsia="zh-CN"/>
        </w:rPr>
        <w:t>等。</w:t>
      </w:r>
    </w:p>
    <w:p>
      <w:pPr>
        <w:spacing w:line="360" w:lineRule="auto"/>
        <w:ind w:firstLine="420" w:firstLineChars="200"/>
        <w:rPr>
          <w:rFonts w:hint="eastAsia" w:cs="宋体" w:eastAsiaTheme="minorEastAsia"/>
          <w:highlight w:val="none"/>
          <w:lang w:val="en-US" w:eastAsia="zh-CN"/>
        </w:rPr>
      </w:pPr>
      <w:r>
        <w:rPr>
          <w:rFonts w:hint="eastAsia" w:cs="宋体"/>
          <w:highlight w:val="none"/>
        </w:rPr>
        <w:t>本文件主要起草人：曲国安、曲行峰、王毛毛</w:t>
      </w:r>
      <w:r>
        <w:rPr>
          <w:rFonts w:hint="eastAsia" w:cs="宋体"/>
          <w:highlight w:val="none"/>
          <w:lang w:val="en-US" w:eastAsia="zh-CN"/>
        </w:rPr>
        <w:t>等。</w:t>
      </w:r>
    </w:p>
    <w:p>
      <w:pPr>
        <w:pStyle w:val="33"/>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ascii="Times New Roman" w:hAnsi="Times New Roman" w:cs="Times New Roman"/>
          <w:highlight w:val="none"/>
        </w:rPr>
      </w:pPr>
      <w:r>
        <w:rPr>
          <w:rFonts w:hint="eastAsia" w:ascii="Times New Roman" w:hAnsi="Times New Roman" w:cs="Times New Roman"/>
          <w:highlight w:val="none"/>
        </w:rPr>
        <w:t>刚性矿物绝缘电缆称为M</w:t>
      </w:r>
      <w:r>
        <w:rPr>
          <w:rFonts w:ascii="Times New Roman" w:hAnsi="Times New Roman" w:cs="Times New Roman"/>
          <w:highlight w:val="none"/>
        </w:rPr>
        <w:t>I</w:t>
      </w:r>
      <w:r>
        <w:rPr>
          <w:rFonts w:hint="eastAsia" w:ascii="Times New Roman" w:hAnsi="Times New Roman" w:cs="Times New Roman"/>
          <w:highlight w:val="none"/>
        </w:rPr>
        <w:t>电缆，也称为氧化镁防火电缆，是由铜芯、无机氧化镁绝缘和铜金属护套组成，具有耐高温、耐腐蚀、耐潮湿、无烟无毒、不燃烧等优点。刚性</w:t>
      </w:r>
      <w:r>
        <w:rPr>
          <w:rFonts w:ascii="Times New Roman" w:hAnsi="Times New Roman" w:cs="Times New Roman"/>
          <w:highlight w:val="none"/>
        </w:rPr>
        <w:t>矿物绝缘电缆在国外开展较早，</w:t>
      </w:r>
      <w:r>
        <w:rPr>
          <w:rFonts w:hint="eastAsia" w:ascii="Times New Roman" w:hAnsi="Times New Roman" w:cs="Times New Roman"/>
          <w:highlight w:val="none"/>
        </w:rPr>
        <w:t>19</w:t>
      </w:r>
      <w:r>
        <w:rPr>
          <w:rFonts w:ascii="Times New Roman" w:hAnsi="Times New Roman" w:cs="Times New Roman"/>
          <w:highlight w:val="none"/>
        </w:rPr>
        <w:t>世纪末</w:t>
      </w:r>
      <w:r>
        <w:rPr>
          <w:rFonts w:hint="eastAsia" w:ascii="Times New Roman" w:hAnsi="Times New Roman" w:cs="Times New Roman"/>
          <w:highlight w:val="none"/>
        </w:rPr>
        <w:t>由瑞士人士研发，并于</w:t>
      </w:r>
      <w:r>
        <w:rPr>
          <w:rFonts w:ascii="Times New Roman" w:hAnsi="Times New Roman" w:cs="Times New Roman"/>
          <w:highlight w:val="none"/>
        </w:rPr>
        <w:t>1896年获得专利</w:t>
      </w:r>
      <w:r>
        <w:rPr>
          <w:rFonts w:hint="eastAsia" w:ascii="Times New Roman" w:hAnsi="Times New Roman" w:cs="Times New Roman"/>
          <w:highlight w:val="none"/>
        </w:rPr>
        <w:t>，</w:t>
      </w:r>
      <w:r>
        <w:rPr>
          <w:rFonts w:ascii="Times New Roman" w:hAnsi="Times New Roman" w:cs="Times New Roman"/>
          <w:highlight w:val="none"/>
        </w:rPr>
        <w:t>1934-1936年法国、英国相继投入生产以后迅速发展</w:t>
      </w:r>
      <w:r>
        <w:rPr>
          <w:rFonts w:hint="eastAsia" w:ascii="Times New Roman" w:hAnsi="Times New Roman" w:cs="Times New Roman"/>
          <w:highlight w:val="none"/>
        </w:rPr>
        <w:t>，而我国刚性矿物绝缘电缆研究开始于20世纪70年代，真正小批量市场应用于90年代。近些年，</w:t>
      </w:r>
      <w:r>
        <w:rPr>
          <w:rFonts w:ascii="Times New Roman" w:hAnsi="Times New Roman" w:cs="Times New Roman"/>
          <w:highlight w:val="none"/>
        </w:rPr>
        <w:t>随着产品</w:t>
      </w:r>
      <w:r>
        <w:rPr>
          <w:rFonts w:hint="eastAsia" w:ascii="Times New Roman" w:hAnsi="Times New Roman" w:cs="Times New Roman"/>
          <w:highlight w:val="none"/>
        </w:rPr>
        <w:t>生产技术和建筑防火要求的不断提高，业内对防火电缆提出了更高的要求，市场也迫切需求产品质量提升，因此，进行企业标准评价对促进产品质量提升非常有必要。</w:t>
      </w:r>
    </w:p>
    <w:p>
      <w:pPr>
        <w:pStyle w:val="33"/>
        <w:spacing w:line="360" w:lineRule="auto"/>
        <w:rPr>
          <w:rFonts w:ascii="Times New Roman" w:hAnsi="Times New Roman" w:cs="Times New Roman"/>
        </w:rPr>
      </w:pPr>
    </w:p>
    <w:p>
      <w:pPr>
        <w:pStyle w:val="33"/>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p>
    <w:p>
      <w:pPr>
        <w:pStyle w:val="58"/>
        <w:outlineLvl w:val="9"/>
        <w:rPr>
          <w:highlight w:val="none"/>
        </w:rPr>
      </w:pPr>
      <w:r>
        <w:rPr>
          <w:rFonts w:hint="eastAsia"/>
        </w:rPr>
        <w:t xml:space="preserve">“领跑者”标准评价要求  </w:t>
      </w:r>
      <w:r>
        <w:rPr>
          <w:rFonts w:hint="eastAsia"/>
          <w:highlight w:val="none"/>
        </w:rPr>
        <w:t>刚性矿物绝缘电缆</w:t>
      </w:r>
    </w:p>
    <w:p>
      <w:pPr>
        <w:pStyle w:val="2"/>
        <w:spacing w:before="0" w:after="0"/>
        <w:rPr>
          <w:rFonts w:ascii="黑体" w:hAnsi="黑体" w:eastAsia="黑体"/>
          <w:b w:val="0"/>
          <w:sz w:val="24"/>
          <w:szCs w:val="24"/>
          <w:highlight w:val="none"/>
        </w:rPr>
      </w:pPr>
      <w:bookmarkStart w:id="12" w:name="_Toc23920"/>
      <w:bookmarkStart w:id="13" w:name="_Toc415043549"/>
      <w:bookmarkStart w:id="14" w:name="_Toc415043895"/>
      <w:bookmarkStart w:id="15" w:name="_Toc65687978"/>
      <w:bookmarkStart w:id="16" w:name="_Toc385602847"/>
      <w:bookmarkStart w:id="17" w:name="_Toc415043488"/>
      <w:bookmarkStart w:id="18" w:name="_Toc385601798"/>
      <w:r>
        <w:rPr>
          <w:rFonts w:hint="eastAsia" w:ascii="黑体" w:hAnsi="黑体" w:eastAsia="黑体"/>
          <w:b w:val="0"/>
          <w:sz w:val="24"/>
          <w:szCs w:val="24"/>
          <w:highlight w:val="none"/>
        </w:rPr>
        <w:t>1 范围</w:t>
      </w:r>
      <w:bookmarkEnd w:id="12"/>
      <w:bookmarkEnd w:id="13"/>
      <w:bookmarkEnd w:id="14"/>
      <w:bookmarkEnd w:id="15"/>
      <w:bookmarkEnd w:id="16"/>
      <w:bookmarkEnd w:id="17"/>
      <w:bookmarkEnd w:id="18"/>
    </w:p>
    <w:p>
      <w:pPr>
        <w:spacing w:line="300" w:lineRule="auto"/>
        <w:ind w:firstLine="420" w:firstLineChars="200"/>
        <w:rPr>
          <w:highlight w:val="none"/>
        </w:rPr>
      </w:pPr>
      <w:r>
        <w:rPr>
          <w:rFonts w:hint="eastAsia"/>
          <w:highlight w:val="none"/>
        </w:rPr>
        <w:t>本文件规定了刚性矿物绝缘电缆“领跑者”标准评价的</w:t>
      </w:r>
      <w:r>
        <w:rPr>
          <w:rFonts w:hint="eastAsia" w:ascii="宋体" w:hAnsi="宋体" w:eastAsia="宋体" w:cs="Arial"/>
          <w:szCs w:val="21"/>
          <w:highlight w:val="none"/>
        </w:rPr>
        <w:t>术语和定义、评价指标体系</w:t>
      </w:r>
      <w:r>
        <w:rPr>
          <w:rFonts w:hint="eastAsia" w:hAnsi="宋体" w:eastAsia="宋体" w:cs="Arial"/>
          <w:szCs w:val="21"/>
          <w:highlight w:val="none"/>
        </w:rPr>
        <w:t>、</w:t>
      </w:r>
      <w:r>
        <w:rPr>
          <w:rFonts w:ascii="Times New Roman"/>
          <w:szCs w:val="21"/>
          <w:highlight w:val="none"/>
        </w:rPr>
        <w:t>评价</w:t>
      </w:r>
      <w:r>
        <w:rPr>
          <w:rFonts w:hint="eastAsia" w:ascii="Times New Roman"/>
          <w:szCs w:val="21"/>
          <w:highlight w:val="none"/>
        </w:rPr>
        <w:t>方法及等级划分</w:t>
      </w:r>
      <w:r>
        <w:rPr>
          <w:rFonts w:hint="eastAsia"/>
          <w:highlight w:val="none"/>
        </w:rPr>
        <w:t>。</w:t>
      </w:r>
    </w:p>
    <w:p>
      <w:pPr>
        <w:spacing w:line="300" w:lineRule="auto"/>
        <w:ind w:firstLine="420" w:firstLineChars="200"/>
        <w:rPr>
          <w:highlight w:val="none"/>
        </w:rPr>
      </w:pPr>
      <w:r>
        <w:rPr>
          <w:rFonts w:hint="eastAsia" w:hAnsi="宋体"/>
          <w:color w:val="000000" w:themeColor="text1"/>
          <w:highlight w:val="none"/>
        </w:rPr>
        <w:t>本</w:t>
      </w:r>
      <w:r>
        <w:rPr>
          <w:rFonts w:hint="eastAsia"/>
          <w:highlight w:val="none"/>
        </w:rPr>
        <w:t>文件</w:t>
      </w:r>
      <w:r>
        <w:rPr>
          <w:rFonts w:hint="eastAsia"/>
          <w:color w:val="000000" w:themeColor="text1"/>
          <w:highlight w:val="none"/>
        </w:rPr>
        <w:t>适用于</w:t>
      </w:r>
      <w:bookmarkStart w:id="19" w:name="_Hlk42777362"/>
      <w:r>
        <w:rPr>
          <w:rFonts w:hint="eastAsia"/>
          <w:highlight w:val="none"/>
        </w:rPr>
        <w:t>刚性矿物绝缘</w:t>
      </w:r>
      <w:r>
        <w:rPr>
          <w:rFonts w:hint="eastAsia"/>
          <w:color w:val="000000" w:themeColor="text1"/>
          <w:highlight w:val="none"/>
        </w:rPr>
        <w:t>电缆企业</w:t>
      </w:r>
      <w:r>
        <w:rPr>
          <w:rFonts w:hint="eastAsia"/>
          <w:highlight w:val="none"/>
        </w:rPr>
        <w:t>标准</w:t>
      </w:r>
      <w:r>
        <w:rPr>
          <w:rFonts w:hint="eastAsia"/>
          <w:color w:val="000000" w:themeColor="text1"/>
          <w:highlight w:val="none"/>
        </w:rPr>
        <w:t>的</w:t>
      </w:r>
      <w:r>
        <w:rPr>
          <w:rFonts w:hint="eastAsia"/>
          <w:highlight w:val="none"/>
        </w:rPr>
        <w:t>水平评价。</w:t>
      </w:r>
      <w:r>
        <w:rPr>
          <w:rFonts w:hint="eastAsia" w:ascii="宋体" w:hAnsi="宋体" w:eastAsia="宋体" w:cs="宋体"/>
          <w:szCs w:val="21"/>
          <w:highlight w:val="none"/>
        </w:rPr>
        <w:t>企业在制定企业标准时可参照使用，</w:t>
      </w:r>
      <w:r>
        <w:rPr>
          <w:rFonts w:hint="eastAsia" w:ascii="宋体" w:hAnsi="宋体" w:eastAsia="宋体" w:cs="Arial"/>
          <w:szCs w:val="21"/>
          <w:highlight w:val="none"/>
        </w:rPr>
        <w:t>相关机构在制定企业标准“领跑者”评估方案时可参照使用。</w:t>
      </w:r>
      <w:bookmarkEnd w:id="19"/>
    </w:p>
    <w:p>
      <w:pPr>
        <w:pStyle w:val="2"/>
        <w:spacing w:before="0" w:after="0"/>
        <w:rPr>
          <w:rFonts w:ascii="黑体" w:hAnsi="黑体" w:eastAsia="黑体"/>
          <w:b w:val="0"/>
          <w:sz w:val="24"/>
          <w:szCs w:val="24"/>
          <w:highlight w:val="none"/>
        </w:rPr>
      </w:pPr>
      <w:bookmarkStart w:id="20" w:name="_Toc65687979"/>
      <w:bookmarkStart w:id="21" w:name="_Toc415043489"/>
      <w:bookmarkStart w:id="22" w:name="_Toc385601799"/>
      <w:bookmarkStart w:id="23" w:name="_Toc17469"/>
      <w:bookmarkStart w:id="24" w:name="_Toc415043896"/>
      <w:bookmarkStart w:id="25" w:name="_Toc415043550"/>
      <w:bookmarkStart w:id="26" w:name="_Toc385602848"/>
      <w:r>
        <w:rPr>
          <w:rFonts w:hint="eastAsia" w:ascii="黑体" w:hAnsi="黑体" w:eastAsia="黑体"/>
          <w:b w:val="0"/>
          <w:sz w:val="24"/>
          <w:szCs w:val="24"/>
          <w:highlight w:val="none"/>
        </w:rPr>
        <w:t>2 规范性引用文件</w:t>
      </w:r>
      <w:bookmarkEnd w:id="20"/>
      <w:bookmarkEnd w:id="21"/>
      <w:bookmarkEnd w:id="22"/>
      <w:bookmarkEnd w:id="23"/>
      <w:bookmarkEnd w:id="24"/>
      <w:bookmarkEnd w:id="25"/>
      <w:bookmarkEnd w:id="26"/>
    </w:p>
    <w:p>
      <w:pPr>
        <w:spacing w:line="300" w:lineRule="auto"/>
        <w:ind w:firstLine="420" w:firstLineChars="20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pStyle w:val="33"/>
      </w:pPr>
      <w:r>
        <w:rPr>
          <w:rFonts w:hint="eastAsia"/>
        </w:rPr>
        <w:t>GB/T 3956  电缆的导体</w:t>
      </w:r>
    </w:p>
    <w:p>
      <w:pPr>
        <w:spacing w:line="300" w:lineRule="auto"/>
        <w:ind w:firstLine="420" w:firstLineChars="200"/>
      </w:pPr>
      <w:r>
        <w:t>GB/T 13033.1 额定电压750V及以下矿物绝缘电缆及终端 第1部分:</w:t>
      </w:r>
      <w:r>
        <w:rPr>
          <w:rFonts w:hint="eastAsia"/>
        </w:rPr>
        <w:t>电缆</w:t>
      </w:r>
    </w:p>
    <w:p>
      <w:pPr>
        <w:spacing w:line="300" w:lineRule="auto"/>
        <w:ind w:firstLine="420" w:firstLineChars="200"/>
      </w:pPr>
      <w:r>
        <w:rPr>
          <w:rFonts w:hint="eastAsia"/>
        </w:rPr>
        <w:t xml:space="preserve">GB/T 19001  质量管理体系 </w:t>
      </w:r>
      <w:r>
        <w:t xml:space="preserve"> </w:t>
      </w:r>
      <w:r>
        <w:rPr>
          <w:rFonts w:hint="eastAsia"/>
        </w:rPr>
        <w:t>要求</w:t>
      </w:r>
    </w:p>
    <w:p>
      <w:pPr>
        <w:spacing w:line="300" w:lineRule="auto"/>
        <w:ind w:firstLine="420" w:firstLineChars="200"/>
        <w:rPr>
          <w:rFonts w:ascii="Arial" w:hAnsi="Arial" w:cs="Arial"/>
          <w:color w:val="333333"/>
          <w:sz w:val="20"/>
          <w:szCs w:val="20"/>
          <w:shd w:val="clear" w:color="auto" w:fill="FFFFFF"/>
        </w:rPr>
      </w:pPr>
      <w:bookmarkStart w:id="27" w:name="_Hlk80791778"/>
      <w:r>
        <w:rPr>
          <w:rFonts w:hint="eastAsia"/>
        </w:rPr>
        <w:t>G</w:t>
      </w:r>
      <w:r>
        <w:t xml:space="preserve">B/T 19216.21 </w:t>
      </w:r>
      <w:r>
        <w:rPr>
          <w:rFonts w:ascii="Arial" w:hAnsi="Arial" w:cs="Arial"/>
          <w:color w:val="333333"/>
          <w:sz w:val="20"/>
          <w:szCs w:val="20"/>
          <w:shd w:val="clear" w:color="auto" w:fill="FFFFFF"/>
        </w:rPr>
        <w:t>在火焰条件下电缆或光缆的线路完整性试验</w:t>
      </w:r>
    </w:p>
    <w:p>
      <w:pPr>
        <w:pStyle w:val="33"/>
        <w:spacing w:line="400" w:lineRule="exact"/>
        <w:ind w:left="2299" w:leftChars="195" w:hanging="1890" w:hangingChars="900"/>
        <w:rPr>
          <w:sz w:val="20"/>
          <w:szCs w:val="21"/>
        </w:rPr>
      </w:pPr>
      <w:r>
        <w:rPr>
          <w:rFonts w:hint="eastAsia" w:asciiTheme="minorHAnsi"/>
        </w:rPr>
        <w:t>G</w:t>
      </w:r>
      <w:r>
        <w:rPr>
          <w:rFonts w:asciiTheme="minorHAnsi"/>
        </w:rPr>
        <w:t>B/T 19666</w:t>
      </w:r>
      <w:r>
        <w:rPr>
          <w:rStyle w:val="83"/>
          <w:szCs w:val="21"/>
        </w:rPr>
        <w:t xml:space="preserve"> 阻燃和耐火电线电缆或光缆通则</w:t>
      </w:r>
    </w:p>
    <w:bookmarkEnd w:id="27"/>
    <w:p>
      <w:pPr>
        <w:spacing w:line="300" w:lineRule="auto"/>
        <w:ind w:firstLine="420" w:firstLineChars="200"/>
      </w:pPr>
      <w:r>
        <w:rPr>
          <w:rFonts w:hint="eastAsia"/>
        </w:rPr>
        <w:t xml:space="preserve">GB/T 24001 环境管理体系 </w:t>
      </w:r>
      <w:r>
        <w:t xml:space="preserve"> </w:t>
      </w:r>
      <w:r>
        <w:rPr>
          <w:rFonts w:hint="eastAsia"/>
        </w:rPr>
        <w:t>要求及使用指南</w:t>
      </w:r>
    </w:p>
    <w:p>
      <w:pPr>
        <w:spacing w:line="300" w:lineRule="auto"/>
        <w:ind w:firstLine="420" w:firstLineChars="200"/>
      </w:pPr>
      <w:r>
        <w:rPr>
          <w:rFonts w:hint="eastAsia"/>
        </w:rPr>
        <w:t xml:space="preserve">GB/T 45001 职业健康安全管理体系 </w:t>
      </w:r>
      <w:r>
        <w:t xml:space="preserve"> </w:t>
      </w:r>
      <w:r>
        <w:rPr>
          <w:rFonts w:hint="eastAsia"/>
        </w:rPr>
        <w:t>要求</w:t>
      </w:r>
    </w:p>
    <w:p>
      <w:pPr>
        <w:spacing w:line="300" w:lineRule="auto"/>
        <w:ind w:firstLine="420" w:firstLineChars="200"/>
      </w:pPr>
      <w:r>
        <w:rPr>
          <w:rFonts w:hint="eastAsia"/>
        </w:rPr>
        <w:t>I</w:t>
      </w:r>
      <w:r>
        <w:t>EC60331</w:t>
      </w:r>
      <w:r>
        <w:rPr>
          <w:rFonts w:hint="eastAsia"/>
        </w:rPr>
        <w:t>-</w:t>
      </w:r>
      <w:r>
        <w:t xml:space="preserve">1 </w:t>
      </w:r>
      <w:r>
        <w:rPr>
          <w:rFonts w:hint="eastAsia"/>
        </w:rPr>
        <w:t>电缆在火焰条件下试验 线路完整性 第</w:t>
      </w:r>
      <w:r>
        <w:t>1</w:t>
      </w:r>
      <w:r>
        <w:rPr>
          <w:rFonts w:hint="eastAsia"/>
        </w:rPr>
        <w:t>部分 温度不低于8</w:t>
      </w:r>
      <w:r>
        <w:t>30</w:t>
      </w:r>
      <w:r>
        <w:rPr>
          <w:rFonts w:hint="eastAsia"/>
        </w:rPr>
        <w:t>℃的供火并施加机械冲击，额定电压不超过0</w:t>
      </w:r>
      <w:r>
        <w:t>.6/1</w:t>
      </w:r>
      <w:r>
        <w:rPr>
          <w:rFonts w:hint="eastAsia"/>
        </w:rPr>
        <w:t>k</w:t>
      </w:r>
      <w:r>
        <w:t>V</w:t>
      </w:r>
      <w:r>
        <w:rPr>
          <w:rFonts w:hint="eastAsia"/>
        </w:rPr>
        <w:t>、外径超过2</w:t>
      </w:r>
      <w:r>
        <w:t>0</w:t>
      </w:r>
      <w:r>
        <w:rPr>
          <w:rFonts w:hint="eastAsia"/>
        </w:rPr>
        <w:t>mm电缆</w:t>
      </w:r>
    </w:p>
    <w:p>
      <w:pPr>
        <w:spacing w:line="300" w:lineRule="auto"/>
        <w:ind w:firstLine="420" w:firstLineChars="200"/>
      </w:pPr>
      <w:r>
        <w:rPr>
          <w:rFonts w:hint="eastAsia"/>
        </w:rPr>
        <w:t>I</w:t>
      </w:r>
      <w:r>
        <w:t>EC60331</w:t>
      </w:r>
      <w:r>
        <w:rPr>
          <w:rFonts w:hint="eastAsia"/>
        </w:rPr>
        <w:t>-</w:t>
      </w:r>
      <w:r>
        <w:t>2</w:t>
      </w:r>
      <w:r>
        <w:rPr>
          <w:rFonts w:hint="eastAsia"/>
        </w:rPr>
        <w:t>电缆在火焰条件下试验 线路完整性 第</w:t>
      </w:r>
      <w:r>
        <w:t>1</w:t>
      </w:r>
      <w:r>
        <w:rPr>
          <w:rFonts w:hint="eastAsia"/>
        </w:rPr>
        <w:t>部分 温度不低于8</w:t>
      </w:r>
      <w:r>
        <w:t>30</w:t>
      </w:r>
      <w:r>
        <w:rPr>
          <w:rFonts w:hint="eastAsia"/>
        </w:rPr>
        <w:t>℃的供火并施加机械冲击，额定电压不超过0</w:t>
      </w:r>
      <w:r>
        <w:t>.6/1</w:t>
      </w:r>
      <w:r>
        <w:rPr>
          <w:rFonts w:hint="eastAsia"/>
        </w:rPr>
        <w:t>k</w:t>
      </w:r>
      <w:r>
        <w:t>V</w:t>
      </w:r>
      <w:r>
        <w:rPr>
          <w:rFonts w:hint="eastAsia"/>
        </w:rPr>
        <w:t>、外径不超过2</w:t>
      </w:r>
      <w:r>
        <w:t>0</w:t>
      </w:r>
      <w:r>
        <w:rPr>
          <w:rFonts w:hint="eastAsia"/>
        </w:rPr>
        <w:t>mm电缆</w:t>
      </w:r>
    </w:p>
    <w:p>
      <w:pPr>
        <w:pStyle w:val="2"/>
        <w:spacing w:before="0" w:after="0"/>
        <w:rPr>
          <w:rFonts w:ascii="黑体" w:hAnsi="黑体" w:eastAsia="黑体"/>
          <w:b w:val="0"/>
          <w:sz w:val="24"/>
          <w:szCs w:val="24"/>
        </w:rPr>
      </w:pPr>
      <w:bookmarkStart w:id="28" w:name="_Toc385601800"/>
      <w:bookmarkEnd w:id="28"/>
      <w:bookmarkStart w:id="29" w:name="_Toc415043490"/>
      <w:bookmarkStart w:id="30" w:name="_Toc415043897"/>
      <w:bookmarkStart w:id="31" w:name="_Toc19706"/>
      <w:bookmarkStart w:id="32" w:name="_Toc65687980"/>
      <w:bookmarkStart w:id="33" w:name="_Toc415043551"/>
      <w:bookmarkStart w:id="34" w:name="_Toc385602849"/>
      <w:r>
        <w:rPr>
          <w:rFonts w:hint="eastAsia" w:ascii="黑体" w:hAnsi="黑体" w:eastAsia="黑体"/>
          <w:b w:val="0"/>
          <w:sz w:val="24"/>
          <w:szCs w:val="24"/>
        </w:rPr>
        <w:t>3 术语和定义</w:t>
      </w:r>
      <w:bookmarkEnd w:id="29"/>
      <w:bookmarkEnd w:id="30"/>
      <w:bookmarkEnd w:id="31"/>
      <w:bookmarkEnd w:id="32"/>
      <w:bookmarkEnd w:id="33"/>
      <w:bookmarkEnd w:id="34"/>
    </w:p>
    <w:p>
      <w:pPr>
        <w:pStyle w:val="33"/>
        <w:rPr>
          <w:color w:val="000000" w:themeColor="text1"/>
          <w:highlight w:val="none"/>
        </w:rPr>
      </w:pPr>
      <w:bookmarkStart w:id="35" w:name="_Toc415043491"/>
      <w:bookmarkEnd w:id="35"/>
      <w:bookmarkStart w:id="36" w:name="_Toc415043552"/>
      <w:bookmarkEnd w:id="36"/>
      <w:bookmarkStart w:id="37" w:name="_Toc415043898"/>
      <w:bookmarkEnd w:id="37"/>
      <w:bookmarkStart w:id="38" w:name="_Toc361997824"/>
      <w:bookmarkStart w:id="39" w:name="_Toc362005232"/>
      <w:bookmarkStart w:id="40" w:name="_Toc362007003"/>
      <w:bookmarkStart w:id="41" w:name="_Toc362172291"/>
      <w:bookmarkStart w:id="42" w:name="_Toc361323765"/>
      <w:r>
        <w:rPr>
          <w:rFonts w:hint="eastAsia"/>
          <w:highlight w:val="none"/>
        </w:rPr>
        <w:t>引用文件</w:t>
      </w:r>
      <w:r>
        <w:rPr>
          <w:rFonts w:hint="eastAsia" w:ascii="Times New Roman" w:hAnsi="Times New Roman" w:cs="Times New Roman"/>
          <w:kern w:val="0"/>
          <w:highlight w:val="none"/>
        </w:rPr>
        <w:t>界定的</w:t>
      </w:r>
      <w:r>
        <w:rPr>
          <w:rFonts w:hint="eastAsia" w:ascii="Times New Roman"/>
          <w:highlight w:val="none"/>
        </w:rPr>
        <w:t>术语和定义适用于本</w:t>
      </w:r>
      <w:r>
        <w:rPr>
          <w:rFonts w:hint="eastAsia"/>
          <w:highlight w:val="none"/>
        </w:rPr>
        <w:t>文件</w:t>
      </w:r>
      <w:r>
        <w:rPr>
          <w:rFonts w:hint="eastAsia" w:ascii="Times New Roman"/>
          <w:highlight w:val="none"/>
        </w:rPr>
        <w:t>。</w:t>
      </w:r>
    </w:p>
    <w:bookmarkEnd w:id="38"/>
    <w:bookmarkEnd w:id="39"/>
    <w:bookmarkEnd w:id="40"/>
    <w:bookmarkEnd w:id="41"/>
    <w:bookmarkEnd w:id="42"/>
    <w:p>
      <w:pPr>
        <w:pStyle w:val="2"/>
        <w:spacing w:before="0" w:after="0"/>
        <w:rPr>
          <w:rFonts w:ascii="黑体" w:hAnsi="黑体" w:eastAsia="黑体"/>
          <w:b w:val="0"/>
          <w:sz w:val="24"/>
          <w:szCs w:val="24"/>
          <w:highlight w:val="none"/>
        </w:rPr>
      </w:pPr>
      <w:bookmarkStart w:id="43" w:name="_Toc375076815"/>
      <w:bookmarkEnd w:id="43"/>
      <w:bookmarkStart w:id="44" w:name="_Toc415043553"/>
      <w:bookmarkEnd w:id="44"/>
      <w:bookmarkStart w:id="45" w:name="_Toc415043899"/>
      <w:bookmarkEnd w:id="45"/>
      <w:bookmarkStart w:id="46" w:name="_Toc415043492"/>
      <w:bookmarkEnd w:id="46"/>
      <w:bookmarkStart w:id="47" w:name="_Toc65687981"/>
      <w:bookmarkStart w:id="48" w:name="_Toc385602850"/>
      <w:bookmarkStart w:id="49" w:name="_Toc25668"/>
      <w:bookmarkStart w:id="50" w:name="_Toc415043557"/>
      <w:bookmarkStart w:id="51" w:name="_Toc415043496"/>
      <w:bookmarkStart w:id="52" w:name="_Toc415043903"/>
      <w:bookmarkStart w:id="53" w:name="_Toc528835813"/>
      <w:r>
        <w:rPr>
          <w:rFonts w:hint="eastAsia" w:ascii="黑体" w:hAnsi="黑体" w:eastAsia="黑体"/>
          <w:b w:val="0"/>
          <w:sz w:val="24"/>
          <w:szCs w:val="24"/>
          <w:highlight w:val="none"/>
        </w:rPr>
        <w:t>4 评价指标体系</w:t>
      </w:r>
      <w:bookmarkEnd w:id="47"/>
    </w:p>
    <w:p>
      <w:pPr>
        <w:pStyle w:val="80"/>
        <w:spacing w:before="156" w:beforeLines="50" w:after="156" w:afterLines="50"/>
        <w:rPr>
          <w:rFonts w:ascii="黑体" w:hAnsi="黑体" w:eastAsia="黑体" w:cs="Times New Roman"/>
          <w:sz w:val="21"/>
          <w:szCs w:val="21"/>
          <w:highlight w:val="none"/>
          <w:lang w:eastAsia="zh-CN"/>
        </w:rPr>
      </w:pPr>
      <w:bookmarkStart w:id="54" w:name="_Toc65687984"/>
      <w:bookmarkStart w:id="55" w:name="_Toc33563757"/>
      <w:bookmarkStart w:id="56" w:name="_Toc35259974"/>
      <w:bookmarkStart w:id="57" w:name="_Toc401669933"/>
      <w:r>
        <w:rPr>
          <w:rFonts w:ascii="Times New Roman" w:hAnsi="Times New Roman" w:eastAsia="黑体" w:cs="Times New Roman"/>
          <w:sz w:val="21"/>
          <w:szCs w:val="21"/>
          <w:highlight w:val="none"/>
          <w:lang w:eastAsia="zh-CN"/>
        </w:rPr>
        <w:t>4.1</w:t>
      </w:r>
      <w:r>
        <w:rPr>
          <w:rFonts w:hint="eastAsia" w:ascii="黑体" w:hAnsi="黑体" w:eastAsia="黑体" w:cs="Times New Roman"/>
          <w:sz w:val="21"/>
          <w:szCs w:val="21"/>
          <w:highlight w:val="none"/>
          <w:lang w:eastAsia="zh-CN"/>
        </w:rPr>
        <w:t xml:space="preserve"> 基本要求</w:t>
      </w:r>
    </w:p>
    <w:p>
      <w:pPr>
        <w:pStyle w:val="80"/>
        <w:rPr>
          <w:rFonts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 xml:space="preserve">4.1.1 </w:t>
      </w:r>
      <w:r>
        <w:rPr>
          <w:rFonts w:hint="eastAsia"/>
          <w:highlight w:val="none"/>
          <w:lang w:eastAsia="zh-CN"/>
        </w:rPr>
        <w:t>产品应为量产产品，刚性矿物绝缘电缆</w:t>
      </w:r>
      <w:r>
        <w:rPr>
          <w:rFonts w:hint="eastAsia" w:ascii="Times New Roman" w:hAnsi="Times New Roman" w:cs="Times New Roman"/>
          <w:sz w:val="21"/>
          <w:szCs w:val="21"/>
          <w:highlight w:val="none"/>
          <w:lang w:eastAsia="zh-CN"/>
        </w:rPr>
        <w:t>“领跑者”标准应满足执行标准及强制性国家标准的要求。</w:t>
      </w:r>
    </w:p>
    <w:p>
      <w:pPr>
        <w:pStyle w:val="80"/>
        <w:rPr>
          <w:rFonts w:ascii="Times New Roman" w:hAnsi="Times New Roman" w:cs="Times New Roman"/>
          <w:sz w:val="21"/>
          <w:szCs w:val="21"/>
          <w:lang w:eastAsia="zh-CN"/>
        </w:rPr>
      </w:pPr>
      <w:r>
        <w:rPr>
          <w:rFonts w:hint="eastAsia" w:ascii="Times New Roman" w:hAnsi="Times New Roman" w:cs="Times New Roman"/>
          <w:sz w:val="21"/>
          <w:szCs w:val="21"/>
          <w:highlight w:val="none"/>
          <w:lang w:eastAsia="zh-CN"/>
        </w:rPr>
        <w:t>4.1.2 生产企业近三年，无较大环境、安全</w:t>
      </w:r>
      <w:r>
        <w:rPr>
          <w:rFonts w:hint="eastAsia" w:ascii="Times New Roman" w:hAnsi="Times New Roman" w:cs="Times New Roman"/>
          <w:sz w:val="21"/>
          <w:szCs w:val="21"/>
          <w:lang w:eastAsia="zh-CN"/>
        </w:rPr>
        <w:t>、质量事故。</w:t>
      </w:r>
    </w:p>
    <w:p>
      <w:pPr>
        <w:pStyle w:val="80"/>
        <w:rPr>
          <w:rFonts w:ascii="Times New Roman" w:hAnsi="Times New Roman" w:cs="Times New Roman"/>
          <w:sz w:val="21"/>
          <w:szCs w:val="21"/>
          <w:lang w:eastAsia="zh-CN"/>
        </w:rPr>
      </w:pPr>
      <w:r>
        <w:rPr>
          <w:rFonts w:hint="eastAsia" w:ascii="Times New Roman" w:hAnsi="Times New Roman" w:cs="Times New Roman"/>
          <w:sz w:val="21"/>
          <w:szCs w:val="21"/>
          <w:lang w:eastAsia="zh-CN"/>
        </w:rPr>
        <w:t>4.1.3 企业未列入国家信用信息严重失信主体相关名录。</w:t>
      </w:r>
    </w:p>
    <w:p>
      <w:pPr>
        <w:pStyle w:val="80"/>
        <w:rPr>
          <w:rFonts w:ascii="Times New Roman" w:hAnsi="Times New Roman" w:cs="Times New Roman"/>
          <w:sz w:val="21"/>
          <w:szCs w:val="21"/>
          <w:lang w:eastAsia="zh-CN"/>
        </w:rPr>
      </w:pPr>
      <w:r>
        <w:rPr>
          <w:rFonts w:hint="eastAsia" w:ascii="Times New Roman" w:hAnsi="Times New Roman" w:cs="Times New Roman"/>
          <w:sz w:val="21"/>
          <w:szCs w:val="21"/>
          <w:lang w:eastAsia="zh-CN"/>
        </w:rPr>
        <w:t>4.1.4 企业可根据 GB/T 19001 、GB/T 24001、GB/T 45001 建立并运行相应质量、环境和职业健康安全，同时鼓励企业根据自身运营情况建立更高水平的管理体系。</w:t>
      </w:r>
    </w:p>
    <w:p>
      <w:pPr>
        <w:pStyle w:val="65"/>
        <w:numPr>
          <w:ilvl w:val="1"/>
          <w:numId w:val="3"/>
        </w:numPr>
        <w:spacing w:line="300" w:lineRule="auto"/>
        <w:ind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ascii="Times New Roman" w:hAnsi="Times New Roman"/>
          <w:highlight w:val="none"/>
        </w:rPr>
      </w:pPr>
      <w:r>
        <w:rPr>
          <w:rFonts w:hint="eastAsia" w:ascii="Times New Roman" w:hAnsi="Times New Roman"/>
          <w:highlight w:val="none"/>
        </w:rPr>
        <w:t>4.2</w:t>
      </w:r>
      <w:r>
        <w:rPr>
          <w:rFonts w:ascii="Times New Roman" w:hAnsi="Times New Roman"/>
          <w:highlight w:val="none"/>
        </w:rPr>
        <w:t>.</w:t>
      </w:r>
      <w:r>
        <w:rPr>
          <w:rFonts w:hint="eastAsia" w:ascii="Times New Roman" w:hAnsi="Times New Roman"/>
          <w:highlight w:val="none"/>
        </w:rPr>
        <w:t>1</w:t>
      </w:r>
      <w:r>
        <w:rPr>
          <w:rFonts w:hint="eastAsia"/>
          <w:highlight w:val="none"/>
        </w:rPr>
        <w:t>刚性矿物绝缘电缆“领跑者”标准中所包括的指标分为基础指标、核心指标和创新性指标。</w:t>
      </w:r>
    </w:p>
    <w:p>
      <w:pPr>
        <w:pStyle w:val="33"/>
        <w:ind w:firstLine="0" w:firstLineChars="0"/>
        <w:jc w:val="left"/>
        <w:rPr>
          <w:rFonts w:cs="宋体"/>
          <w:szCs w:val="21"/>
          <w:highlight w:val="none"/>
        </w:rPr>
      </w:pPr>
      <w:r>
        <w:rPr>
          <w:rFonts w:hint="eastAsia" w:ascii="Times New Roman" w:hAnsi="Times New Roman"/>
          <w:highlight w:val="none"/>
        </w:rPr>
        <w:t>4.2.</w:t>
      </w:r>
      <w:r>
        <w:rPr>
          <w:rFonts w:ascii="Times New Roman" w:hAnsi="Times New Roman"/>
          <w:highlight w:val="none"/>
        </w:rPr>
        <w:t xml:space="preserve">2 </w:t>
      </w:r>
      <w:r>
        <w:rPr>
          <w:rFonts w:hint="eastAsia" w:ascii="Times New Roman" w:hAnsi="Times New Roman"/>
          <w:highlight w:val="none"/>
        </w:rPr>
        <w:t>基础指标包括</w:t>
      </w:r>
      <w:bookmarkStart w:id="58" w:name="_Hlk81560548"/>
      <w:r>
        <w:rPr>
          <w:rFonts w:hint="eastAsia" w:ascii="Times New Roman" w:hAnsi="Times New Roman"/>
          <w:highlight w:val="none"/>
        </w:rPr>
        <w:t>结构尺寸、</w:t>
      </w:r>
      <w:r>
        <w:rPr>
          <w:rFonts w:hint="eastAsia" w:cs="宋体"/>
          <w:szCs w:val="21"/>
          <w:highlight w:val="none"/>
        </w:rPr>
        <w:t>绝缘电阻、护套完整性、电压试验、火花试验、弯曲试验、压扁试验。</w:t>
      </w:r>
      <w:bookmarkEnd w:id="58"/>
    </w:p>
    <w:p>
      <w:pPr>
        <w:pStyle w:val="37"/>
        <w:numPr>
          <w:ilvl w:val="0"/>
          <w:numId w:val="0"/>
        </w:numPr>
        <w:spacing w:beforeLines="0" w:afterLines="0" w:line="400" w:lineRule="exact"/>
        <w:outlineLvl w:val="9"/>
        <w:rPr>
          <w:rFonts w:ascii="Times New Roman" w:hAnsi="宋体" w:eastAsia="宋体"/>
          <w:kern w:val="2"/>
          <w:szCs w:val="24"/>
          <w:highlight w:val="none"/>
        </w:rPr>
      </w:pPr>
      <w:r>
        <w:rPr>
          <w:rFonts w:hint="eastAsia" w:ascii="Times New Roman" w:hAnsi="宋体" w:eastAsia="宋体"/>
          <w:kern w:val="2"/>
          <w:szCs w:val="24"/>
          <w:highlight w:val="none"/>
        </w:rPr>
        <w:t>4.2.</w:t>
      </w:r>
      <w:r>
        <w:rPr>
          <w:rFonts w:ascii="Times New Roman" w:hAnsi="宋体" w:eastAsia="宋体"/>
          <w:kern w:val="2"/>
          <w:szCs w:val="24"/>
          <w:highlight w:val="none"/>
        </w:rPr>
        <w:t>3</w:t>
      </w:r>
      <w:r>
        <w:rPr>
          <w:rFonts w:hint="eastAsia" w:ascii="Times New Roman" w:hAnsi="宋体" w:eastAsia="宋体"/>
          <w:kern w:val="2"/>
          <w:szCs w:val="24"/>
          <w:highlight w:val="none"/>
        </w:rPr>
        <w:t xml:space="preserve"> 核心指标包括</w:t>
      </w:r>
      <w:bookmarkStart w:id="59" w:name="_Hlk81560559"/>
      <w:r>
        <w:rPr>
          <w:rFonts w:hint="eastAsia" w:ascii="Times New Roman" w:hAnsi="宋体" w:eastAsia="宋体"/>
          <w:kern w:val="2"/>
          <w:szCs w:val="24"/>
          <w:highlight w:val="none"/>
        </w:rPr>
        <w:t>导体直流电阻、护套直流电阻、耐火试验（N）</w:t>
      </w:r>
      <w:bookmarkEnd w:id="59"/>
      <w:r>
        <w:rPr>
          <w:rFonts w:hint="eastAsia" w:ascii="Times New Roman" w:hAnsi="宋体" w:eastAsia="宋体"/>
          <w:kern w:val="2"/>
          <w:szCs w:val="24"/>
          <w:highlight w:val="none"/>
        </w:rPr>
        <w:t>。</w:t>
      </w:r>
    </w:p>
    <w:p>
      <w:pPr>
        <w:pStyle w:val="37"/>
        <w:numPr>
          <w:ilvl w:val="0"/>
          <w:numId w:val="0"/>
        </w:numPr>
        <w:spacing w:beforeLines="0" w:afterLines="0" w:line="400" w:lineRule="exact"/>
        <w:ind w:firstLine="420" w:firstLineChars="200"/>
        <w:outlineLvl w:val="9"/>
        <w:rPr>
          <w:rFonts w:ascii="Times New Roman" w:hAnsi="宋体" w:eastAsia="宋体"/>
          <w:kern w:val="2"/>
          <w:szCs w:val="24"/>
          <w:highlight w:val="none"/>
        </w:rPr>
      </w:pPr>
      <w:r>
        <w:rPr>
          <w:rFonts w:hint="eastAsia" w:ascii="Times New Roman" w:hAnsi="宋体" w:eastAsia="宋体"/>
          <w:kern w:val="2"/>
          <w:szCs w:val="24"/>
          <w:highlight w:val="none"/>
        </w:rPr>
        <w:t>核心指标分为三个等级，包括先进水平，相当于企标排行榜中5星级水平；平均水平，相当于企标排行榜中4星级水平；基准水平，相当于企标排行榜中3星级水平。</w:t>
      </w:r>
    </w:p>
    <w:p>
      <w:pPr>
        <w:spacing w:line="300" w:lineRule="auto"/>
        <w:rPr>
          <w:rFonts w:cs="宋体"/>
          <w:szCs w:val="21"/>
          <w:highlight w:val="none"/>
        </w:rPr>
      </w:pPr>
      <w:r>
        <w:rPr>
          <w:rFonts w:hint="eastAsia" w:ascii="Times New Roman" w:hAnsi="宋体" w:eastAsia="宋体"/>
          <w:szCs w:val="24"/>
          <w:highlight w:val="none"/>
        </w:rPr>
        <w:t>4.2.</w:t>
      </w:r>
      <w:r>
        <w:rPr>
          <w:rFonts w:ascii="Times New Roman" w:hAnsi="宋体" w:eastAsia="宋体"/>
          <w:szCs w:val="24"/>
          <w:highlight w:val="none"/>
        </w:rPr>
        <w:t>4</w:t>
      </w:r>
      <w:r>
        <w:rPr>
          <w:rFonts w:hint="eastAsia" w:ascii="Times New Roman" w:hAnsi="宋体" w:eastAsia="宋体"/>
          <w:szCs w:val="24"/>
          <w:highlight w:val="none"/>
        </w:rPr>
        <w:t xml:space="preserve"> 创新性指标为</w:t>
      </w:r>
      <w:r>
        <w:rPr>
          <w:rFonts w:hint="eastAsia" w:cs="宋体"/>
          <w:szCs w:val="21"/>
          <w:highlight w:val="none"/>
        </w:rPr>
        <w:t>耐火试验（N</w:t>
      </w:r>
      <w:r>
        <w:rPr>
          <w:rFonts w:cs="宋体"/>
          <w:szCs w:val="21"/>
          <w:highlight w:val="none"/>
        </w:rPr>
        <w:t>J</w:t>
      </w:r>
      <w:r>
        <w:rPr>
          <w:rFonts w:hint="eastAsia" w:cs="宋体"/>
          <w:szCs w:val="21"/>
          <w:highlight w:val="none"/>
        </w:rPr>
        <w:t>）、耐火试验（N</w:t>
      </w:r>
      <w:r>
        <w:rPr>
          <w:rFonts w:cs="宋体"/>
          <w:szCs w:val="21"/>
          <w:highlight w:val="none"/>
        </w:rPr>
        <w:t>S</w:t>
      </w:r>
      <w:r>
        <w:rPr>
          <w:rFonts w:hint="eastAsia" w:cs="宋体"/>
          <w:szCs w:val="21"/>
          <w:highlight w:val="none"/>
        </w:rPr>
        <w:t>）。</w:t>
      </w:r>
    </w:p>
    <w:p>
      <w:pPr>
        <w:spacing w:line="300" w:lineRule="auto"/>
        <w:ind w:firstLine="420" w:firstLineChars="200"/>
        <w:rPr>
          <w:rFonts w:ascii="Times New Roman" w:hAnsi="Times New Roman"/>
          <w:highlight w:val="none"/>
        </w:rPr>
      </w:pPr>
      <w:r>
        <w:rPr>
          <w:rFonts w:hint="eastAsia" w:ascii="Times New Roman" w:hAnsi="宋体" w:eastAsia="宋体"/>
          <w:szCs w:val="24"/>
          <w:highlight w:val="none"/>
        </w:rPr>
        <w:t>创新性指标划分成平均水平和先进水平两个等级，其中先进水平相当于企标排行榜中的5星级水平，平均水平相当于企标排行榜中4星级水平；</w:t>
      </w:r>
      <w:r>
        <w:rPr>
          <w:rFonts w:ascii="Times New Roman" w:hAnsi="宋体" w:eastAsia="宋体"/>
          <w:szCs w:val="24"/>
          <w:highlight w:val="none"/>
        </w:rPr>
        <w:t>鼓励根据条件成熟情况适时增 加与产品性能和消费者关注的相关创新性指标。</w:t>
      </w:r>
    </w:p>
    <w:p>
      <w:pPr>
        <w:pStyle w:val="3"/>
        <w:tabs>
          <w:tab w:val="center" w:pos="4819"/>
        </w:tabs>
        <w:spacing w:before="200" w:after="200" w:line="360" w:lineRule="auto"/>
        <w:rPr>
          <w:rFonts w:ascii="黑体" w:hAnsi="黑体" w:eastAsia="黑体"/>
          <w:b w:val="0"/>
          <w:sz w:val="21"/>
          <w:szCs w:val="21"/>
          <w:highlight w:val="none"/>
        </w:rPr>
      </w:pPr>
      <w:r>
        <w:rPr>
          <w:rFonts w:hint="eastAsia" w:ascii="黑体" w:hAnsi="黑体" w:eastAsia="黑体"/>
          <w:b w:val="0"/>
          <w:sz w:val="21"/>
          <w:szCs w:val="21"/>
          <w:highlight w:val="none"/>
        </w:rPr>
        <w:t>4</w:t>
      </w:r>
      <w:r>
        <w:rPr>
          <w:rFonts w:ascii="黑体" w:hAnsi="黑体" w:eastAsia="黑体"/>
          <w:b w:val="0"/>
          <w:sz w:val="21"/>
          <w:szCs w:val="21"/>
          <w:highlight w:val="none"/>
        </w:rPr>
        <w:t xml:space="preserve">.3 </w:t>
      </w:r>
      <w:r>
        <w:rPr>
          <w:rFonts w:hint="eastAsia" w:ascii="黑体" w:hAnsi="黑体" w:eastAsia="黑体"/>
          <w:b w:val="0"/>
          <w:sz w:val="21"/>
          <w:szCs w:val="21"/>
          <w:highlight w:val="none"/>
        </w:rPr>
        <w:t>评价指标要求</w:t>
      </w:r>
      <w:bookmarkEnd w:id="54"/>
    </w:p>
    <w:p>
      <w:pPr>
        <w:rPr>
          <w:rFonts w:ascii="Times New Roman" w:hAnsi="Times New Roman"/>
          <w:color w:val="000000" w:themeColor="text1"/>
          <w:highlight w:val="none"/>
        </w:rPr>
      </w:pPr>
      <w:r>
        <w:rPr>
          <w:rFonts w:hint="eastAsia" w:ascii="Times New Roman" w:hAnsi="Times New Roman"/>
          <w:color w:val="000000" w:themeColor="text1"/>
          <w:highlight w:val="none"/>
        </w:rPr>
        <w:t>4.3.1</w:t>
      </w:r>
      <w:r>
        <w:rPr>
          <w:rFonts w:hint="eastAsia"/>
          <w:highlight w:val="none"/>
        </w:rPr>
        <w:t>刚性矿物绝缘电缆</w:t>
      </w:r>
      <w:r>
        <w:rPr>
          <w:rFonts w:hint="eastAsia" w:ascii="Times New Roman" w:hAnsi="Times New Roman"/>
          <w:color w:val="000000" w:themeColor="text1"/>
          <w:highlight w:val="none"/>
        </w:rPr>
        <w:t>“领跑者”标准评价指标体系框架见表1。</w:t>
      </w:r>
    </w:p>
    <w:p>
      <w:pPr>
        <w:ind w:firstLine="420" w:firstLineChars="200"/>
        <w:jc w:val="center"/>
        <w:rPr>
          <w:rFonts w:ascii="黑体" w:hAnsi="黑体" w:eastAsia="黑体" w:cs="黑体"/>
          <w:szCs w:val="21"/>
          <w:highlight w:val="none"/>
        </w:rPr>
      </w:pPr>
      <w:r>
        <w:rPr>
          <w:rFonts w:hint="eastAsia" w:ascii="黑体" w:hAnsi="黑体" w:eastAsia="黑体" w:cs="黑体"/>
          <w:szCs w:val="21"/>
          <w:highlight w:val="none"/>
        </w:rPr>
        <w:t>表</w:t>
      </w:r>
      <w:r>
        <w:rPr>
          <w:rFonts w:ascii="黑体" w:hAnsi="黑体" w:eastAsia="黑体" w:cs="黑体"/>
          <w:szCs w:val="21"/>
          <w:highlight w:val="none"/>
        </w:rPr>
        <w:t>1</w:t>
      </w:r>
      <w:bookmarkStart w:id="60" w:name="_Hlk42778042"/>
      <w:r>
        <w:rPr>
          <w:rFonts w:hint="eastAsia"/>
          <w:highlight w:val="none"/>
        </w:rPr>
        <w:t>刚性矿物绝缘电缆评价指标体系框架</w:t>
      </w:r>
      <w:bookmarkEnd w:id="60"/>
    </w:p>
    <w:tbl>
      <w:tblPr>
        <w:tblStyle w:val="22"/>
        <w:tblW w:w="10001"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816"/>
        <w:gridCol w:w="1567"/>
        <w:gridCol w:w="1675"/>
        <w:gridCol w:w="1189"/>
        <w:gridCol w:w="1190"/>
        <w:gridCol w:w="1190"/>
        <w:gridCol w:w="1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566"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序号</w:t>
            </w:r>
          </w:p>
        </w:tc>
        <w:tc>
          <w:tcPr>
            <w:tcW w:w="816"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指标类型</w:t>
            </w:r>
          </w:p>
        </w:tc>
        <w:tc>
          <w:tcPr>
            <w:tcW w:w="1567"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评价指标</w:t>
            </w:r>
          </w:p>
        </w:tc>
        <w:tc>
          <w:tcPr>
            <w:tcW w:w="1675"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指标来源</w:t>
            </w:r>
          </w:p>
        </w:tc>
        <w:tc>
          <w:tcPr>
            <w:tcW w:w="3569" w:type="dxa"/>
            <w:gridSpan w:val="3"/>
            <w:tcBorders>
              <w:bottom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指标水平分级</w:t>
            </w:r>
          </w:p>
        </w:tc>
        <w:tc>
          <w:tcPr>
            <w:tcW w:w="1808" w:type="dxa"/>
            <w:vMerge w:val="restart"/>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判定依据和方法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675"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189" w:type="dxa"/>
            <w:tcBorders>
              <w:top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先进水平</w:t>
            </w:r>
          </w:p>
        </w:tc>
        <w:tc>
          <w:tcPr>
            <w:tcW w:w="1190" w:type="dxa"/>
            <w:tcBorders>
              <w:top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平均水平</w:t>
            </w:r>
          </w:p>
        </w:tc>
        <w:tc>
          <w:tcPr>
            <w:tcW w:w="1190" w:type="dxa"/>
            <w:tcBorders>
              <w:top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基准水平</w:t>
            </w:r>
          </w:p>
        </w:tc>
        <w:tc>
          <w:tcPr>
            <w:tcW w:w="1808" w:type="dxa"/>
            <w:vMerge w:val="continue"/>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1</w:t>
            </w:r>
          </w:p>
        </w:tc>
        <w:tc>
          <w:tcPr>
            <w:tcW w:w="816"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基础指标</w:t>
            </w: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结构尺寸</w:t>
            </w:r>
          </w:p>
        </w:tc>
        <w:tc>
          <w:tcPr>
            <w:tcW w:w="1675"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c>
          <w:tcPr>
            <w:tcW w:w="3569" w:type="dxa"/>
            <w:gridSpan w:val="3"/>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符合标准要求</w:t>
            </w: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2</w:t>
            </w:r>
          </w:p>
        </w:tc>
        <w:tc>
          <w:tcPr>
            <w:tcW w:w="816" w:type="dxa"/>
            <w:vMerge w:val="continue"/>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绝缘电阻</w:t>
            </w:r>
          </w:p>
        </w:tc>
        <w:tc>
          <w:tcPr>
            <w:tcW w:w="1675" w:type="dxa"/>
            <w:vMerge w:val="continue"/>
            <w:shd w:val="clear" w:color="auto" w:fill="auto"/>
          </w:tcPr>
          <w:p>
            <w:pPr>
              <w:pStyle w:val="33"/>
              <w:spacing w:before="156" w:after="156"/>
              <w:jc w:val="center"/>
              <w:rPr>
                <w:rFonts w:asciiTheme="minorEastAsia" w:hAnsiTheme="minorEastAsia" w:cstheme="majorEastAsia"/>
                <w:bCs/>
                <w:color w:val="000000" w:themeColor="text1"/>
                <w:szCs w:val="21"/>
                <w:highlight w:val="none"/>
              </w:rPr>
            </w:pPr>
          </w:p>
        </w:tc>
        <w:tc>
          <w:tcPr>
            <w:tcW w:w="3569" w:type="dxa"/>
            <w:gridSpan w:val="3"/>
            <w:vMerge w:val="continue"/>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3</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护套完整性</w:t>
            </w:r>
          </w:p>
        </w:tc>
        <w:tc>
          <w:tcPr>
            <w:tcW w:w="1675" w:type="dxa"/>
            <w:vMerge w:val="continue"/>
            <w:shd w:val="clear" w:color="auto" w:fill="auto"/>
          </w:tcPr>
          <w:p>
            <w:pPr>
              <w:pStyle w:val="33"/>
              <w:spacing w:before="156" w:after="156"/>
              <w:jc w:val="center"/>
              <w:rPr>
                <w:rFonts w:asciiTheme="minorEastAsia" w:hAnsiTheme="minorEastAsia" w:cstheme="majorEastAsia"/>
                <w:bCs/>
                <w:color w:val="000000" w:themeColor="text1"/>
                <w:szCs w:val="21"/>
                <w:highlight w:val="none"/>
              </w:rPr>
            </w:pPr>
          </w:p>
        </w:tc>
        <w:tc>
          <w:tcPr>
            <w:tcW w:w="3569" w:type="dxa"/>
            <w:gridSpan w:val="3"/>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4</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电压试验</w:t>
            </w:r>
          </w:p>
        </w:tc>
        <w:tc>
          <w:tcPr>
            <w:tcW w:w="1675" w:type="dxa"/>
            <w:vMerge w:val="continue"/>
            <w:shd w:val="clear" w:color="auto" w:fill="auto"/>
          </w:tcPr>
          <w:p>
            <w:pPr>
              <w:pStyle w:val="33"/>
              <w:spacing w:before="156" w:after="156"/>
              <w:jc w:val="center"/>
              <w:rPr>
                <w:rFonts w:asciiTheme="minorEastAsia" w:hAnsiTheme="minorEastAsia" w:cstheme="majorEastAsia"/>
                <w:bCs/>
                <w:color w:val="000000" w:themeColor="text1"/>
                <w:szCs w:val="21"/>
                <w:highlight w:val="none"/>
              </w:rPr>
            </w:pPr>
          </w:p>
        </w:tc>
        <w:tc>
          <w:tcPr>
            <w:tcW w:w="3569" w:type="dxa"/>
            <w:gridSpan w:val="3"/>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5</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szCs w:val="18"/>
                <w:highlight w:val="none"/>
              </w:rPr>
              <w:t>火花试验</w:t>
            </w:r>
          </w:p>
        </w:tc>
        <w:tc>
          <w:tcPr>
            <w:tcW w:w="1675" w:type="dxa"/>
            <w:vMerge w:val="continue"/>
            <w:shd w:val="clear" w:color="auto" w:fill="auto"/>
          </w:tcPr>
          <w:p>
            <w:pPr>
              <w:pStyle w:val="33"/>
              <w:spacing w:before="156" w:after="156"/>
              <w:jc w:val="center"/>
              <w:rPr>
                <w:rFonts w:asciiTheme="minorEastAsia" w:hAnsiTheme="minorEastAsia" w:cstheme="majorEastAsia"/>
                <w:bCs/>
                <w:color w:val="000000" w:themeColor="text1"/>
                <w:szCs w:val="21"/>
                <w:highlight w:val="none"/>
              </w:rPr>
            </w:pPr>
          </w:p>
        </w:tc>
        <w:tc>
          <w:tcPr>
            <w:tcW w:w="3569" w:type="dxa"/>
            <w:gridSpan w:val="3"/>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6</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szCs w:val="18"/>
                <w:highlight w:val="none"/>
              </w:rPr>
              <w:t>弯曲试验</w:t>
            </w:r>
          </w:p>
        </w:tc>
        <w:tc>
          <w:tcPr>
            <w:tcW w:w="1675" w:type="dxa"/>
            <w:vMerge w:val="continue"/>
            <w:shd w:val="clear" w:color="auto" w:fill="auto"/>
          </w:tcPr>
          <w:p>
            <w:pPr>
              <w:pStyle w:val="33"/>
              <w:spacing w:before="156" w:after="156"/>
              <w:jc w:val="center"/>
              <w:rPr>
                <w:rFonts w:asciiTheme="minorEastAsia" w:hAnsiTheme="minorEastAsia" w:cstheme="majorEastAsia"/>
                <w:bCs/>
                <w:color w:val="000000" w:themeColor="text1"/>
                <w:szCs w:val="21"/>
                <w:highlight w:val="none"/>
              </w:rPr>
            </w:pPr>
          </w:p>
        </w:tc>
        <w:tc>
          <w:tcPr>
            <w:tcW w:w="3569" w:type="dxa"/>
            <w:gridSpan w:val="3"/>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7</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szCs w:val="18"/>
                <w:highlight w:val="none"/>
              </w:rPr>
              <w:t>压扁试验</w:t>
            </w:r>
          </w:p>
        </w:tc>
        <w:tc>
          <w:tcPr>
            <w:tcW w:w="1675" w:type="dxa"/>
            <w:vMerge w:val="continue"/>
            <w:shd w:val="clear" w:color="auto" w:fill="auto"/>
          </w:tcPr>
          <w:p>
            <w:pPr>
              <w:pStyle w:val="33"/>
              <w:spacing w:before="156" w:after="156"/>
              <w:jc w:val="center"/>
              <w:rPr>
                <w:rFonts w:asciiTheme="minorEastAsia" w:hAnsiTheme="minorEastAsia" w:cstheme="majorEastAsia"/>
                <w:bCs/>
                <w:color w:val="000000" w:themeColor="text1"/>
                <w:szCs w:val="21"/>
                <w:highlight w:val="none"/>
              </w:rPr>
            </w:pPr>
          </w:p>
        </w:tc>
        <w:tc>
          <w:tcPr>
            <w:tcW w:w="3569" w:type="dxa"/>
            <w:gridSpan w:val="3"/>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8</w:t>
            </w:r>
          </w:p>
        </w:tc>
        <w:tc>
          <w:tcPr>
            <w:tcW w:w="816"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核心指标</w:t>
            </w: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导体直流电阻</w:t>
            </w:r>
          </w:p>
        </w:tc>
        <w:tc>
          <w:tcPr>
            <w:tcW w:w="1675"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c>
          <w:tcPr>
            <w:tcW w:w="1189"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小于国标</w:t>
            </w:r>
            <w:r>
              <w:rPr>
                <w:rFonts w:asciiTheme="minorEastAsia" w:hAnsiTheme="minorEastAsia" w:cstheme="majorEastAsia"/>
                <w:bCs/>
                <w:color w:val="000000" w:themeColor="text1"/>
                <w:szCs w:val="21"/>
                <w:highlight w:val="none"/>
              </w:rPr>
              <w:t>1</w:t>
            </w:r>
            <w:r>
              <w:rPr>
                <w:rFonts w:hint="eastAsia" w:asciiTheme="minorEastAsia" w:hAnsiTheme="minorEastAsia" w:cstheme="majorEastAsia"/>
                <w:bCs/>
                <w:color w:val="000000" w:themeColor="text1"/>
                <w:szCs w:val="21"/>
                <w:highlight w:val="none"/>
              </w:rPr>
              <w:t>%以上</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小于国标</w:t>
            </w:r>
            <w:r>
              <w:rPr>
                <w:rFonts w:asciiTheme="minorEastAsia" w:hAnsiTheme="minorEastAsia" w:cstheme="majorEastAsia"/>
                <w:bCs/>
                <w:color w:val="000000" w:themeColor="text1"/>
                <w:szCs w:val="21"/>
                <w:highlight w:val="none"/>
              </w:rPr>
              <w:t>0.5</w:t>
            </w:r>
            <w:r>
              <w:rPr>
                <w:rFonts w:hint="eastAsia" w:asciiTheme="minorEastAsia" w:hAnsiTheme="minorEastAsia" w:cstheme="majorEastAsia"/>
                <w:bCs/>
                <w:color w:val="000000" w:themeColor="text1"/>
                <w:szCs w:val="21"/>
                <w:highlight w:val="none"/>
              </w:rPr>
              <w:t>%~</w:t>
            </w:r>
            <w:r>
              <w:rPr>
                <w:rFonts w:asciiTheme="minorEastAsia" w:hAnsiTheme="minorEastAsia" w:cstheme="majorEastAsia"/>
                <w:bCs/>
                <w:color w:val="000000" w:themeColor="text1"/>
                <w:szCs w:val="21"/>
                <w:highlight w:val="none"/>
              </w:rPr>
              <w:t>1</w:t>
            </w:r>
            <w:r>
              <w:rPr>
                <w:rFonts w:hint="eastAsia" w:asciiTheme="minorEastAsia" w:hAnsiTheme="minorEastAsia" w:cstheme="majorEastAsia"/>
                <w:bCs/>
                <w:color w:val="000000" w:themeColor="text1"/>
                <w:szCs w:val="21"/>
                <w:highlight w:val="none"/>
              </w:rPr>
              <w:t>%</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小于国标</w:t>
            </w:r>
            <w:r>
              <w:rPr>
                <w:rFonts w:asciiTheme="minorEastAsia" w:hAnsiTheme="minorEastAsia" w:cstheme="majorEastAsia"/>
                <w:bCs/>
                <w:color w:val="000000" w:themeColor="text1"/>
                <w:szCs w:val="21"/>
                <w:highlight w:val="none"/>
              </w:rPr>
              <w:t>0.5</w:t>
            </w:r>
            <w:r>
              <w:rPr>
                <w:rFonts w:hint="eastAsia" w:asciiTheme="minorEastAsia" w:hAnsiTheme="minorEastAsia" w:cstheme="majorEastAsia"/>
                <w:bCs/>
                <w:color w:val="000000" w:themeColor="text1"/>
                <w:szCs w:val="21"/>
                <w:highlight w:val="none"/>
              </w:rPr>
              <w:t>%以内</w:t>
            </w: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3956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9</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护套直流电阻</w:t>
            </w:r>
          </w:p>
        </w:tc>
        <w:tc>
          <w:tcPr>
            <w:tcW w:w="1675"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c>
          <w:tcPr>
            <w:tcW w:w="1189"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小于国标</w:t>
            </w:r>
            <w:r>
              <w:rPr>
                <w:rFonts w:asciiTheme="minorEastAsia" w:hAnsiTheme="minorEastAsia" w:cstheme="majorEastAsia"/>
                <w:bCs/>
                <w:color w:val="000000" w:themeColor="text1"/>
                <w:szCs w:val="21"/>
                <w:highlight w:val="none"/>
              </w:rPr>
              <w:t>1</w:t>
            </w:r>
            <w:r>
              <w:rPr>
                <w:rFonts w:hint="eastAsia" w:asciiTheme="minorEastAsia" w:hAnsiTheme="minorEastAsia" w:cstheme="majorEastAsia"/>
                <w:bCs/>
                <w:color w:val="000000" w:themeColor="text1"/>
                <w:szCs w:val="21"/>
                <w:highlight w:val="none"/>
              </w:rPr>
              <w:t>%以上</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小于国标</w:t>
            </w:r>
            <w:r>
              <w:rPr>
                <w:rFonts w:asciiTheme="minorEastAsia" w:hAnsiTheme="minorEastAsia" w:cstheme="majorEastAsia"/>
                <w:bCs/>
                <w:color w:val="000000" w:themeColor="text1"/>
                <w:szCs w:val="21"/>
                <w:highlight w:val="none"/>
              </w:rPr>
              <w:t>0.5</w:t>
            </w:r>
            <w:r>
              <w:rPr>
                <w:rFonts w:hint="eastAsia" w:asciiTheme="minorEastAsia" w:hAnsiTheme="minorEastAsia" w:cstheme="majorEastAsia"/>
                <w:bCs/>
                <w:color w:val="000000" w:themeColor="text1"/>
                <w:szCs w:val="21"/>
                <w:highlight w:val="none"/>
              </w:rPr>
              <w:t>%~</w:t>
            </w:r>
            <w:r>
              <w:rPr>
                <w:rFonts w:asciiTheme="minorEastAsia" w:hAnsiTheme="minorEastAsia" w:cstheme="majorEastAsia"/>
                <w:bCs/>
                <w:color w:val="000000" w:themeColor="text1"/>
                <w:szCs w:val="21"/>
                <w:highlight w:val="none"/>
              </w:rPr>
              <w:t>1</w:t>
            </w:r>
            <w:r>
              <w:rPr>
                <w:rFonts w:hint="eastAsia" w:asciiTheme="minorEastAsia" w:hAnsiTheme="minorEastAsia" w:cstheme="majorEastAsia"/>
                <w:bCs/>
                <w:color w:val="000000" w:themeColor="text1"/>
                <w:szCs w:val="21"/>
                <w:highlight w:val="none"/>
              </w:rPr>
              <w:t>%</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小于国标</w:t>
            </w:r>
            <w:r>
              <w:rPr>
                <w:rFonts w:asciiTheme="minorEastAsia" w:hAnsiTheme="minorEastAsia" w:cstheme="majorEastAsia"/>
                <w:bCs/>
                <w:color w:val="000000" w:themeColor="text1"/>
                <w:szCs w:val="21"/>
                <w:highlight w:val="none"/>
              </w:rPr>
              <w:t>0.5</w:t>
            </w:r>
            <w:r>
              <w:rPr>
                <w:rFonts w:hint="eastAsia" w:asciiTheme="minorEastAsia" w:hAnsiTheme="minorEastAsia" w:cstheme="majorEastAsia"/>
                <w:bCs/>
                <w:color w:val="000000" w:themeColor="text1"/>
                <w:szCs w:val="21"/>
                <w:highlight w:val="none"/>
              </w:rPr>
              <w:t>%以内</w:t>
            </w: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10</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耐火试验</w:t>
            </w:r>
            <w:r>
              <w:rPr>
                <w:rFonts w:hint="eastAsia" w:cs="宋体"/>
                <w:szCs w:val="21"/>
                <w:highlight w:val="none"/>
              </w:rPr>
              <w:t>（N）</w:t>
            </w:r>
          </w:p>
        </w:tc>
        <w:tc>
          <w:tcPr>
            <w:tcW w:w="1675"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tc>
        <w:tc>
          <w:tcPr>
            <w:tcW w:w="1189"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≥1</w:t>
            </w:r>
            <w:r>
              <w:rPr>
                <w:rFonts w:asciiTheme="minorEastAsia" w:hAnsiTheme="minorEastAsia" w:cstheme="majorEastAsia"/>
                <w:bCs/>
                <w:color w:val="000000" w:themeColor="text1"/>
                <w:szCs w:val="21"/>
                <w:highlight w:val="none"/>
              </w:rPr>
              <w:t>80</w:t>
            </w:r>
            <w:r>
              <w:rPr>
                <w:rFonts w:hint="eastAsia" w:asciiTheme="minorEastAsia" w:hAnsiTheme="minorEastAsia" w:cstheme="majorEastAsia"/>
                <w:bCs/>
                <w:color w:val="000000" w:themeColor="text1"/>
                <w:szCs w:val="21"/>
                <w:highlight w:val="none"/>
              </w:rPr>
              <w:t>min</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w:t>
            </w:r>
            <w:r>
              <w:rPr>
                <w:rFonts w:asciiTheme="minorEastAsia" w:hAnsiTheme="minorEastAsia" w:cstheme="majorEastAsia"/>
                <w:bCs/>
                <w:color w:val="000000" w:themeColor="text1"/>
                <w:szCs w:val="21"/>
                <w:highlight w:val="none"/>
              </w:rPr>
              <w:t>120</w:t>
            </w:r>
            <w:r>
              <w:rPr>
                <w:rFonts w:hint="eastAsia" w:asciiTheme="minorEastAsia" w:hAnsiTheme="minorEastAsia" w:cstheme="majorEastAsia"/>
                <w:bCs/>
                <w:color w:val="000000" w:themeColor="text1"/>
                <w:szCs w:val="21"/>
                <w:highlight w:val="none"/>
              </w:rPr>
              <w:t>min</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w:t>
            </w:r>
            <w:r>
              <w:rPr>
                <w:rFonts w:asciiTheme="minorEastAsia" w:hAnsiTheme="minorEastAsia" w:cstheme="majorEastAsia"/>
                <w:bCs/>
                <w:color w:val="000000" w:themeColor="text1"/>
                <w:szCs w:val="21"/>
                <w:highlight w:val="none"/>
              </w:rPr>
              <w:t>90</w:t>
            </w:r>
            <w:r>
              <w:rPr>
                <w:rFonts w:hint="eastAsia" w:asciiTheme="minorEastAsia" w:hAnsiTheme="minorEastAsia" w:cstheme="majorEastAsia"/>
                <w:bCs/>
                <w:color w:val="000000" w:themeColor="text1"/>
                <w:szCs w:val="21"/>
                <w:highlight w:val="none"/>
              </w:rPr>
              <w:t>min</w:t>
            </w:r>
          </w:p>
        </w:tc>
        <w:tc>
          <w:tcPr>
            <w:tcW w:w="1808" w:type="dxa"/>
          </w:tcPr>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13033.1</w:t>
            </w:r>
          </w:p>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G</w:t>
            </w:r>
            <w:r>
              <w:rPr>
                <w:rFonts w:asciiTheme="minorEastAsia" w:hAnsiTheme="minorEastAsia" w:cstheme="majorEastAsia"/>
                <w:bCs/>
                <w:color w:val="000000" w:themeColor="text1"/>
                <w:szCs w:val="21"/>
                <w:highlight w:val="none"/>
              </w:rPr>
              <w:t>B/T 19216.21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11</w:t>
            </w:r>
          </w:p>
        </w:tc>
        <w:tc>
          <w:tcPr>
            <w:tcW w:w="816" w:type="dxa"/>
            <w:vMerge w:val="restart"/>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创新性指标</w:t>
            </w:r>
          </w:p>
        </w:tc>
        <w:tc>
          <w:tcPr>
            <w:tcW w:w="1567" w:type="dxa"/>
            <w:shd w:val="clear" w:color="auto" w:fill="auto"/>
          </w:tcPr>
          <w:p>
            <w:pPr>
              <w:pStyle w:val="33"/>
              <w:spacing w:before="156" w:after="156"/>
              <w:ind w:firstLine="0" w:firstLineChars="0"/>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耐火试验（N</w:t>
            </w:r>
            <w:r>
              <w:rPr>
                <w:rFonts w:asciiTheme="minorEastAsia" w:hAnsiTheme="minorEastAsia" w:cstheme="majorEastAsia"/>
                <w:bCs/>
                <w:color w:val="000000" w:themeColor="text1"/>
                <w:szCs w:val="21"/>
                <w:highlight w:val="none"/>
              </w:rPr>
              <w:t>J</w:t>
            </w:r>
            <w:r>
              <w:rPr>
                <w:rFonts w:hint="eastAsia" w:asciiTheme="minorEastAsia" w:hAnsiTheme="minorEastAsia" w:cstheme="majorEastAsia"/>
                <w:bCs/>
                <w:color w:val="000000" w:themeColor="text1"/>
                <w:szCs w:val="21"/>
                <w:highlight w:val="none"/>
              </w:rPr>
              <w:t>）</w:t>
            </w:r>
          </w:p>
        </w:tc>
        <w:tc>
          <w:tcPr>
            <w:tcW w:w="1675"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GB</w:t>
            </w:r>
            <w:r>
              <w:rPr>
                <w:rFonts w:asciiTheme="minorEastAsia" w:hAnsiTheme="minorEastAsia" w:cstheme="majorEastAsia"/>
                <w:bCs/>
                <w:color w:val="000000" w:themeColor="text1"/>
                <w:highlight w:val="none"/>
              </w:rPr>
              <w:t>/T 19666</w:t>
            </w:r>
          </w:p>
        </w:tc>
        <w:tc>
          <w:tcPr>
            <w:tcW w:w="1189"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≥1</w:t>
            </w:r>
            <w:r>
              <w:rPr>
                <w:rFonts w:asciiTheme="minorEastAsia" w:hAnsiTheme="minorEastAsia" w:cstheme="majorEastAsia"/>
                <w:bCs/>
                <w:color w:val="000000" w:themeColor="text1"/>
                <w:szCs w:val="21"/>
                <w:highlight w:val="none"/>
              </w:rPr>
              <w:t>80</w:t>
            </w:r>
            <w:r>
              <w:rPr>
                <w:rFonts w:hint="eastAsia" w:asciiTheme="minorEastAsia" w:hAnsiTheme="minorEastAsia" w:cstheme="majorEastAsia"/>
                <w:bCs/>
                <w:color w:val="000000" w:themeColor="text1"/>
                <w:szCs w:val="21"/>
                <w:highlight w:val="none"/>
              </w:rPr>
              <w:t>min</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w:t>
            </w:r>
            <w:r>
              <w:rPr>
                <w:rFonts w:asciiTheme="minorEastAsia" w:hAnsiTheme="minorEastAsia" w:cstheme="majorEastAsia"/>
                <w:bCs/>
                <w:color w:val="000000" w:themeColor="text1"/>
                <w:szCs w:val="21"/>
                <w:highlight w:val="none"/>
              </w:rPr>
              <w:t>120</w:t>
            </w:r>
            <w:r>
              <w:rPr>
                <w:rFonts w:hint="eastAsia" w:asciiTheme="minorEastAsia" w:hAnsiTheme="minorEastAsia" w:cstheme="majorEastAsia"/>
                <w:bCs/>
                <w:color w:val="000000" w:themeColor="text1"/>
                <w:szCs w:val="21"/>
                <w:highlight w:val="none"/>
              </w:rPr>
              <w:t>min</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w:t>
            </w:r>
          </w:p>
        </w:tc>
        <w:tc>
          <w:tcPr>
            <w:tcW w:w="1808" w:type="dxa"/>
          </w:tcPr>
          <w:p>
            <w:pPr>
              <w:pStyle w:val="33"/>
              <w:spacing w:before="156" w:after="156"/>
              <w:ind w:firstLine="0" w:firstLineChars="0"/>
              <w:jc w:val="left"/>
              <w:rPr>
                <w:rFonts w:asciiTheme="minorEastAsia" w:hAnsiTheme="minorEastAsia" w:cstheme="majorEastAsia"/>
                <w:bCs/>
                <w:color w:val="000000" w:themeColor="text1"/>
                <w:highlight w:val="none"/>
              </w:rPr>
            </w:pPr>
            <w:r>
              <w:rPr>
                <w:rFonts w:asciiTheme="minorEastAsia" w:hAnsiTheme="minorEastAsia" w:cstheme="majorEastAsia"/>
                <w:bCs/>
                <w:color w:val="000000" w:themeColor="text1"/>
                <w:szCs w:val="21"/>
                <w:highlight w:val="none"/>
              </w:rPr>
              <w:t>GB</w:t>
            </w:r>
            <w:r>
              <w:rPr>
                <w:rFonts w:asciiTheme="minorEastAsia" w:hAnsiTheme="minorEastAsia" w:cstheme="majorEastAsia"/>
                <w:bCs/>
                <w:color w:val="000000" w:themeColor="text1"/>
                <w:highlight w:val="none"/>
              </w:rPr>
              <w:t>/T 19666</w:t>
            </w:r>
          </w:p>
          <w:p>
            <w:pPr>
              <w:pStyle w:val="33"/>
              <w:spacing w:before="156" w:after="156"/>
              <w:ind w:firstLine="0" w:firstLineChars="0"/>
              <w:jc w:val="left"/>
              <w:rPr>
                <w:rFonts w:asciiTheme="minorEastAsia" w:hAnsiTheme="minorEastAsia" w:cstheme="majorEastAsia"/>
                <w:bCs/>
                <w:color w:val="000000" w:themeColor="text1"/>
                <w:highlight w:val="none"/>
              </w:rPr>
            </w:pPr>
            <w:r>
              <w:rPr>
                <w:rFonts w:hint="eastAsia" w:asciiTheme="minorEastAsia" w:hAnsiTheme="minorEastAsia" w:cstheme="majorEastAsia"/>
                <w:bCs/>
                <w:color w:val="000000" w:themeColor="text1"/>
                <w:szCs w:val="21"/>
                <w:highlight w:val="none"/>
              </w:rPr>
              <w:t>I</w:t>
            </w:r>
            <w:r>
              <w:rPr>
                <w:rFonts w:asciiTheme="minorEastAsia" w:hAnsiTheme="minorEastAsia" w:cstheme="majorEastAsia"/>
                <w:bCs/>
                <w:color w:val="000000" w:themeColor="text1"/>
                <w:highlight w:val="none"/>
              </w:rPr>
              <w:t>EC 60331-1</w:t>
            </w:r>
          </w:p>
          <w:p>
            <w:pPr>
              <w:pStyle w:val="33"/>
              <w:spacing w:before="156" w:after="156"/>
              <w:ind w:firstLine="0" w:firstLineChars="0"/>
              <w:jc w:val="left"/>
              <w:rPr>
                <w:rFonts w:asciiTheme="minorEastAsia" w:hAnsiTheme="minorEastAsia" w:cstheme="majorEastAsia"/>
                <w:bCs/>
                <w:color w:val="000000" w:themeColor="text1"/>
                <w:highlight w:val="none"/>
              </w:rPr>
            </w:pPr>
            <w:r>
              <w:rPr>
                <w:rFonts w:hint="eastAsia" w:asciiTheme="minorEastAsia" w:hAnsiTheme="minorEastAsia" w:cstheme="majorEastAsia"/>
                <w:bCs/>
                <w:color w:val="000000" w:themeColor="text1"/>
                <w:szCs w:val="21"/>
                <w:highlight w:val="none"/>
              </w:rPr>
              <w:t>I</w:t>
            </w:r>
            <w:r>
              <w:rPr>
                <w:rFonts w:asciiTheme="minorEastAsia" w:hAnsiTheme="minorEastAsia" w:cstheme="majorEastAsia"/>
                <w:bCs/>
                <w:color w:val="000000" w:themeColor="text1"/>
                <w:highlight w:val="none"/>
              </w:rPr>
              <w:t>EC 60331-2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12</w:t>
            </w:r>
          </w:p>
        </w:tc>
        <w:tc>
          <w:tcPr>
            <w:tcW w:w="816"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p>
        </w:tc>
        <w:tc>
          <w:tcPr>
            <w:tcW w:w="1567" w:type="dxa"/>
            <w:shd w:val="clear" w:color="auto" w:fill="auto"/>
          </w:tcPr>
          <w:p>
            <w:pPr>
              <w:pStyle w:val="33"/>
              <w:spacing w:before="156" w:after="156"/>
              <w:ind w:firstLine="0" w:firstLineChars="0"/>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耐火试验（N</w:t>
            </w:r>
            <w:r>
              <w:rPr>
                <w:rFonts w:asciiTheme="minorEastAsia" w:hAnsiTheme="minorEastAsia" w:cstheme="majorEastAsia"/>
                <w:bCs/>
                <w:color w:val="000000" w:themeColor="text1"/>
                <w:szCs w:val="21"/>
                <w:highlight w:val="none"/>
              </w:rPr>
              <w:t>S</w:t>
            </w:r>
            <w:r>
              <w:rPr>
                <w:rFonts w:hint="eastAsia" w:asciiTheme="minorEastAsia" w:hAnsiTheme="minorEastAsia" w:cstheme="majorEastAsia"/>
                <w:bCs/>
                <w:color w:val="000000" w:themeColor="text1"/>
                <w:szCs w:val="21"/>
                <w:highlight w:val="none"/>
              </w:rPr>
              <w:t>）</w:t>
            </w:r>
          </w:p>
        </w:tc>
        <w:tc>
          <w:tcPr>
            <w:tcW w:w="1675"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asciiTheme="minorEastAsia" w:hAnsiTheme="minorEastAsia" w:cstheme="majorEastAsia"/>
                <w:bCs/>
                <w:color w:val="000000" w:themeColor="text1"/>
                <w:szCs w:val="21"/>
                <w:highlight w:val="none"/>
              </w:rPr>
              <w:t>GB</w:t>
            </w:r>
            <w:r>
              <w:rPr>
                <w:rFonts w:asciiTheme="minorEastAsia" w:hAnsiTheme="minorEastAsia" w:cstheme="majorEastAsia"/>
                <w:bCs/>
                <w:color w:val="000000" w:themeColor="text1"/>
                <w:highlight w:val="none"/>
              </w:rPr>
              <w:t>/T 19666</w:t>
            </w:r>
          </w:p>
        </w:tc>
        <w:tc>
          <w:tcPr>
            <w:tcW w:w="1189"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≥1</w:t>
            </w:r>
            <w:r>
              <w:rPr>
                <w:rFonts w:asciiTheme="minorEastAsia" w:hAnsiTheme="minorEastAsia" w:cstheme="majorEastAsia"/>
                <w:bCs/>
                <w:color w:val="000000" w:themeColor="text1"/>
                <w:szCs w:val="21"/>
                <w:highlight w:val="none"/>
              </w:rPr>
              <w:t>80</w:t>
            </w:r>
            <w:r>
              <w:rPr>
                <w:rFonts w:hint="eastAsia" w:asciiTheme="minorEastAsia" w:hAnsiTheme="minorEastAsia" w:cstheme="majorEastAsia"/>
                <w:bCs/>
                <w:color w:val="000000" w:themeColor="text1"/>
                <w:szCs w:val="21"/>
                <w:highlight w:val="none"/>
              </w:rPr>
              <w:t>min</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w:t>
            </w:r>
            <w:r>
              <w:rPr>
                <w:rFonts w:asciiTheme="minorEastAsia" w:hAnsiTheme="minorEastAsia" w:cstheme="majorEastAsia"/>
                <w:bCs/>
                <w:color w:val="000000" w:themeColor="text1"/>
                <w:szCs w:val="21"/>
                <w:highlight w:val="none"/>
              </w:rPr>
              <w:t>120</w:t>
            </w:r>
            <w:r>
              <w:rPr>
                <w:rFonts w:hint="eastAsia" w:asciiTheme="minorEastAsia" w:hAnsiTheme="minorEastAsia" w:cstheme="majorEastAsia"/>
                <w:bCs/>
                <w:color w:val="000000" w:themeColor="text1"/>
                <w:szCs w:val="21"/>
                <w:highlight w:val="none"/>
              </w:rPr>
              <w:t>min</w:t>
            </w:r>
          </w:p>
        </w:tc>
        <w:tc>
          <w:tcPr>
            <w:tcW w:w="1190" w:type="dxa"/>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w:t>
            </w:r>
          </w:p>
        </w:tc>
        <w:tc>
          <w:tcPr>
            <w:tcW w:w="1808" w:type="dxa"/>
          </w:tcPr>
          <w:p>
            <w:pPr>
              <w:pStyle w:val="33"/>
              <w:spacing w:before="156" w:after="156"/>
              <w:ind w:firstLine="0" w:firstLineChars="0"/>
              <w:jc w:val="left"/>
              <w:rPr>
                <w:rFonts w:asciiTheme="minorEastAsia" w:hAnsiTheme="minorEastAsia" w:cstheme="majorEastAsia"/>
                <w:bCs/>
                <w:color w:val="000000" w:themeColor="text1"/>
                <w:highlight w:val="none"/>
              </w:rPr>
            </w:pPr>
            <w:r>
              <w:rPr>
                <w:rFonts w:asciiTheme="minorEastAsia" w:hAnsiTheme="minorEastAsia" w:cstheme="majorEastAsia"/>
                <w:bCs/>
                <w:color w:val="000000" w:themeColor="text1"/>
                <w:szCs w:val="21"/>
                <w:highlight w:val="none"/>
              </w:rPr>
              <w:t>GB</w:t>
            </w:r>
            <w:r>
              <w:rPr>
                <w:rFonts w:asciiTheme="minorEastAsia" w:hAnsiTheme="minorEastAsia" w:cstheme="majorEastAsia"/>
                <w:bCs/>
                <w:color w:val="000000" w:themeColor="text1"/>
                <w:highlight w:val="none"/>
              </w:rPr>
              <w:t>/T 19666</w:t>
            </w:r>
          </w:p>
          <w:p>
            <w:pPr>
              <w:pStyle w:val="33"/>
              <w:spacing w:before="156" w:after="156"/>
              <w:ind w:firstLine="0" w:firstLineChars="0"/>
              <w:jc w:val="left"/>
              <w:rPr>
                <w:rFonts w:asciiTheme="minorEastAsia" w:hAnsiTheme="minorEastAsia" w:cstheme="majorEastAsia"/>
                <w:bCs/>
                <w:color w:val="000000" w:themeColor="text1"/>
                <w:highlight w:val="none"/>
              </w:rPr>
            </w:pPr>
            <w:r>
              <w:rPr>
                <w:rFonts w:hint="eastAsia" w:asciiTheme="minorEastAsia" w:hAnsiTheme="minorEastAsia" w:cstheme="majorEastAsia"/>
                <w:bCs/>
                <w:color w:val="000000" w:themeColor="text1"/>
                <w:szCs w:val="21"/>
                <w:highlight w:val="none"/>
              </w:rPr>
              <w:t>I</w:t>
            </w:r>
            <w:r>
              <w:rPr>
                <w:rFonts w:asciiTheme="minorEastAsia" w:hAnsiTheme="minorEastAsia" w:cstheme="majorEastAsia"/>
                <w:bCs/>
                <w:color w:val="000000" w:themeColor="text1"/>
                <w:highlight w:val="none"/>
              </w:rPr>
              <w:t>EC 60331-1</w:t>
            </w:r>
          </w:p>
          <w:p>
            <w:pPr>
              <w:pStyle w:val="33"/>
              <w:spacing w:before="156" w:after="156"/>
              <w:ind w:firstLine="0" w:firstLineChars="0"/>
              <w:jc w:val="left"/>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I</w:t>
            </w:r>
            <w:r>
              <w:rPr>
                <w:rFonts w:asciiTheme="minorEastAsia" w:hAnsiTheme="minorEastAsia" w:cstheme="majorEastAsia"/>
                <w:bCs/>
                <w:color w:val="000000" w:themeColor="text1"/>
                <w:highlight w:val="none"/>
              </w:rPr>
              <w:t>EC 60331-2</w:t>
            </w:r>
          </w:p>
        </w:tc>
      </w:tr>
    </w:tbl>
    <w:p>
      <w:pPr>
        <w:pStyle w:val="41"/>
        <w:numPr>
          <w:ilvl w:val="0"/>
          <w:numId w:val="0"/>
        </w:numPr>
        <w:spacing w:before="312" w:after="312"/>
        <w:rPr>
          <w:highlight w:val="none"/>
        </w:rPr>
      </w:pPr>
      <w:bookmarkStart w:id="61" w:name="_Toc35353330"/>
      <w:bookmarkStart w:id="62" w:name="_Toc324165077"/>
      <w:bookmarkStart w:id="63" w:name="_Toc323891250"/>
      <w:bookmarkStart w:id="64" w:name="_Toc324165027"/>
      <w:bookmarkStart w:id="65" w:name="_Toc323891329"/>
      <w:bookmarkStart w:id="66" w:name="_Toc353278168"/>
      <w:r>
        <w:rPr>
          <w:rFonts w:hint="eastAsia"/>
          <w:highlight w:val="none"/>
        </w:rPr>
        <w:t>5</w:t>
      </w:r>
      <w:r>
        <w:rPr>
          <w:highlight w:val="none"/>
        </w:rPr>
        <w:t xml:space="preserve"> </w:t>
      </w:r>
      <w:bookmarkEnd w:id="61"/>
      <w:r>
        <w:rPr>
          <w:rFonts w:hint="eastAsia" w:hAnsi="黑体"/>
          <w:b/>
          <w:szCs w:val="21"/>
          <w:highlight w:val="none"/>
        </w:rPr>
        <w:t>评价方法及等级划分</w:t>
      </w:r>
    </w:p>
    <w:p>
      <w:pPr>
        <w:pStyle w:val="65"/>
        <w:numPr>
          <w:ilvl w:val="0"/>
          <w:numId w:val="2"/>
        </w:numPr>
        <w:spacing w:before="156" w:after="156" w:line="300" w:lineRule="auto"/>
        <w:ind w:firstLine="420"/>
        <w:jc w:val="left"/>
        <w:rPr>
          <w:rFonts w:ascii="Times New Roman"/>
          <w:color w:val="000000" w:themeColor="text1"/>
          <w:highlight w:val="none"/>
        </w:rPr>
      </w:pPr>
      <w:r>
        <w:rPr>
          <w:rFonts w:hint="eastAsia" w:ascii="Times New Roman" w:hAnsi="Times New Roman"/>
          <w:color w:val="000000" w:themeColor="text1"/>
          <w:highlight w:val="none"/>
        </w:rPr>
        <w:t>评价结果划分为一级、二级和三级，各等级所对应的划分依据见表</w:t>
      </w:r>
      <w:r>
        <w:rPr>
          <w:rFonts w:ascii="Times New Roman" w:hAnsi="Times New Roman"/>
          <w:color w:val="000000" w:themeColor="text1"/>
          <w:highlight w:val="none"/>
        </w:rPr>
        <w:t>2</w:t>
      </w:r>
      <w:r>
        <w:rPr>
          <w:rFonts w:hint="eastAsia" w:ascii="Times New Roman" w:hAnsi="Times New Roman"/>
          <w:color w:val="000000" w:themeColor="text1"/>
          <w:highlight w:val="none"/>
        </w:rPr>
        <w:t>。</w:t>
      </w:r>
    </w:p>
    <w:p>
      <w:pPr>
        <w:pStyle w:val="65"/>
        <w:numPr>
          <w:ilvl w:val="0"/>
          <w:numId w:val="2"/>
        </w:numPr>
        <w:spacing w:before="156" w:after="156" w:line="300" w:lineRule="auto"/>
        <w:ind w:firstLine="420"/>
        <w:jc w:val="left"/>
        <w:rPr>
          <w:rFonts w:ascii="Times New Roman"/>
          <w:color w:val="000000" w:themeColor="text1"/>
          <w:highlight w:val="none"/>
        </w:rPr>
      </w:pPr>
      <w:r>
        <w:rPr>
          <w:rFonts w:hint="eastAsia" w:ascii="Times New Roman" w:hAnsi="Times New Roman"/>
          <w:color w:val="000000" w:themeColor="text1"/>
          <w:highlight w:val="none"/>
        </w:rPr>
        <w:t>达到三级要求及以上的企业标准并按照有关要求进行自我声明公开后均可进入刚性</w:t>
      </w:r>
      <w:r>
        <w:rPr>
          <w:rFonts w:hint="eastAsia"/>
          <w:highlight w:val="none"/>
        </w:rPr>
        <w:t>矿物绝缘电缆企业标准</w:t>
      </w:r>
      <w:r>
        <w:rPr>
          <w:rFonts w:hint="eastAsia" w:ascii="Times New Roman" w:hAnsi="Times New Roman"/>
          <w:color w:val="000000" w:themeColor="text1"/>
          <w:highlight w:val="none"/>
        </w:rPr>
        <w:t>排行榜。达到一级要求的企业标准，且按照有关要求进行自我声明公开后，其标准和符合标准的产品或服务可以直接进入刚性</w:t>
      </w:r>
      <w:r>
        <w:rPr>
          <w:rFonts w:hint="eastAsia"/>
          <w:highlight w:val="none"/>
        </w:rPr>
        <w:t>矿物绝缘电缆</w:t>
      </w:r>
      <w:r>
        <w:rPr>
          <w:rFonts w:hint="eastAsia" w:ascii="Times New Roman" w:hAnsi="Times New Roman"/>
          <w:color w:val="000000" w:themeColor="text1"/>
          <w:highlight w:val="none"/>
        </w:rPr>
        <w:t>企业标准“领跑者”候选名单。</w:t>
      </w:r>
    </w:p>
    <w:bookmarkEnd w:id="62"/>
    <w:bookmarkEnd w:id="63"/>
    <w:bookmarkEnd w:id="64"/>
    <w:bookmarkEnd w:id="65"/>
    <w:bookmarkEnd w:id="66"/>
    <w:p>
      <w:pPr>
        <w:pStyle w:val="33"/>
        <w:numPr>
          <w:ilvl w:val="0"/>
          <w:numId w:val="2"/>
        </w:numPr>
        <w:spacing w:before="156" w:beforeLines="50" w:after="156" w:afterLines="50"/>
        <w:ind w:firstLineChars="0"/>
        <w:jc w:val="center"/>
        <w:rPr>
          <w:rFonts w:ascii="黑体" w:eastAsia="黑体"/>
          <w:color w:val="000000" w:themeColor="text1"/>
          <w:highlight w:val="none"/>
        </w:rPr>
      </w:pPr>
      <w:r>
        <w:rPr>
          <w:rFonts w:hint="eastAsia" w:ascii="黑体" w:eastAsia="黑体"/>
          <w:color w:val="000000" w:themeColor="text1"/>
          <w:highlight w:val="none"/>
        </w:rPr>
        <w:t>表</w:t>
      </w:r>
      <w:r>
        <w:rPr>
          <w:rFonts w:ascii="黑体" w:eastAsia="黑体"/>
          <w:color w:val="000000" w:themeColor="text1"/>
          <w:highlight w:val="none"/>
        </w:rPr>
        <w:t>2</w:t>
      </w:r>
      <w:r>
        <w:rPr>
          <w:rFonts w:hint="eastAsia" w:ascii="黑体" w:eastAsia="黑体"/>
          <w:color w:val="000000" w:themeColor="text1"/>
          <w:highlight w:val="none"/>
        </w:rPr>
        <w:t xml:space="preserve"> 指标评价要求及等级划分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968"/>
        <w:gridCol w:w="1968"/>
        <w:gridCol w:w="196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评价等级</w:t>
            </w:r>
          </w:p>
        </w:tc>
        <w:tc>
          <w:tcPr>
            <w:tcW w:w="2075"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一</w:t>
            </w:r>
            <w:r>
              <w:rPr>
                <w:rFonts w:asciiTheme="minorEastAsia" w:hAnsiTheme="minorEastAsia" w:cstheme="majorEastAsia"/>
                <w:bCs/>
                <w:color w:val="000000" w:themeColor="text1"/>
                <w:szCs w:val="21"/>
                <w:highlight w:val="none"/>
              </w:rPr>
              <w:t>级</w:t>
            </w:r>
            <w:r>
              <w:rPr>
                <w:rFonts w:hint="eastAsia" w:asciiTheme="minorEastAsia" w:hAnsiTheme="minorEastAsia" w:cstheme="majorEastAsia"/>
                <w:bCs/>
                <w:color w:val="000000" w:themeColor="text1"/>
                <w:szCs w:val="21"/>
                <w:highlight w:val="none"/>
              </w:rPr>
              <w:t>应同时满足</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基本要求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基础指标要求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核心指标先进水平要求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创新性指标至少有</w:t>
            </w:r>
            <w:r>
              <w:rPr>
                <w:rFonts w:asciiTheme="minorEastAsia" w:hAnsiTheme="minorEastAsia" w:cstheme="majorEastAsia"/>
                <w:bCs/>
                <w:color w:val="000000" w:themeColor="text1"/>
                <w:szCs w:val="21"/>
                <w:highlight w:val="none"/>
              </w:rPr>
              <w:t>1</w:t>
            </w:r>
            <w:r>
              <w:rPr>
                <w:rFonts w:hint="eastAsia" w:asciiTheme="minorEastAsia" w:hAnsiTheme="minorEastAsia" w:cstheme="majorEastAsia"/>
                <w:bCs/>
                <w:color w:val="000000" w:themeColor="text1"/>
                <w:szCs w:val="21"/>
                <w:highlight w:val="none"/>
              </w:rPr>
              <w:t>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二级应同时满足</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基本要求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基础指标要求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核心指标平均水平要求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创新性指标至少有</w:t>
            </w:r>
            <w:r>
              <w:rPr>
                <w:rFonts w:asciiTheme="minorEastAsia" w:hAnsiTheme="minorEastAsia" w:cstheme="majorEastAsia"/>
                <w:bCs/>
                <w:color w:val="000000" w:themeColor="text1"/>
                <w:szCs w:val="21"/>
                <w:highlight w:val="none"/>
              </w:rPr>
              <w:t>1</w:t>
            </w:r>
            <w:r>
              <w:rPr>
                <w:rFonts w:hint="eastAsia" w:asciiTheme="minorEastAsia" w:hAnsiTheme="minorEastAsia" w:cstheme="majorEastAsia"/>
                <w:bCs/>
                <w:color w:val="000000" w:themeColor="text1"/>
                <w:szCs w:val="21"/>
                <w:highlight w:val="none"/>
              </w:rPr>
              <w:t>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三级应同时满足</w:t>
            </w:r>
          </w:p>
        </w:tc>
        <w:tc>
          <w:tcPr>
            <w:tcW w:w="2075"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基本要求</w:t>
            </w:r>
          </w:p>
        </w:tc>
        <w:tc>
          <w:tcPr>
            <w:tcW w:w="2075"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highlight w:val="none"/>
              </w:rPr>
            </w:pPr>
            <w:r>
              <w:rPr>
                <w:rFonts w:hint="eastAsia" w:asciiTheme="minorEastAsia" w:hAnsiTheme="minorEastAsia" w:cstheme="majorEastAsia"/>
                <w:bCs/>
                <w:color w:val="000000" w:themeColor="text1"/>
                <w:szCs w:val="21"/>
                <w:highlight w:val="none"/>
              </w:rPr>
              <w:t>基础指标要求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核心指标基准水平要求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rPr>
            </w:pPr>
            <w:r>
              <w:rPr>
                <w:rFonts w:hint="eastAsia" w:asciiTheme="minorEastAsia" w:hAnsiTheme="minorEastAsia" w:cstheme="majorEastAsia"/>
                <w:bCs/>
                <w:color w:val="000000" w:themeColor="text1"/>
                <w:szCs w:val="21"/>
                <w:highlight w:val="none"/>
              </w:rPr>
              <w:t>——</w:t>
            </w:r>
          </w:p>
        </w:tc>
      </w:tr>
      <w:bookmarkEnd w:id="48"/>
      <w:bookmarkEnd w:id="49"/>
      <w:bookmarkEnd w:id="50"/>
      <w:bookmarkEnd w:id="51"/>
      <w:bookmarkEnd w:id="52"/>
      <w:bookmarkEnd w:id="53"/>
      <w:bookmarkEnd w:id="55"/>
      <w:bookmarkEnd w:id="56"/>
      <w:bookmarkEnd w:id="57"/>
    </w:tbl>
    <w:p>
      <w:pPr>
        <w:rPr>
          <w:rFonts w:ascii="Times New Roman" w:hAnsi="Times New Roman"/>
          <w:color w:val="000000" w:themeColor="text1"/>
          <w:highlight w:val="none"/>
        </w:rPr>
      </w:pPr>
      <w:r>
        <w:rPr>
          <w:rFonts w:ascii="Times New Roman" w:hAnsi="Times New Roman"/>
          <w:color w:val="000000" w:themeColor="text1"/>
          <w:highlight w:val="none"/>
        </w:rPr>
        <w:pict>
          <v:shape id="AutoShape 18" o:spid="_x0000_s1030" o:spt="32" type="#_x0000_t32" style="position:absolute;left:0pt;margin-left:154.45pt;margin-top:31.1pt;height:0pt;width:178.9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">
            <v:path arrowok="t"/>
            <v:fill on="f" focussize="0,0"/>
            <v:stroke/>
            <v:imagedata o:title=""/>
            <o:lock v:ext="edit"/>
          </v:shape>
        </w:pict>
      </w:r>
    </w:p>
    <w:sectPr>
      <w:footerReference r:id="rId6" w:type="default"/>
      <w:pgSz w:w="11906" w:h="16838"/>
      <w:pgMar w:top="1134" w:right="1134" w:bottom="1134" w:left="1134"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FF0000"/>
      </w:rPr>
    </w:pPr>
    <w:r>
      <w:rPr>
        <w:color w:val="FF0000"/>
      </w:rPr>
      <w:t xml:space="preserve">T/XXX </w:t>
    </w:r>
    <w:r>
      <w:rPr>
        <w:rFonts w:hint="eastAsia"/>
        <w:color w:val="FF0000"/>
      </w:rPr>
      <w:t>XX</w:t>
    </w:r>
    <w:r>
      <w:rPr>
        <w:color w:val="FF0000"/>
      </w:rPr>
      <w:t>-</w:t>
    </w:r>
    <w:r>
      <w:rPr>
        <w:rFonts w:hint="eastAsia"/>
        <w:color w:val="FF0000"/>
      </w:rPr>
      <w:t>XXXX</w:t>
    </w:r>
  </w:p>
  <w:p>
    <w:pPr>
      <w:jc w:val="right"/>
      <w:rPr>
        <w:color w:val="FF0000"/>
      </w:rPr>
    </w:pPr>
    <w:r>
      <w:rPr>
        <w:rFonts w:hint="eastAsia"/>
        <w:color w:val="FF0000"/>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03BF"/>
    <w:rsid w:val="00012D42"/>
    <w:rsid w:val="000A216E"/>
    <w:rsid w:val="000D746D"/>
    <w:rsid w:val="000E1EFA"/>
    <w:rsid w:val="000E441D"/>
    <w:rsid w:val="000E4D03"/>
    <w:rsid w:val="001236C1"/>
    <w:rsid w:val="00135101"/>
    <w:rsid w:val="00141B82"/>
    <w:rsid w:val="0014544C"/>
    <w:rsid w:val="001655A9"/>
    <w:rsid w:val="00193039"/>
    <w:rsid w:val="001B2023"/>
    <w:rsid w:val="001C0298"/>
    <w:rsid w:val="001C5913"/>
    <w:rsid w:val="001D21E7"/>
    <w:rsid w:val="001E631B"/>
    <w:rsid w:val="00202064"/>
    <w:rsid w:val="0022233A"/>
    <w:rsid w:val="00257AEC"/>
    <w:rsid w:val="00294203"/>
    <w:rsid w:val="002E657F"/>
    <w:rsid w:val="002F6C01"/>
    <w:rsid w:val="002F7D36"/>
    <w:rsid w:val="003151DC"/>
    <w:rsid w:val="00315FA8"/>
    <w:rsid w:val="0031771B"/>
    <w:rsid w:val="00322058"/>
    <w:rsid w:val="0034525C"/>
    <w:rsid w:val="003505D3"/>
    <w:rsid w:val="00383BFC"/>
    <w:rsid w:val="003C5810"/>
    <w:rsid w:val="003C66B5"/>
    <w:rsid w:val="00432B0E"/>
    <w:rsid w:val="0044365D"/>
    <w:rsid w:val="00444B34"/>
    <w:rsid w:val="004A502C"/>
    <w:rsid w:val="004B5FE5"/>
    <w:rsid w:val="004C54D1"/>
    <w:rsid w:val="004F4C30"/>
    <w:rsid w:val="00510E7A"/>
    <w:rsid w:val="00511B59"/>
    <w:rsid w:val="0051531E"/>
    <w:rsid w:val="005344A0"/>
    <w:rsid w:val="0054757E"/>
    <w:rsid w:val="0056705A"/>
    <w:rsid w:val="00576A25"/>
    <w:rsid w:val="00581C86"/>
    <w:rsid w:val="005975A4"/>
    <w:rsid w:val="005B4F2E"/>
    <w:rsid w:val="005C4744"/>
    <w:rsid w:val="006162D2"/>
    <w:rsid w:val="00644117"/>
    <w:rsid w:val="006D6817"/>
    <w:rsid w:val="00743D59"/>
    <w:rsid w:val="00746DDC"/>
    <w:rsid w:val="00760A21"/>
    <w:rsid w:val="00764771"/>
    <w:rsid w:val="007E117A"/>
    <w:rsid w:val="007E2C20"/>
    <w:rsid w:val="00807F1C"/>
    <w:rsid w:val="008146AC"/>
    <w:rsid w:val="00860F82"/>
    <w:rsid w:val="00867BD3"/>
    <w:rsid w:val="008803BF"/>
    <w:rsid w:val="008F4A01"/>
    <w:rsid w:val="00923A59"/>
    <w:rsid w:val="009339A0"/>
    <w:rsid w:val="00941E67"/>
    <w:rsid w:val="00973D60"/>
    <w:rsid w:val="00986F22"/>
    <w:rsid w:val="00987042"/>
    <w:rsid w:val="009D7294"/>
    <w:rsid w:val="009F2D17"/>
    <w:rsid w:val="00A15DCB"/>
    <w:rsid w:val="00A17356"/>
    <w:rsid w:val="00AC092E"/>
    <w:rsid w:val="00AC3030"/>
    <w:rsid w:val="00AD5111"/>
    <w:rsid w:val="00AE2510"/>
    <w:rsid w:val="00B055FE"/>
    <w:rsid w:val="00B34C19"/>
    <w:rsid w:val="00B51AB3"/>
    <w:rsid w:val="00B83058"/>
    <w:rsid w:val="00B97387"/>
    <w:rsid w:val="00BB1CFE"/>
    <w:rsid w:val="00BB65E7"/>
    <w:rsid w:val="00BC2766"/>
    <w:rsid w:val="00BC676E"/>
    <w:rsid w:val="00C36700"/>
    <w:rsid w:val="00C43E56"/>
    <w:rsid w:val="00C83661"/>
    <w:rsid w:val="00CA5FA1"/>
    <w:rsid w:val="00CF0E2E"/>
    <w:rsid w:val="00D04B5B"/>
    <w:rsid w:val="00D31E90"/>
    <w:rsid w:val="00D66BE8"/>
    <w:rsid w:val="00D77FEA"/>
    <w:rsid w:val="00D805FC"/>
    <w:rsid w:val="00D920EB"/>
    <w:rsid w:val="00DC048A"/>
    <w:rsid w:val="00DD7CE3"/>
    <w:rsid w:val="00E5036C"/>
    <w:rsid w:val="00E52B5B"/>
    <w:rsid w:val="00E535B8"/>
    <w:rsid w:val="00EC13BA"/>
    <w:rsid w:val="00EE13D2"/>
    <w:rsid w:val="00F53CE7"/>
    <w:rsid w:val="00F70A05"/>
    <w:rsid w:val="00F81B02"/>
    <w:rsid w:val="00F909DC"/>
    <w:rsid w:val="00FA5C17"/>
    <w:rsid w:val="00FB7C61"/>
    <w:rsid w:val="00FC70D8"/>
    <w:rsid w:val="00FE26B8"/>
    <w:rsid w:val="03B20846"/>
    <w:rsid w:val="04231082"/>
    <w:rsid w:val="05984824"/>
    <w:rsid w:val="0AFE52DB"/>
    <w:rsid w:val="0B365A0F"/>
    <w:rsid w:val="0DB86B48"/>
    <w:rsid w:val="0E364E7D"/>
    <w:rsid w:val="12132744"/>
    <w:rsid w:val="1D606375"/>
    <w:rsid w:val="2C384119"/>
    <w:rsid w:val="305C4F98"/>
    <w:rsid w:val="3A1B2A88"/>
    <w:rsid w:val="3AEF5FFD"/>
    <w:rsid w:val="3FC773DA"/>
    <w:rsid w:val="418B3C4A"/>
    <w:rsid w:val="44862689"/>
    <w:rsid w:val="475615C3"/>
    <w:rsid w:val="4A0A4CB5"/>
    <w:rsid w:val="4A456606"/>
    <w:rsid w:val="4CDC29F0"/>
    <w:rsid w:val="508841A6"/>
    <w:rsid w:val="5493611C"/>
    <w:rsid w:val="55BC7E95"/>
    <w:rsid w:val="68126C69"/>
    <w:rsid w:val="697421C6"/>
    <w:rsid w:val="6B5C26BA"/>
    <w:rsid w:val="70364C82"/>
    <w:rsid w:val="76A515D7"/>
    <w:rsid w:val="790E7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18"/>
        <o:r id="V:Rule2" type="connector" idref="#AutoShape 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character" w:customStyle="1" w:styleId="83">
    <w:name w:val="unnamed51"/>
    <w:uiPriority w:val="0"/>
    <w:rPr>
      <w:spacing w:val="0"/>
      <w:sz w:val="20"/>
      <w:szCs w:val="20"/>
    </w:rPr>
  </w:style>
  <w:style w:type="character" w:customStyle="1" w:styleId="84">
    <w:name w:val="段 Char Char"/>
    <w:uiPriority w:val="0"/>
    <w:rPr>
      <w:rFonts w:ascii="宋体"/>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1"/>
    <customShpInfo spid="_x0000_s1036"/>
    <customShpInfo spid="_x0000_s1037"/>
    <customShpInfo spid="_x0000_s1040"/>
    <customShpInfo spid="_x0000_s1039"/>
    <customShpInfo spid="_x0000_s1038"/>
    <customShpInfo spid="_x0000_s1035"/>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649D3-2482-465C-BE3B-16FFF21E5B0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456</Words>
  <Characters>2604</Characters>
  <Lines>21</Lines>
  <Paragraphs>6</Paragraphs>
  <TotalTime>409</TotalTime>
  <ScaleCrop>false</ScaleCrop>
  <LinksUpToDate>false</LinksUpToDate>
  <CharactersWithSpaces>3054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2021-07-09T02:21:00Z</dcterms:created>
  <dc:creator>Lenovo</dc:creator>
  <cp:lastModifiedBy>果C的味道</cp:lastModifiedBy>
  <cp:lastPrinted>2019-02-12T09:03:00Z</cp:lastPrinted>
  <dcterms:modified xsi:type="dcterms:W3CDTF">2021-09-13T08:50:33Z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EF0E92778EA34BF198C573F967D0B6FF</vt:lpwstr>
  </property>
</Properties>
</file>