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“领跑者”标准评价要求 海底电缆</w:t>
      </w: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（报批稿） 编制说明</w:t>
      </w: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021</w:t>
      </w:r>
      <w:r>
        <w:rPr>
          <w:rFonts w:hint="eastAsia" w:ascii="Times New Roman" w:hAnsi="Times New Roman" w:eastAsia="黑体"/>
          <w:sz w:val="28"/>
          <w:szCs w:val="28"/>
        </w:rPr>
        <w:t>年</w:t>
      </w:r>
      <w:r>
        <w:rPr>
          <w:rFonts w:hint="eastAsia" w:ascii="Times New Roman" w:hAnsi="Times New Roman" w:eastAsia="黑体"/>
          <w:sz w:val="28"/>
          <w:szCs w:val="28"/>
          <w:lang w:val="en-US" w:eastAsia="zh-CN"/>
        </w:rPr>
        <w:t>9</w:t>
      </w:r>
      <w:r>
        <w:rPr>
          <w:rFonts w:hint="eastAsia" w:ascii="Times New Roman" w:hAnsi="Times New Roman" w:eastAsia="黑体"/>
          <w:sz w:val="28"/>
          <w:szCs w:val="28"/>
        </w:rPr>
        <w:t>月</w:t>
      </w:r>
    </w:p>
    <w:p>
      <w:pPr>
        <w:jc w:val="center"/>
        <w:rPr>
          <w:rFonts w:ascii="Times New Roman" w:hAnsi="Times New Roman"/>
          <w:b/>
          <w:bCs/>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33"/>
        <w:spacing w:before="78" w:after="78"/>
        <w:rPr>
          <w:rFonts w:hAnsi="宋体" w:cstheme="minorBidi"/>
          <w:szCs w:val="22"/>
        </w:rPr>
      </w:pPr>
      <w:r>
        <w:rPr>
          <w:rFonts w:ascii="Times New Roman" w:eastAsia="黑体"/>
          <w:sz w:val="48"/>
          <w:szCs w:val="48"/>
        </w:rPr>
        <w:fldChar w:fldCharType="begin"/>
      </w:r>
      <w:r>
        <w:rPr>
          <w:rFonts w:ascii="Times New Roman" w:eastAsia="黑体"/>
          <w:sz w:val="48"/>
          <w:szCs w:val="48"/>
        </w:rPr>
        <w:instrText xml:space="preserve"> </w:instrText>
      </w:r>
      <w:r>
        <w:rPr>
          <w:rFonts w:hint="eastAsia" w:ascii="Times New Roman" w:eastAsia="黑体"/>
          <w:sz w:val="48"/>
          <w:szCs w:val="48"/>
        </w:rPr>
        <w:instrText xml:space="preserve">TOC \o "1-1" \h \z \u</w:instrText>
      </w:r>
      <w:r>
        <w:rPr>
          <w:rFonts w:ascii="Times New Roman" w:eastAsia="黑体"/>
          <w:sz w:val="48"/>
          <w:szCs w:val="48"/>
        </w:rPr>
        <w:instrText xml:space="preserve"> </w:instrText>
      </w:r>
      <w:r>
        <w:rPr>
          <w:rFonts w:ascii="Times New Roman" w:eastAsia="黑体"/>
          <w:sz w:val="48"/>
          <w:szCs w:val="48"/>
        </w:rPr>
        <w:fldChar w:fldCharType="separate"/>
      </w:r>
      <w:r>
        <w:fldChar w:fldCharType="begin"/>
      </w:r>
      <w:r>
        <w:instrText xml:space="preserve"> HYPERLINK \l "_Toc77761587" </w:instrText>
      </w:r>
      <w:r>
        <w:fldChar w:fldCharType="separate"/>
      </w:r>
      <w:r>
        <w:rPr>
          <w:rStyle w:val="56"/>
          <w:rFonts w:hint="eastAsia" w:hAnsi="宋体"/>
        </w:rPr>
        <w:t>一、立项背景</w:t>
      </w:r>
      <w:r>
        <w:rPr>
          <w:rFonts w:hAnsi="宋体"/>
        </w:rPr>
        <w:tab/>
      </w:r>
      <w:r>
        <w:rPr>
          <w:rFonts w:hAnsi="宋体"/>
        </w:rPr>
        <w:fldChar w:fldCharType="begin"/>
      </w:r>
      <w:r>
        <w:rPr>
          <w:rFonts w:hAnsi="宋体"/>
        </w:rPr>
        <w:instrText xml:space="preserve"> PAGEREF _Toc77761587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"_Toc77761588" </w:instrText>
      </w:r>
      <w:r>
        <w:fldChar w:fldCharType="separate"/>
      </w:r>
      <w:r>
        <w:rPr>
          <w:rStyle w:val="56"/>
          <w:rFonts w:hint="eastAsia" w:hAnsi="宋体"/>
        </w:rPr>
        <w:t>二、适用范围和拟解决问题</w:t>
      </w:r>
      <w:r>
        <w:rPr>
          <w:rFonts w:hAnsi="宋体"/>
        </w:rPr>
        <w:tab/>
      </w:r>
      <w:r>
        <w:rPr>
          <w:rFonts w:hAnsi="宋体"/>
        </w:rPr>
        <w:fldChar w:fldCharType="begin"/>
      </w:r>
      <w:r>
        <w:rPr>
          <w:rFonts w:hAnsi="宋体"/>
        </w:rPr>
        <w:instrText xml:space="preserve"> PAGEREF _Toc77761588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"_Toc77761589" </w:instrText>
      </w:r>
      <w:r>
        <w:fldChar w:fldCharType="separate"/>
      </w:r>
      <w:r>
        <w:rPr>
          <w:rStyle w:val="56"/>
          <w:rFonts w:hint="eastAsia" w:hAnsi="宋体"/>
        </w:rPr>
        <w:t>三、标准制定原则</w:t>
      </w:r>
      <w:r>
        <w:rPr>
          <w:rFonts w:hAnsi="宋体"/>
        </w:rPr>
        <w:tab/>
      </w:r>
      <w:r>
        <w:rPr>
          <w:rFonts w:hAnsi="宋体"/>
        </w:rPr>
        <w:fldChar w:fldCharType="begin"/>
      </w:r>
      <w:r>
        <w:rPr>
          <w:rFonts w:hAnsi="宋体"/>
        </w:rPr>
        <w:instrText xml:space="preserve"> PAGEREF _Toc77761589 \h </w:instrText>
      </w:r>
      <w:r>
        <w:rPr>
          <w:rFonts w:hAnsi="宋体"/>
        </w:rPr>
        <w:fldChar w:fldCharType="separate"/>
      </w:r>
      <w:r>
        <w:rPr>
          <w:rFonts w:hAnsi="宋体"/>
        </w:rPr>
        <w:t>1</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"_Toc77761590" </w:instrText>
      </w:r>
      <w:r>
        <w:fldChar w:fldCharType="separate"/>
      </w:r>
      <w:r>
        <w:rPr>
          <w:rStyle w:val="56"/>
          <w:rFonts w:hint="eastAsia" w:hAnsi="宋体"/>
        </w:rPr>
        <w:t>四、主要工作过程</w:t>
      </w:r>
      <w:r>
        <w:rPr>
          <w:rFonts w:hAnsi="宋体"/>
        </w:rPr>
        <w:tab/>
      </w:r>
      <w:r>
        <w:rPr>
          <w:rFonts w:hAnsi="宋体"/>
        </w:rPr>
        <w:fldChar w:fldCharType="begin"/>
      </w:r>
      <w:r>
        <w:rPr>
          <w:rFonts w:hAnsi="宋体"/>
        </w:rPr>
        <w:instrText xml:space="preserve"> PAGEREF _Toc77761590 \h </w:instrText>
      </w:r>
      <w:r>
        <w:rPr>
          <w:rFonts w:hAnsi="宋体"/>
        </w:rPr>
        <w:fldChar w:fldCharType="separate"/>
      </w:r>
      <w:r>
        <w:rPr>
          <w:rFonts w:hAnsi="宋体"/>
        </w:rPr>
        <w:t>2</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"_Toc77761591" </w:instrText>
      </w:r>
      <w:r>
        <w:fldChar w:fldCharType="separate"/>
      </w:r>
      <w:r>
        <w:rPr>
          <w:rStyle w:val="56"/>
          <w:rFonts w:hint="eastAsia" w:hAnsi="宋体"/>
        </w:rPr>
        <w:t>五、标准主要技术内容</w:t>
      </w:r>
      <w:r>
        <w:rPr>
          <w:rFonts w:hAnsi="宋体"/>
        </w:rPr>
        <w:tab/>
      </w:r>
      <w:r>
        <w:rPr>
          <w:rFonts w:hAnsi="宋体"/>
        </w:rPr>
        <w:fldChar w:fldCharType="begin"/>
      </w:r>
      <w:r>
        <w:rPr>
          <w:rFonts w:hAnsi="宋体"/>
        </w:rPr>
        <w:instrText xml:space="preserve"> PAGEREF _Toc77761591 \h </w:instrText>
      </w:r>
      <w:r>
        <w:rPr>
          <w:rFonts w:hAnsi="宋体"/>
        </w:rPr>
        <w:fldChar w:fldCharType="separate"/>
      </w:r>
      <w:r>
        <w:rPr>
          <w:rFonts w:hAnsi="宋体"/>
        </w:rPr>
        <w:t>3</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"_Toc77761592" </w:instrText>
      </w:r>
      <w:r>
        <w:fldChar w:fldCharType="separate"/>
      </w:r>
      <w:r>
        <w:rPr>
          <w:rStyle w:val="56"/>
          <w:rFonts w:hint="eastAsia" w:hAnsi="宋体"/>
        </w:rPr>
        <w:t>六、预期作用和效益</w:t>
      </w:r>
      <w:r>
        <w:rPr>
          <w:rFonts w:hAnsi="宋体"/>
        </w:rPr>
        <w:tab/>
      </w:r>
      <w:r>
        <w:rPr>
          <w:rFonts w:hAnsi="宋体"/>
        </w:rPr>
        <w:fldChar w:fldCharType="begin"/>
      </w:r>
      <w:r>
        <w:rPr>
          <w:rFonts w:hAnsi="宋体"/>
        </w:rPr>
        <w:instrText xml:space="preserve"> PAGEREF _Toc77761592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"_Toc77761593" </w:instrText>
      </w:r>
      <w:r>
        <w:fldChar w:fldCharType="separate"/>
      </w:r>
      <w:r>
        <w:rPr>
          <w:rStyle w:val="56"/>
          <w:rFonts w:hint="eastAsia" w:hAnsi="宋体"/>
        </w:rPr>
        <w:t>七、采用国际标准和国外先进标准的程度，以及与国际、国外同类标准水平的对比情况</w:t>
      </w:r>
      <w:r>
        <w:rPr>
          <w:rFonts w:hAnsi="宋体"/>
        </w:rPr>
        <w:tab/>
      </w:r>
      <w:r>
        <w:rPr>
          <w:rFonts w:hAnsi="宋体"/>
        </w:rPr>
        <w:fldChar w:fldCharType="begin"/>
      </w:r>
      <w:r>
        <w:rPr>
          <w:rFonts w:hAnsi="宋体"/>
        </w:rPr>
        <w:instrText xml:space="preserve"> PAGEREF _Toc77761593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"_Toc77761594" </w:instrText>
      </w:r>
      <w:r>
        <w:fldChar w:fldCharType="separate"/>
      </w:r>
      <w:r>
        <w:rPr>
          <w:rStyle w:val="56"/>
          <w:rFonts w:hint="eastAsia" w:hAnsi="宋体"/>
        </w:rPr>
        <w:t>八、与有关的现行法律、法规和强制性国家标准的关系</w:t>
      </w:r>
      <w:r>
        <w:rPr>
          <w:rFonts w:hAnsi="宋体"/>
        </w:rPr>
        <w:tab/>
      </w:r>
      <w:r>
        <w:rPr>
          <w:rFonts w:hAnsi="宋体"/>
        </w:rPr>
        <w:fldChar w:fldCharType="begin"/>
      </w:r>
      <w:r>
        <w:rPr>
          <w:rFonts w:hAnsi="宋体"/>
        </w:rPr>
        <w:instrText xml:space="preserve"> PAGEREF _Toc77761594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hAnsi="宋体" w:cstheme="minorBidi"/>
          <w:szCs w:val="22"/>
        </w:rPr>
      </w:pPr>
      <w:r>
        <w:fldChar w:fldCharType="begin"/>
      </w:r>
      <w:r>
        <w:instrText xml:space="preserve"> HYPERLINK \l "_Toc77761595" </w:instrText>
      </w:r>
      <w:r>
        <w:fldChar w:fldCharType="separate"/>
      </w:r>
      <w:r>
        <w:rPr>
          <w:rStyle w:val="56"/>
          <w:rFonts w:hint="eastAsia" w:hAnsi="宋体"/>
        </w:rPr>
        <w:t>九、重大分歧意见的处理经过和依据</w:t>
      </w:r>
      <w:r>
        <w:rPr>
          <w:rFonts w:hAnsi="宋体"/>
        </w:rPr>
        <w:tab/>
      </w:r>
      <w:r>
        <w:rPr>
          <w:rFonts w:hAnsi="宋体"/>
        </w:rPr>
        <w:fldChar w:fldCharType="begin"/>
      </w:r>
      <w:r>
        <w:rPr>
          <w:rFonts w:hAnsi="宋体"/>
        </w:rPr>
        <w:instrText xml:space="preserve"> PAGEREF _Toc77761595 \h </w:instrText>
      </w:r>
      <w:r>
        <w:rPr>
          <w:rFonts w:hAnsi="宋体"/>
        </w:rPr>
        <w:fldChar w:fldCharType="separate"/>
      </w:r>
      <w:r>
        <w:rPr>
          <w:rFonts w:hAnsi="宋体"/>
        </w:rPr>
        <w:t>6</w:t>
      </w:r>
      <w:r>
        <w:rPr>
          <w:rFonts w:hAnsi="宋体"/>
        </w:rPr>
        <w:fldChar w:fldCharType="end"/>
      </w:r>
      <w:r>
        <w:rPr>
          <w:rFonts w:hAnsi="宋体"/>
        </w:rPr>
        <w:fldChar w:fldCharType="end"/>
      </w:r>
    </w:p>
    <w:p>
      <w:pPr>
        <w:pStyle w:val="33"/>
        <w:spacing w:before="78" w:after="78"/>
        <w:rPr>
          <w:rFonts w:asciiTheme="minorHAnsi" w:hAnsiTheme="minorHAnsi" w:eastAsiaTheme="minorEastAsia" w:cstheme="minorBidi"/>
          <w:szCs w:val="22"/>
        </w:rPr>
      </w:pPr>
      <w:r>
        <w:fldChar w:fldCharType="begin"/>
      </w:r>
      <w:r>
        <w:instrText xml:space="preserve"> HYPERLINK \l "_Toc77761596" </w:instrText>
      </w:r>
      <w:r>
        <w:fldChar w:fldCharType="separate"/>
      </w:r>
      <w:r>
        <w:rPr>
          <w:rStyle w:val="56"/>
          <w:rFonts w:hint="eastAsia" w:hAnsi="宋体"/>
        </w:rPr>
        <w:t>十、贯彻国家标准的要求和措施建议</w:t>
      </w:r>
      <w:r>
        <w:rPr>
          <w:rFonts w:hAnsi="宋体"/>
        </w:rPr>
        <w:tab/>
      </w:r>
      <w:r>
        <w:rPr>
          <w:rFonts w:hAnsi="宋体"/>
        </w:rPr>
        <w:fldChar w:fldCharType="begin"/>
      </w:r>
      <w:r>
        <w:rPr>
          <w:rFonts w:hAnsi="宋体"/>
        </w:rPr>
        <w:instrText xml:space="preserve"> PAGEREF _Toc77761596 \h </w:instrText>
      </w:r>
      <w:r>
        <w:rPr>
          <w:rFonts w:hAnsi="宋体"/>
        </w:rPr>
        <w:fldChar w:fldCharType="separate"/>
      </w:r>
      <w:r>
        <w:rPr>
          <w:rFonts w:hAnsi="宋体"/>
        </w:rPr>
        <w:t>6</w:t>
      </w:r>
      <w:r>
        <w:rPr>
          <w:rFonts w:hAnsi="宋体"/>
        </w:rPr>
        <w:fldChar w:fldCharType="end"/>
      </w:r>
      <w:r>
        <w:rPr>
          <w:rFonts w:hAnsi="宋体"/>
        </w:rPr>
        <w:fldChar w:fldCharType="end"/>
      </w:r>
    </w:p>
    <w:p>
      <w:pPr>
        <w:jc w:val="center"/>
        <w:rPr>
          <w:rFonts w:ascii="Times New Roman" w:hAnsi="Times New Roman" w:eastAsia="黑体"/>
          <w:sz w:val="36"/>
          <w:szCs w:val="36"/>
        </w:rPr>
        <w:sectPr>
          <w:footerReference r:id="rId4" w:type="first"/>
          <w:footerReference r:id="rId3" w:type="default"/>
          <w:pgSz w:w="11906" w:h="16838"/>
          <w:pgMar w:top="1440" w:right="1800" w:bottom="1440" w:left="1800" w:header="851" w:footer="992" w:gutter="0"/>
          <w:pgNumType w:start="0"/>
          <w:cols w:space="425" w:num="1"/>
          <w:titlePg/>
          <w:docGrid w:type="lines" w:linePitch="312" w:charSpace="0"/>
        </w:sectPr>
      </w:pPr>
      <w:r>
        <w:rPr>
          <w:rFonts w:ascii="Times New Roman" w:hAnsi="Times New Roman" w:eastAsia="黑体"/>
          <w:sz w:val="48"/>
          <w:szCs w:val="48"/>
        </w:rPr>
        <w:fldChar w:fldCharType="end"/>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0" w:name="_Toc77761587"/>
      <w:r>
        <w:rPr>
          <w:rFonts w:hint="eastAsia" w:eastAsia="黑体"/>
          <w:b w:val="0"/>
          <w:sz w:val="24"/>
          <w:szCs w:val="24"/>
        </w:rPr>
        <w:t>一、立项背景</w:t>
      </w:r>
      <w:bookmarkEnd w:id="0"/>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为推动先进引领性标准的市场化供给与实施，2</w:t>
      </w:r>
      <w:r>
        <w:rPr>
          <w:rFonts w:ascii="Times New Roman" w:hAnsi="Times New Roman" w:eastAsia="宋体" w:cs="Times New Roman"/>
          <w:sz w:val="24"/>
          <w:szCs w:val="24"/>
        </w:rPr>
        <w:t>015</w:t>
      </w:r>
      <w:r>
        <w:rPr>
          <w:rFonts w:hint="eastAsia" w:ascii="Times New Roman" w:hAnsi="Times New Roman" w:eastAsia="宋体" w:cs="Times New Roman"/>
          <w:sz w:val="24"/>
          <w:szCs w:val="24"/>
        </w:rPr>
        <w:t>年《深化标准化工作改革方案》中提出培育发展团体标准和放开搞活企业标准；</w:t>
      </w:r>
      <w:r>
        <w:rPr>
          <w:rFonts w:ascii="Times New Roman" w:hAnsi="Times New Roman" w:eastAsia="宋体" w:cs="Times New Roman"/>
          <w:sz w:val="24"/>
          <w:szCs w:val="24"/>
        </w:rPr>
        <w:t>2018年，市场监管总局等部门提出以企业标准自我声明公开为基础，建立实施企业标准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，推动形成多方参与、持续提升、闭环反馈的动态调整机制，引导企业标准水平提升，引领产品和服务质量升级。</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为切实发挥企业标准对质量提升的引领作用，支撑企业标准自我声明公开和企业标准“领跑者”制度工作的有序推进，</w:t>
      </w:r>
      <w:r>
        <w:rPr>
          <w:rFonts w:hint="eastAsia" w:ascii="Times New Roman" w:hAnsi="Times New Roman" w:eastAsia="宋体" w:cs="Times New Roman"/>
          <w:sz w:val="24"/>
          <w:szCs w:val="24"/>
          <w:u w:val="none"/>
          <w:lang w:val="en-US" w:eastAsia="zh-CN"/>
        </w:rPr>
        <w:t>青岛汉缆股份有限公司</w:t>
      </w:r>
      <w:r>
        <w:rPr>
          <w:rFonts w:hint="eastAsia" w:ascii="Times New Roman" w:hAnsi="Times New Roman"/>
          <w:sz w:val="24"/>
          <w:szCs w:val="24"/>
          <w:u w:val="none"/>
          <w:lang w:eastAsia="zh-CN"/>
        </w:rPr>
        <w:t>、</w:t>
      </w:r>
      <w:r>
        <w:rPr>
          <w:rFonts w:hint="eastAsia" w:ascii="Times New Roman" w:hAnsi="Times New Roman" w:eastAsia="宋体" w:cs="Times New Roman"/>
          <w:sz w:val="24"/>
          <w:szCs w:val="24"/>
          <w:u w:val="none"/>
        </w:rPr>
        <w:t>山东省电线电缆行业协会</w:t>
      </w:r>
      <w:r>
        <w:rPr>
          <w:rFonts w:hint="eastAsia" w:ascii="Times New Roman" w:hAnsi="Times New Roman" w:eastAsia="宋体" w:cs="Times New Roman"/>
          <w:sz w:val="24"/>
          <w:szCs w:val="24"/>
          <w:u w:val="none"/>
          <w:lang w:val="en-US" w:eastAsia="zh-CN"/>
        </w:rPr>
        <w:t>等</w:t>
      </w:r>
      <w:r>
        <w:rPr>
          <w:rFonts w:hint="eastAsia" w:ascii="Times New Roman" w:hAnsi="Times New Roman" w:eastAsia="宋体" w:cs="Times New Roman"/>
          <w:sz w:val="24"/>
          <w:szCs w:val="24"/>
          <w:u w:val="none"/>
        </w:rPr>
        <w:t xml:space="preserve">共同制定《“领跑者”标准评价要求  </w:t>
      </w:r>
      <w:r>
        <w:rPr>
          <w:rFonts w:hint="eastAsia" w:ascii="Times New Roman" w:hAnsi="Times New Roman" w:eastAsia="宋体" w:cs="Times New Roman"/>
          <w:sz w:val="24"/>
          <w:szCs w:val="24"/>
          <w:u w:val="none"/>
          <w:lang w:val="en-US" w:eastAsia="zh-CN"/>
        </w:rPr>
        <w:t>海底</w:t>
      </w:r>
      <w:r>
        <w:rPr>
          <w:rFonts w:hint="eastAsia" w:ascii="Times New Roman" w:hAnsi="Times New Roman" w:eastAsia="宋体" w:cs="Times New Roman"/>
          <w:sz w:val="24"/>
          <w:szCs w:val="24"/>
          <w:u w:val="none"/>
        </w:rPr>
        <w:t>电缆》标准。主要起草</w:t>
      </w:r>
      <w:r>
        <w:rPr>
          <w:rFonts w:hint="eastAsia" w:ascii="Times New Roman" w:hAnsi="Times New Roman"/>
          <w:sz w:val="24"/>
          <w:szCs w:val="24"/>
          <w:u w:val="none"/>
          <w:lang w:val="en-US" w:eastAsia="zh-CN"/>
        </w:rPr>
        <w:t>单位：</w:t>
      </w:r>
      <w:r>
        <w:rPr>
          <w:rFonts w:hint="eastAsia" w:ascii="Times New Roman" w:hAnsi="Times New Roman" w:eastAsia="宋体"/>
          <w:sz w:val="24"/>
          <w:szCs w:val="24"/>
          <w:highlight w:val="none"/>
        </w:rPr>
        <w:t>青岛汉缆股份有限公司等，</w:t>
      </w:r>
      <w:r>
        <w:rPr>
          <w:rFonts w:hint="eastAsia" w:ascii="Times New Roman" w:hAnsi="Times New Roman" w:eastAsia="宋体"/>
          <w:sz w:val="24"/>
          <w:szCs w:val="24"/>
        </w:rPr>
        <w:t>计划完成时间为202</w:t>
      </w:r>
      <w:r>
        <w:rPr>
          <w:rFonts w:ascii="Times New Roman" w:hAnsi="Times New Roman" w:eastAsia="宋体"/>
          <w:sz w:val="24"/>
          <w:szCs w:val="24"/>
        </w:rPr>
        <w:t>1</w:t>
      </w:r>
      <w:r>
        <w:rPr>
          <w:rFonts w:hint="eastAsia" w:ascii="Times New Roman" w:hAnsi="Times New Roman" w:eastAsia="宋体"/>
          <w:sz w:val="24"/>
          <w:szCs w:val="24"/>
        </w:rPr>
        <w:t>年。</w:t>
      </w:r>
      <w:r>
        <w:rPr>
          <w:rFonts w:ascii="Times New Roman" w:hAnsi="Times New Roman" w:eastAsia="宋体"/>
          <w:sz w:val="24"/>
          <w:szCs w:val="24"/>
        </w:rPr>
        <w:t>该标准</w:t>
      </w:r>
      <w:r>
        <w:rPr>
          <w:rFonts w:hint="eastAsia" w:ascii="Times New Roman" w:hAnsi="Times New Roman" w:eastAsia="宋体"/>
          <w:sz w:val="24"/>
          <w:szCs w:val="24"/>
        </w:rPr>
        <w:t>一方面可</w:t>
      </w:r>
      <w:r>
        <w:rPr>
          <w:rFonts w:ascii="Times New Roman" w:hAnsi="Times New Roman" w:eastAsia="宋体"/>
          <w:sz w:val="24"/>
          <w:szCs w:val="24"/>
        </w:rPr>
        <w:t>用于指导企</w:t>
      </w:r>
      <w:r>
        <w:rPr>
          <w:rFonts w:hint="eastAsia" w:ascii="Times New Roman" w:hAnsi="Times New Roman" w:eastAsia="宋体"/>
          <w:sz w:val="24"/>
          <w:szCs w:val="24"/>
        </w:rPr>
        <w:t>业编写企业标准和</w:t>
      </w:r>
      <w:r>
        <w:rPr>
          <w:rFonts w:ascii="Times New Roman" w:hAnsi="Times New Roman" w:eastAsia="宋体"/>
          <w:sz w:val="24"/>
          <w:szCs w:val="24"/>
        </w:rPr>
        <w:t>对企业标准的水平进行评价，</w:t>
      </w:r>
      <w:r>
        <w:rPr>
          <w:rFonts w:hint="eastAsia" w:ascii="Times New Roman" w:hAnsi="Times New Roman" w:eastAsia="宋体"/>
          <w:sz w:val="24"/>
          <w:szCs w:val="24"/>
        </w:rPr>
        <w:t>引导</w:t>
      </w:r>
      <w:r>
        <w:rPr>
          <w:rFonts w:hint="eastAsia" w:ascii="宋体" w:hAnsi="宋体" w:eastAsia="宋体"/>
          <w:sz w:val="24"/>
          <w:szCs w:val="24"/>
        </w:rPr>
        <w:t>电缆产业</w:t>
      </w:r>
      <w:r>
        <w:rPr>
          <w:rFonts w:hint="eastAsia" w:ascii="Times New Roman" w:hAnsi="Times New Roman" w:eastAsia="宋体"/>
          <w:sz w:val="24"/>
          <w:szCs w:val="24"/>
        </w:rPr>
        <w:t>对产品进行优化升级，促进海底电缆产业链向高质量方向发展；另一方面，标准的发布实施，可用于指导第三方评估机构编制“排行榜”和“领跑者”评估方案，并开展相关评估工作。</w:t>
      </w:r>
    </w:p>
    <w:p>
      <w:pPr>
        <w:pStyle w:val="2"/>
        <w:keepNext w:val="0"/>
        <w:keepLines w:val="0"/>
        <w:kinsoku w:val="0"/>
        <w:overflowPunct w:val="0"/>
        <w:topLinePunct/>
        <w:adjustRightInd w:val="0"/>
        <w:snapToGrid w:val="0"/>
        <w:spacing w:before="0" w:after="0" w:line="360" w:lineRule="auto"/>
        <w:rPr>
          <w:rFonts w:eastAsia="黑体"/>
          <w:b w:val="0"/>
          <w:sz w:val="24"/>
          <w:szCs w:val="24"/>
        </w:rPr>
      </w:pPr>
      <w:r>
        <w:fldChar w:fldCharType="begin"/>
      </w:r>
      <w:r>
        <w:instrText xml:space="preserve"> HYPERLINK \l "_Toc50238783" </w:instrText>
      </w:r>
      <w:r>
        <w:fldChar w:fldCharType="separate"/>
      </w:r>
      <w:bookmarkStart w:id="1" w:name="_Toc77761588"/>
      <w:r>
        <w:rPr>
          <w:rFonts w:eastAsia="黑体"/>
          <w:b w:val="0"/>
          <w:sz w:val="24"/>
          <w:szCs w:val="24"/>
        </w:rPr>
        <w:t>二、适用范围和拟解决问题</w:t>
      </w:r>
      <w:bookmarkEnd w:id="1"/>
      <w:r>
        <w:rPr>
          <w:rFonts w:eastAsia="黑体"/>
          <w:b w:val="0"/>
          <w:sz w:val="24"/>
          <w:szCs w:val="24"/>
        </w:rPr>
        <w:fldChar w:fldCharType="end"/>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本文件规定了海底电缆“领跑者”标准评价的术语和定义、评价指标体系、</w:t>
      </w:r>
      <w:r>
        <w:rPr>
          <w:rFonts w:ascii="Times New Roman" w:hAnsi="Times New Roman" w:eastAsia="宋体"/>
          <w:sz w:val="24"/>
          <w:szCs w:val="24"/>
        </w:rPr>
        <w:t>评价</w:t>
      </w:r>
      <w:r>
        <w:rPr>
          <w:rFonts w:hint="eastAsia" w:ascii="Times New Roman" w:hAnsi="Times New Roman" w:eastAsia="宋体"/>
          <w:sz w:val="24"/>
          <w:szCs w:val="24"/>
        </w:rPr>
        <w:t>方法及等级划分。</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本文件适用于海底电缆企业标准水平评价，企业在制定企业标准时可参照使用，相关机构在制定企业标准“领跑者”评价方案时可参照使用。</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2" w:name="_Toc77761589"/>
      <w:r>
        <w:rPr>
          <w:rFonts w:hint="eastAsia" w:eastAsia="黑体"/>
          <w:b w:val="0"/>
          <w:sz w:val="24"/>
          <w:szCs w:val="24"/>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1.适用性原则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2.规范性原则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本文件根据《中华人民共和国标准法》、</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—2020《标准化工作导则</w:t>
      </w:r>
      <w:r>
        <w:rPr>
          <w:rFonts w:ascii="Times New Roman" w:hAnsi="Times New Roman" w:eastAsia="宋体" w:cs="Times New Roman"/>
          <w:sz w:val="24"/>
          <w:szCs w:val="24"/>
        </w:rPr>
        <w:t xml:space="preserve">  第1部分：标准化文件的结构和起草规则》、T/CAQP 015</w:t>
      </w:r>
      <w:r>
        <w:rPr>
          <w:rFonts w:hint="eastAsia" w:ascii="Times New Roman" w:hAnsi="Times New Roman" w:eastAsia="宋体" w:cs="Times New Roman"/>
          <w:sz w:val="24"/>
          <w:szCs w:val="24"/>
        </w:rPr>
        <w:t>《</w:t>
      </w:r>
      <w:r>
        <w:rPr>
          <w:rFonts w:hint="eastAsia" w:ascii="Times New Roman" w:hAnsi="Times New Roman" w:eastAsia="宋体" w:cs="Arial"/>
          <w:color w:val="000000"/>
          <w:sz w:val="24"/>
          <w:szCs w:val="24"/>
        </w:rPr>
        <w:t>“领跑者”</w:t>
      </w:r>
      <w:r>
        <w:rPr>
          <w:rFonts w:ascii="Times New Roman" w:hAnsi="Times New Roman" w:eastAsia="宋体" w:cs="Times New Roman"/>
          <w:sz w:val="24"/>
          <w:szCs w:val="24"/>
        </w:rPr>
        <w:t>标准编制通则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进行编制。</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w:t>
      </w:r>
      <w:r>
        <w:rPr>
          <w:rFonts w:ascii="Times New Roman" w:hAnsi="Times New Roman" w:eastAsia="宋体" w:cs="Times New Roman"/>
          <w:sz w:val="24"/>
          <w:szCs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先进性原则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本文件编制的过程中，充分调研产业链上下游企业，确定了评价体系和关键指标参数，关键技术指标与国内标杆企业和国际高端客户要求进行对比，达到并部分超越标杆企业水平。</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3" w:name="_Toc77761590"/>
      <w:r>
        <w:rPr>
          <w:rFonts w:hint="eastAsia" w:eastAsia="黑体"/>
          <w:b w:val="0"/>
          <w:sz w:val="24"/>
          <w:szCs w:val="24"/>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1.开展调研</w:t>
      </w:r>
    </w:p>
    <w:p>
      <w:pPr>
        <w:pStyle w:val="23"/>
        <w:adjustRightInd w:val="0"/>
        <w:snapToGrid w:val="0"/>
        <w:spacing w:before="0" w:line="360" w:lineRule="auto"/>
        <w:ind w:left="-2" w:leftChars="-1"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2020年11月开始，标准编制相关人员开始进行相关资料收集与背景调研，对</w:t>
      </w:r>
      <w:r>
        <w:rPr>
          <w:rFonts w:hint="eastAsia" w:ascii="Times New Roman" w:hAnsi="Times New Roman" w:cs="Times New Roman"/>
          <w:kern w:val="2"/>
          <w:sz w:val="24"/>
          <w:szCs w:val="24"/>
          <w:lang w:eastAsia="zh-CN"/>
        </w:rPr>
        <w:t>海底电缆</w:t>
      </w:r>
      <w:r>
        <w:rPr>
          <w:rFonts w:ascii="Times New Roman" w:hAnsi="Times New Roman" w:cs="Times New Roman"/>
          <w:kern w:val="2"/>
          <w:sz w:val="24"/>
          <w:szCs w:val="24"/>
          <w:lang w:eastAsia="zh-CN"/>
        </w:rPr>
        <w:t>的国家标准、行业标准、团体标准进行了相关的检索和研究，与之相关的国家标准</w:t>
      </w:r>
      <w:r>
        <w:rPr>
          <w:rFonts w:hint="eastAsia" w:ascii="Times New Roman" w:hAnsi="Times New Roman" w:cs="Times New Roman"/>
          <w:kern w:val="2"/>
          <w:sz w:val="24"/>
          <w:szCs w:val="24"/>
          <w:lang w:eastAsia="zh-CN"/>
        </w:rPr>
        <w:t>有</w:t>
      </w:r>
      <w:r>
        <w:rPr>
          <w:rFonts w:ascii="Times New Roman" w:hAnsi="Times New Roman" w:cs="Times New Roman"/>
          <w:kern w:val="2"/>
          <w:sz w:val="24"/>
          <w:szCs w:val="24"/>
          <w:lang w:eastAsia="zh-CN"/>
        </w:rPr>
        <w:t xml:space="preserve">：GB/T 2951.11《电缆和光缆绝缘和护套材料通用试验方法》、GB/T 2951.12《电缆和光缆绝缘和护套材料通用试验方法》、GB/T 2951.21《电缆和光缆绝缘和护套材料通用试验方法》、GB/T 2951.31《电缆和光缆绝缘和护套材料通用试验方法》、GB/T 3048.12 7 《电线电缆电性能试验方法》、 GB/T 3048.13《电线电缆电性能试验方法》、GB/T 3956 </w:t>
      </w:r>
      <w:r>
        <w:rPr>
          <w:rFonts w:hint="eastAsia" w:ascii="Times New Roman" w:hAnsi="Times New Roman" w:cs="Times New Roman"/>
          <w:kern w:val="2"/>
          <w:sz w:val="24"/>
          <w:szCs w:val="24"/>
          <w:lang w:eastAsia="zh-CN"/>
        </w:rPr>
        <w:t>《</w:t>
      </w:r>
      <w:r>
        <w:rPr>
          <w:rFonts w:ascii="Times New Roman" w:hAnsi="Times New Roman" w:cs="Times New Roman"/>
          <w:kern w:val="2"/>
          <w:sz w:val="24"/>
          <w:szCs w:val="24"/>
          <w:lang w:eastAsia="zh-CN"/>
        </w:rPr>
        <w:t>电缆的导体</w:t>
      </w:r>
      <w:r>
        <w:rPr>
          <w:rFonts w:hint="eastAsia" w:ascii="Times New Roman" w:hAnsi="Times New Roman" w:cs="Times New Roman"/>
          <w:kern w:val="2"/>
          <w:sz w:val="24"/>
          <w:szCs w:val="24"/>
          <w:lang w:eastAsia="zh-CN"/>
        </w:rPr>
        <w:t>》、</w:t>
      </w:r>
      <w:r>
        <w:rPr>
          <w:rFonts w:ascii="Times New Roman" w:hAnsi="Times New Roman" w:cs="Times New Roman"/>
          <w:kern w:val="2"/>
          <w:sz w:val="24"/>
          <w:szCs w:val="24"/>
          <w:lang w:eastAsia="zh-CN"/>
        </w:rPr>
        <w:t>GB/T 15972《光纤试验方法规范》、GB/T 16927.1《高电压试验技术》、GB/T 32346.1《额定电压220 kV(Um =252 kV)海底电缆及附件》、GB/T 32346.2《额定电压220 kV(Um =252 kV)海底电缆及附件》、GB/T 32346.3《额定电压220 kV(Um =252 kV)海底电缆及附件》、JB/T 10181.11</w:t>
      </w:r>
      <w:r>
        <w:rPr>
          <w:rFonts w:hint="eastAsia" w:ascii="Times New Roman" w:hAnsi="Times New Roman" w:cs="Times New Roman"/>
          <w:kern w:val="2"/>
          <w:sz w:val="24"/>
          <w:szCs w:val="24"/>
          <w:lang w:eastAsia="zh-CN"/>
        </w:rPr>
        <w:t>《电缆载流量计算》、</w:t>
      </w:r>
      <w:r>
        <w:rPr>
          <w:rFonts w:ascii="Times New Roman" w:hAnsi="Times New Roman" w:cs="Times New Roman"/>
          <w:kern w:val="2"/>
          <w:sz w:val="24"/>
          <w:szCs w:val="24"/>
          <w:lang w:eastAsia="zh-CN"/>
        </w:rPr>
        <w:t>JB/T 11167.1</w:t>
      </w:r>
      <w:bookmarkStart w:id="4" w:name="_Hlk76041560"/>
      <w:r>
        <w:rPr>
          <w:rFonts w:hint="eastAsia" w:ascii="Times New Roman" w:hAnsi="Times New Roman" w:cs="Times New Roman"/>
          <w:kern w:val="2"/>
          <w:sz w:val="24"/>
          <w:szCs w:val="24"/>
          <w:lang w:eastAsia="zh-CN"/>
        </w:rPr>
        <w:t>《额定电压</w:t>
      </w:r>
      <w:r>
        <w:rPr>
          <w:rFonts w:ascii="Times New Roman" w:hAnsi="Times New Roman" w:cs="Times New Roman"/>
          <w:kern w:val="2"/>
          <w:sz w:val="24"/>
          <w:szCs w:val="24"/>
          <w:lang w:eastAsia="zh-CN"/>
        </w:rPr>
        <w:t>10kV</w:t>
      </w:r>
      <w:r>
        <w:rPr>
          <w:rFonts w:hint="eastAsia" w:ascii="Times New Roman" w:hAnsi="Times New Roman" w:cs="Times New Roman"/>
          <w:kern w:val="2"/>
          <w:sz w:val="24"/>
          <w:szCs w:val="24"/>
          <w:lang w:eastAsia="zh-CN"/>
        </w:rPr>
        <w:t>至</w:t>
      </w:r>
      <w:r>
        <w:rPr>
          <w:rFonts w:ascii="Times New Roman" w:hAnsi="Times New Roman" w:cs="Times New Roman"/>
          <w:kern w:val="2"/>
          <w:sz w:val="24"/>
          <w:szCs w:val="24"/>
          <w:lang w:eastAsia="zh-CN"/>
        </w:rPr>
        <w:t>110kV</w:t>
      </w:r>
      <w:bookmarkEnd w:id="4"/>
      <w:r>
        <w:rPr>
          <w:rFonts w:hint="eastAsia" w:ascii="Times New Roman" w:hAnsi="Times New Roman" w:cs="Times New Roman"/>
          <w:kern w:val="2"/>
          <w:sz w:val="24"/>
          <w:szCs w:val="24"/>
          <w:lang w:eastAsia="zh-CN"/>
        </w:rPr>
        <w:t>海底电缆及附件》、</w:t>
      </w:r>
      <w:r>
        <w:rPr>
          <w:rFonts w:ascii="Times New Roman" w:hAnsi="Times New Roman" w:cs="Times New Roman"/>
          <w:kern w:val="2"/>
          <w:sz w:val="24"/>
          <w:szCs w:val="24"/>
          <w:lang w:eastAsia="zh-CN"/>
        </w:rPr>
        <w:t>JB/T 11167.</w:t>
      </w:r>
      <w:bookmarkStart w:id="5" w:name="_Hlk76041510"/>
      <w:r>
        <w:rPr>
          <w:rFonts w:ascii="Times New Roman" w:hAnsi="Times New Roman" w:cs="Times New Roman"/>
          <w:kern w:val="2"/>
          <w:sz w:val="24"/>
          <w:szCs w:val="24"/>
          <w:lang w:eastAsia="zh-CN"/>
        </w:rPr>
        <w:t>2</w:t>
      </w:r>
      <w:r>
        <w:rPr>
          <w:rFonts w:hint="eastAsia" w:ascii="Times New Roman" w:hAnsi="Times New Roman" w:cs="Times New Roman"/>
          <w:kern w:val="2"/>
          <w:sz w:val="24"/>
          <w:szCs w:val="24"/>
          <w:lang w:eastAsia="zh-CN"/>
        </w:rPr>
        <w:t>《额定电压</w:t>
      </w:r>
      <w:r>
        <w:rPr>
          <w:rFonts w:ascii="Times New Roman" w:hAnsi="Times New Roman" w:cs="Times New Roman"/>
          <w:kern w:val="2"/>
          <w:sz w:val="24"/>
          <w:szCs w:val="24"/>
          <w:lang w:eastAsia="zh-CN"/>
        </w:rPr>
        <w:t>10kV</w:t>
      </w:r>
      <w:r>
        <w:rPr>
          <w:rFonts w:hint="eastAsia" w:ascii="Times New Roman" w:hAnsi="Times New Roman" w:cs="Times New Roman"/>
          <w:kern w:val="2"/>
          <w:sz w:val="24"/>
          <w:szCs w:val="24"/>
          <w:lang w:eastAsia="zh-CN"/>
        </w:rPr>
        <w:t>至</w:t>
      </w:r>
      <w:r>
        <w:rPr>
          <w:rFonts w:ascii="Times New Roman" w:hAnsi="Times New Roman" w:cs="Times New Roman"/>
          <w:kern w:val="2"/>
          <w:sz w:val="24"/>
          <w:szCs w:val="24"/>
          <w:lang w:eastAsia="zh-CN"/>
        </w:rPr>
        <w:t>110kV</w:t>
      </w:r>
      <w:bookmarkEnd w:id="5"/>
      <w:r>
        <w:rPr>
          <w:rFonts w:hint="eastAsia" w:ascii="Times New Roman" w:hAnsi="Times New Roman" w:cs="Times New Roman"/>
          <w:kern w:val="2"/>
          <w:sz w:val="24"/>
          <w:szCs w:val="24"/>
          <w:lang w:eastAsia="zh-CN"/>
        </w:rPr>
        <w:t>海底电缆及附件》、</w:t>
      </w:r>
      <w:r>
        <w:rPr>
          <w:rFonts w:ascii="Times New Roman" w:hAnsi="Times New Roman" w:cs="Times New Roman"/>
          <w:kern w:val="2"/>
          <w:sz w:val="24"/>
          <w:szCs w:val="24"/>
          <w:lang w:eastAsia="zh-CN"/>
        </w:rPr>
        <w:t>JB/T 11167.3</w:t>
      </w:r>
      <w:r>
        <w:rPr>
          <w:rFonts w:hint="eastAsia" w:ascii="Times New Roman" w:hAnsi="Times New Roman" w:cs="Times New Roman"/>
          <w:kern w:val="2"/>
          <w:sz w:val="24"/>
          <w:szCs w:val="24"/>
          <w:lang w:eastAsia="zh-CN"/>
        </w:rPr>
        <w:t>《额定电压</w:t>
      </w:r>
      <w:r>
        <w:rPr>
          <w:rFonts w:ascii="Times New Roman" w:hAnsi="Times New Roman" w:cs="Times New Roman"/>
          <w:kern w:val="2"/>
          <w:sz w:val="24"/>
          <w:szCs w:val="24"/>
          <w:lang w:eastAsia="zh-CN"/>
        </w:rPr>
        <w:t>10kV</w:t>
      </w:r>
      <w:r>
        <w:rPr>
          <w:rFonts w:hint="eastAsia" w:ascii="Times New Roman" w:hAnsi="Times New Roman" w:cs="Times New Roman"/>
          <w:kern w:val="2"/>
          <w:sz w:val="24"/>
          <w:szCs w:val="24"/>
          <w:lang w:eastAsia="zh-CN"/>
        </w:rPr>
        <w:t>至</w:t>
      </w:r>
      <w:r>
        <w:rPr>
          <w:rFonts w:ascii="Times New Roman" w:hAnsi="Times New Roman" w:cs="Times New Roman"/>
          <w:kern w:val="2"/>
          <w:sz w:val="24"/>
          <w:szCs w:val="24"/>
          <w:lang w:eastAsia="zh-CN"/>
        </w:rPr>
        <w:t>110kV</w:t>
      </w:r>
      <w:r>
        <w:rPr>
          <w:rFonts w:hint="eastAsia" w:ascii="Times New Roman" w:hAnsi="Times New Roman" w:cs="Times New Roman"/>
          <w:kern w:val="2"/>
          <w:sz w:val="24"/>
          <w:szCs w:val="24"/>
          <w:lang w:eastAsia="zh-CN"/>
        </w:rPr>
        <w:t>海底电缆及附件》。</w:t>
      </w:r>
    </w:p>
    <w:p>
      <w:pPr>
        <w:pStyle w:val="23"/>
        <w:adjustRightInd w:val="0"/>
        <w:snapToGrid w:val="0"/>
        <w:spacing w:before="0" w:line="360" w:lineRule="auto"/>
        <w:ind w:left="-2" w:leftChars="-1" w:firstLine="482" w:firstLineChars="200"/>
        <w:rPr>
          <w:rFonts w:ascii="Times New Roman" w:hAnsi="Times New Roman"/>
          <w:sz w:val="24"/>
          <w:szCs w:val="24"/>
          <w:lang w:eastAsia="zh-CN"/>
        </w:rPr>
      </w:pPr>
      <w:r>
        <w:rPr>
          <w:rFonts w:hint="eastAsia" w:ascii="Times New Roman" w:hAnsi="Times New Roman" w:cs="Times New Roman"/>
          <w:b/>
          <w:bCs/>
          <w:kern w:val="2"/>
          <w:sz w:val="24"/>
          <w:szCs w:val="24"/>
          <w:lang w:eastAsia="zh-CN"/>
        </w:rPr>
        <w:t>2.成立标准起草组</w:t>
      </w:r>
    </w:p>
    <w:p>
      <w:pPr>
        <w:pStyle w:val="23"/>
        <w:adjustRightInd w:val="0"/>
        <w:snapToGrid w:val="0"/>
        <w:spacing w:before="0" w:line="360" w:lineRule="auto"/>
        <w:ind w:left="-2" w:leftChars="-1" w:firstLine="480" w:firstLineChars="200"/>
        <w:rPr>
          <w:rFonts w:ascii="Times New Roman" w:hAnsi="Times New Roman"/>
          <w:sz w:val="24"/>
          <w:szCs w:val="24"/>
          <w:lang w:eastAsia="zh-CN"/>
        </w:rPr>
      </w:pPr>
      <w:r>
        <w:rPr>
          <w:rFonts w:ascii="Times New Roman" w:hAnsi="Times New Roman"/>
          <w:sz w:val="24"/>
          <w:szCs w:val="24"/>
          <w:highlight w:val="none"/>
          <w:lang w:eastAsia="zh-CN"/>
        </w:rPr>
        <w:t>2020</w:t>
      </w:r>
      <w:r>
        <w:rPr>
          <w:rFonts w:hint="eastAsia" w:ascii="Times New Roman" w:hAnsi="Times New Roman"/>
          <w:sz w:val="24"/>
          <w:szCs w:val="24"/>
          <w:highlight w:val="none"/>
          <w:lang w:eastAsia="zh-CN"/>
        </w:rPr>
        <w:t>年</w:t>
      </w:r>
      <w:r>
        <w:rPr>
          <w:rFonts w:ascii="Times New Roman" w:hAnsi="Times New Roman"/>
          <w:sz w:val="24"/>
          <w:szCs w:val="24"/>
          <w:highlight w:val="none"/>
          <w:lang w:eastAsia="zh-CN"/>
        </w:rPr>
        <w:t>12</w:t>
      </w:r>
      <w:r>
        <w:rPr>
          <w:rFonts w:hint="eastAsia" w:ascii="Times New Roman" w:hAnsi="Times New Roman"/>
          <w:sz w:val="24"/>
          <w:szCs w:val="24"/>
          <w:highlight w:val="none"/>
          <w:lang w:eastAsia="zh-CN"/>
        </w:rPr>
        <w:t>月，成立标准起草组，开展相关制定工作。本文件起草单位：青岛汉缆股份有限</w:t>
      </w:r>
      <w:r>
        <w:rPr>
          <w:rFonts w:hint="eastAsia" w:ascii="Times New Roman" w:hAnsi="Times New Roman"/>
          <w:sz w:val="24"/>
          <w:szCs w:val="24"/>
          <w:highlight w:val="none"/>
          <w:lang w:val="en-US" w:eastAsia="zh-CN"/>
        </w:rPr>
        <w:t>公司等。</w:t>
      </w:r>
      <w:r>
        <w:rPr>
          <w:rFonts w:ascii="Times New Roman" w:hAnsi="Times New Roman"/>
          <w:sz w:val="24"/>
          <w:szCs w:val="24"/>
          <w:lang w:eastAsia="zh-CN"/>
        </w:rPr>
        <w:t xml:space="preserve"> </w:t>
      </w:r>
    </w:p>
    <w:p>
      <w:pPr>
        <w:pStyle w:val="23"/>
        <w:adjustRightInd w:val="0"/>
        <w:snapToGrid w:val="0"/>
        <w:spacing w:before="0" w:line="360" w:lineRule="auto"/>
        <w:ind w:left="-2" w:leftChars="-1" w:firstLine="480" w:firstLineChars="200"/>
        <w:rPr>
          <w:rFonts w:ascii="Times New Roman" w:hAnsi="Times New Roman"/>
          <w:sz w:val="24"/>
          <w:szCs w:val="24"/>
          <w:lang w:eastAsia="zh-CN"/>
        </w:rPr>
      </w:pP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highlight w:val="none"/>
          <w:lang w:eastAsia="zh-CN"/>
        </w:rPr>
      </w:pPr>
      <w:r>
        <w:rPr>
          <w:rFonts w:hint="eastAsia" w:ascii="Times New Roman" w:hAnsi="Times New Roman" w:cs="Times New Roman"/>
          <w:b/>
          <w:bCs/>
          <w:kern w:val="2"/>
          <w:sz w:val="24"/>
          <w:szCs w:val="24"/>
          <w:highlight w:val="none"/>
          <w:lang w:eastAsia="zh-CN"/>
        </w:rPr>
        <w:t>3.通过标准立项</w:t>
      </w:r>
    </w:p>
    <w:p>
      <w:pPr>
        <w:pStyle w:val="23"/>
        <w:adjustRightInd w:val="0"/>
        <w:snapToGrid w:val="0"/>
        <w:spacing w:before="0" w:line="360" w:lineRule="auto"/>
        <w:ind w:left="-2" w:leftChars="-1" w:firstLine="480" w:firstLineChars="200"/>
        <w:rPr>
          <w:rFonts w:ascii="Times New Roman" w:hAnsi="Times New Roman"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本文件由</w:t>
      </w:r>
      <w:r>
        <w:rPr>
          <w:rFonts w:hint="eastAsia" w:ascii="Times New Roman" w:hAnsi="Times New Roman" w:cs="Times New Roman"/>
          <w:kern w:val="2"/>
          <w:sz w:val="24"/>
          <w:szCs w:val="24"/>
          <w:highlight w:val="none"/>
          <w:lang w:val="en-US" w:eastAsia="zh-CN"/>
        </w:rPr>
        <w:t>山东省电线电缆行业协会</w:t>
      </w:r>
      <w:r>
        <w:rPr>
          <w:rFonts w:hint="eastAsia" w:ascii="Times New Roman" w:hAnsi="Times New Roman" w:cs="Times New Roman"/>
          <w:kern w:val="2"/>
          <w:sz w:val="24"/>
          <w:szCs w:val="24"/>
          <w:highlight w:val="none"/>
          <w:lang w:eastAsia="zh-CN"/>
        </w:rPr>
        <w:t>和企业标准“领跑者”工作委员会提出，按照中国技术经济学会团体标准立项要求，于</w:t>
      </w:r>
      <w:r>
        <w:rPr>
          <w:rFonts w:ascii="Times New Roman" w:hAnsi="Times New Roman" w:cs="Times New Roman"/>
          <w:kern w:val="2"/>
          <w:sz w:val="24"/>
          <w:szCs w:val="24"/>
          <w:highlight w:val="none"/>
          <w:lang w:eastAsia="zh-CN"/>
        </w:rPr>
        <w:t>2021</w:t>
      </w:r>
      <w:r>
        <w:rPr>
          <w:rFonts w:hint="eastAsia" w:ascii="Times New Roman" w:hAnsi="Times New Roman" w:cs="Times New Roman"/>
          <w:kern w:val="2"/>
          <w:sz w:val="24"/>
          <w:szCs w:val="24"/>
          <w:highlight w:val="none"/>
          <w:lang w:eastAsia="zh-CN"/>
        </w:rPr>
        <w:t>年</w:t>
      </w:r>
      <w:r>
        <w:rPr>
          <w:rFonts w:hint="eastAsia" w:ascii="Times New Roman" w:hAnsi="Times New Roman" w:cs="Times New Roman"/>
          <w:kern w:val="2"/>
          <w:sz w:val="24"/>
          <w:szCs w:val="24"/>
          <w:highlight w:val="none"/>
          <w:lang w:val="en-US" w:eastAsia="zh-CN"/>
        </w:rPr>
        <w:t>7</w:t>
      </w:r>
      <w:r>
        <w:rPr>
          <w:rFonts w:hint="eastAsia" w:ascii="Times New Roman" w:hAnsi="Times New Roman" w:cs="Times New Roman"/>
          <w:kern w:val="2"/>
          <w:sz w:val="24"/>
          <w:szCs w:val="24"/>
          <w:highlight w:val="none"/>
          <w:lang w:eastAsia="zh-CN"/>
        </w:rPr>
        <w:t>月完成标准立项，计划编号</w:t>
      </w:r>
      <w:r>
        <w:rPr>
          <w:rFonts w:ascii="Times New Roman" w:hAnsi="Times New Roman" w:cs="Times New Roman"/>
          <w:kern w:val="2"/>
          <w:sz w:val="24"/>
          <w:szCs w:val="24"/>
          <w:highlight w:val="none"/>
          <w:lang w:eastAsia="zh-CN"/>
        </w:rPr>
        <w:t>202100</w:t>
      </w:r>
      <w:r>
        <w:rPr>
          <w:rFonts w:hint="eastAsia" w:ascii="Times New Roman" w:hAnsi="Times New Roman" w:cs="Times New Roman"/>
          <w:kern w:val="2"/>
          <w:sz w:val="24"/>
          <w:szCs w:val="24"/>
          <w:highlight w:val="none"/>
          <w:lang w:val="en-US" w:eastAsia="zh-CN"/>
        </w:rPr>
        <w:t>96</w:t>
      </w:r>
      <w:r>
        <w:rPr>
          <w:rFonts w:hint="eastAsia" w:ascii="Times New Roman" w:hAnsi="Times New Roman" w:cs="Times New Roman"/>
          <w:kern w:val="2"/>
          <w:sz w:val="24"/>
          <w:szCs w:val="24"/>
          <w:highlight w:val="none"/>
          <w:lang w:eastAsia="zh-CN"/>
        </w:rPr>
        <w:t>。</w:t>
      </w:r>
    </w:p>
    <w:p>
      <w:pPr>
        <w:pStyle w:val="23"/>
        <w:adjustRightInd w:val="0"/>
        <w:snapToGrid w:val="0"/>
        <w:spacing w:before="0" w:line="360" w:lineRule="auto"/>
        <w:ind w:left="-2" w:leftChars="-1" w:firstLine="482" w:firstLineChars="200"/>
        <w:rPr>
          <w:rFonts w:ascii="Times New Roman" w:hAnsi="Times New Roman" w:cs="Times New Roman"/>
          <w:b/>
          <w:bCs/>
          <w:kern w:val="2"/>
          <w:sz w:val="24"/>
          <w:szCs w:val="24"/>
          <w:highlight w:val="none"/>
          <w:lang w:eastAsia="zh-CN"/>
        </w:rPr>
      </w:pPr>
      <w:r>
        <w:rPr>
          <w:rFonts w:hint="eastAsia" w:ascii="Times New Roman" w:hAnsi="Times New Roman" w:cs="Times New Roman"/>
          <w:b/>
          <w:bCs/>
          <w:kern w:val="2"/>
          <w:sz w:val="24"/>
          <w:szCs w:val="24"/>
          <w:highlight w:val="none"/>
          <w:lang w:eastAsia="zh-CN"/>
        </w:rPr>
        <w:t>4.行业专家研讨，形成征求意见稿</w:t>
      </w:r>
    </w:p>
    <w:p>
      <w:pPr>
        <w:pStyle w:val="23"/>
        <w:adjustRightInd w:val="0"/>
        <w:snapToGrid w:val="0"/>
        <w:spacing w:before="0" w:line="360" w:lineRule="auto"/>
        <w:ind w:left="-2" w:leftChars="-1" w:firstLine="480" w:firstLineChars="200"/>
        <w:rPr>
          <w:rFonts w:ascii="Times New Roman" w:hAnsi="Times New Roman"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标准起草组经过多次讨论和专家咨询，进一步确定标准的主体内容，形成征求意见稿，并于</w:t>
      </w:r>
      <w:r>
        <w:rPr>
          <w:rFonts w:ascii="Times New Roman" w:hAnsi="Times New Roman" w:cs="Times New Roman"/>
          <w:kern w:val="2"/>
          <w:sz w:val="24"/>
          <w:szCs w:val="24"/>
          <w:highlight w:val="none"/>
          <w:lang w:eastAsia="zh-CN"/>
        </w:rPr>
        <w:t>2021年</w:t>
      </w:r>
      <w:r>
        <w:rPr>
          <w:rFonts w:hint="eastAsia" w:ascii="Times New Roman" w:hAnsi="Times New Roman" w:cs="Times New Roman"/>
          <w:kern w:val="2"/>
          <w:sz w:val="24"/>
          <w:szCs w:val="24"/>
          <w:highlight w:val="none"/>
          <w:lang w:val="en-US" w:eastAsia="zh-CN"/>
        </w:rPr>
        <w:t>7</w:t>
      </w:r>
      <w:r>
        <w:rPr>
          <w:rFonts w:ascii="Times New Roman" w:hAnsi="Times New Roman" w:cs="Times New Roman"/>
          <w:kern w:val="2"/>
          <w:sz w:val="24"/>
          <w:szCs w:val="24"/>
          <w:highlight w:val="none"/>
          <w:lang w:eastAsia="zh-CN"/>
        </w:rPr>
        <w:t>月</w:t>
      </w:r>
      <w:r>
        <w:rPr>
          <w:rFonts w:hint="eastAsia" w:ascii="Times New Roman" w:hAnsi="Times New Roman" w:cs="Times New Roman"/>
          <w:kern w:val="2"/>
          <w:sz w:val="24"/>
          <w:szCs w:val="24"/>
          <w:highlight w:val="none"/>
          <w:lang w:eastAsia="zh-CN"/>
        </w:rPr>
        <w:t>向全社会公开征求意见。</w:t>
      </w:r>
    </w:p>
    <w:p>
      <w:pPr>
        <w:pStyle w:val="23"/>
        <w:adjustRightInd w:val="0"/>
        <w:snapToGrid w:val="0"/>
        <w:spacing w:before="0" w:line="360" w:lineRule="auto"/>
        <w:ind w:left="-2" w:leftChars="-1" w:firstLine="480" w:firstLineChars="200"/>
        <w:rPr>
          <w:rFonts w:ascii="黑体" w:hAnsi="黑体" w:eastAsia="黑体"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5.</w:t>
      </w:r>
      <w:r>
        <w:rPr>
          <w:rFonts w:hint="eastAsia" w:ascii="黑体" w:hAnsi="黑体" w:eastAsia="黑体" w:cs="Times New Roman"/>
          <w:kern w:val="2"/>
          <w:sz w:val="24"/>
          <w:szCs w:val="24"/>
          <w:highlight w:val="none"/>
          <w:lang w:eastAsia="zh-CN"/>
        </w:rPr>
        <w:t>征求意见处理</w:t>
      </w:r>
    </w:p>
    <w:p>
      <w:pPr>
        <w:pStyle w:val="23"/>
        <w:adjustRightInd w:val="0"/>
        <w:snapToGrid w:val="0"/>
        <w:spacing w:before="0" w:line="360" w:lineRule="auto"/>
        <w:ind w:left="-2" w:leftChars="-1" w:firstLine="480" w:firstLineChars="200"/>
        <w:rPr>
          <w:rFonts w:ascii="Times New Roman" w:hAnsi="Times New Roman" w:cs="Times New Roman"/>
          <w:kern w:val="2"/>
          <w:sz w:val="24"/>
          <w:szCs w:val="24"/>
          <w:highlight w:val="none"/>
          <w:lang w:eastAsia="zh-CN"/>
        </w:rPr>
      </w:pPr>
      <w:r>
        <w:rPr>
          <w:rFonts w:hint="eastAsia" w:ascii="Times New Roman" w:hAnsi="Times New Roman" w:cs="Times New Roman"/>
          <w:kern w:val="2"/>
          <w:sz w:val="24"/>
          <w:szCs w:val="24"/>
          <w:highlight w:val="none"/>
          <w:lang w:eastAsia="zh-CN"/>
        </w:rPr>
        <w:t>本文件由中国技术经济学会、</w:t>
      </w:r>
      <w:r>
        <w:rPr>
          <w:rFonts w:hint="eastAsia" w:ascii="Times New Roman" w:hAnsi="Times New Roman" w:cs="Times New Roman"/>
          <w:kern w:val="2"/>
          <w:sz w:val="24"/>
          <w:szCs w:val="24"/>
          <w:highlight w:val="none"/>
          <w:lang w:val="en-US" w:eastAsia="zh-CN"/>
        </w:rPr>
        <w:t>山东省电线电缆行业协会</w:t>
      </w:r>
      <w:r>
        <w:rPr>
          <w:rFonts w:hint="eastAsia" w:ascii="Times New Roman" w:hAnsi="Times New Roman" w:cs="Times New Roman"/>
          <w:kern w:val="2"/>
          <w:sz w:val="24"/>
          <w:szCs w:val="24"/>
          <w:highlight w:val="none"/>
          <w:lang w:eastAsia="zh-CN"/>
        </w:rPr>
        <w:t>于</w:t>
      </w:r>
      <w:r>
        <w:rPr>
          <w:rFonts w:ascii="Times New Roman" w:hAnsi="Times New Roman" w:cs="Times New Roman"/>
          <w:kern w:val="2"/>
          <w:sz w:val="24"/>
          <w:szCs w:val="24"/>
          <w:highlight w:val="none"/>
          <w:lang w:eastAsia="zh-CN"/>
        </w:rPr>
        <w:t>2021</w:t>
      </w:r>
      <w:r>
        <w:rPr>
          <w:rFonts w:hint="eastAsia" w:ascii="Times New Roman" w:hAnsi="Times New Roman" w:cs="Times New Roman"/>
          <w:kern w:val="2"/>
          <w:sz w:val="24"/>
          <w:szCs w:val="24"/>
          <w:highlight w:val="none"/>
          <w:lang w:eastAsia="zh-CN"/>
        </w:rPr>
        <w:t>年</w:t>
      </w:r>
      <w:r>
        <w:rPr>
          <w:rFonts w:hint="eastAsia" w:ascii="Times New Roman" w:hAnsi="Times New Roman" w:cs="Times New Roman"/>
          <w:kern w:val="2"/>
          <w:sz w:val="24"/>
          <w:szCs w:val="24"/>
          <w:highlight w:val="none"/>
          <w:lang w:val="en-US" w:eastAsia="zh-CN"/>
        </w:rPr>
        <w:t>7</w:t>
      </w:r>
      <w:r>
        <w:rPr>
          <w:rFonts w:hint="eastAsia" w:ascii="Times New Roman" w:hAnsi="Times New Roman" w:cs="Times New Roman"/>
          <w:kern w:val="2"/>
          <w:sz w:val="24"/>
          <w:szCs w:val="24"/>
          <w:highlight w:val="none"/>
          <w:lang w:eastAsia="zh-CN"/>
        </w:rPr>
        <w:t>月</w:t>
      </w:r>
      <w:r>
        <w:rPr>
          <w:rFonts w:hint="eastAsia" w:ascii="Times New Roman" w:hAnsi="Times New Roman" w:cs="Times New Roman"/>
          <w:kern w:val="2"/>
          <w:sz w:val="24"/>
          <w:szCs w:val="24"/>
          <w:highlight w:val="none"/>
          <w:lang w:val="en-US" w:eastAsia="zh-CN"/>
        </w:rPr>
        <w:t>1</w:t>
      </w:r>
      <w:r>
        <w:rPr>
          <w:rFonts w:ascii="Times New Roman" w:hAnsi="Times New Roman" w:cs="Times New Roman"/>
          <w:kern w:val="2"/>
          <w:sz w:val="24"/>
          <w:szCs w:val="24"/>
          <w:highlight w:val="none"/>
          <w:lang w:eastAsia="zh-CN"/>
        </w:rPr>
        <w:t>5</w:t>
      </w:r>
      <w:r>
        <w:rPr>
          <w:rFonts w:hint="eastAsia" w:ascii="Times New Roman" w:hAnsi="Times New Roman" w:cs="Times New Roman"/>
          <w:kern w:val="2"/>
          <w:sz w:val="24"/>
          <w:szCs w:val="24"/>
          <w:highlight w:val="none"/>
          <w:lang w:eastAsia="zh-CN"/>
        </w:rPr>
        <w:t>日</w:t>
      </w:r>
      <w:r>
        <w:rPr>
          <w:rFonts w:ascii="Times New Roman" w:hAnsi="Times New Roman" w:cs="Times New Roman"/>
          <w:kern w:val="2"/>
          <w:sz w:val="24"/>
          <w:szCs w:val="24"/>
          <w:highlight w:val="none"/>
          <w:lang w:eastAsia="zh-CN"/>
        </w:rPr>
        <w:t>-</w:t>
      </w:r>
      <w:r>
        <w:rPr>
          <w:rFonts w:hint="eastAsia" w:ascii="Times New Roman" w:hAnsi="Times New Roman" w:cs="Times New Roman"/>
          <w:kern w:val="2"/>
          <w:sz w:val="24"/>
          <w:szCs w:val="24"/>
          <w:highlight w:val="none"/>
          <w:lang w:val="en-US" w:eastAsia="zh-CN"/>
        </w:rPr>
        <w:t>8</w:t>
      </w:r>
      <w:r>
        <w:rPr>
          <w:rFonts w:hint="eastAsia" w:ascii="Times New Roman" w:hAnsi="Times New Roman" w:cs="Times New Roman"/>
          <w:kern w:val="2"/>
          <w:sz w:val="24"/>
          <w:szCs w:val="24"/>
          <w:highlight w:val="none"/>
          <w:lang w:eastAsia="zh-CN"/>
        </w:rPr>
        <w:t>月</w:t>
      </w:r>
      <w:r>
        <w:rPr>
          <w:rFonts w:hint="eastAsia" w:ascii="Times New Roman" w:hAnsi="Times New Roman" w:cs="Times New Roman"/>
          <w:kern w:val="2"/>
          <w:sz w:val="24"/>
          <w:szCs w:val="24"/>
          <w:highlight w:val="none"/>
          <w:lang w:val="en-US" w:eastAsia="zh-CN"/>
        </w:rPr>
        <w:t>1</w:t>
      </w:r>
      <w:r>
        <w:rPr>
          <w:rFonts w:ascii="Times New Roman" w:hAnsi="Times New Roman" w:cs="Times New Roman"/>
          <w:kern w:val="2"/>
          <w:sz w:val="24"/>
          <w:szCs w:val="24"/>
          <w:highlight w:val="none"/>
          <w:lang w:eastAsia="zh-CN"/>
        </w:rPr>
        <w:t>5</w:t>
      </w:r>
      <w:r>
        <w:rPr>
          <w:rFonts w:hint="eastAsia" w:ascii="Times New Roman" w:hAnsi="Times New Roman" w:cs="Times New Roman"/>
          <w:kern w:val="2"/>
          <w:sz w:val="24"/>
          <w:szCs w:val="24"/>
          <w:highlight w:val="none"/>
          <w:lang w:eastAsia="zh-CN"/>
        </w:rPr>
        <w:t>日进行公开征求意见。收到来自</w:t>
      </w:r>
      <w:r>
        <w:rPr>
          <w:rFonts w:hint="eastAsia" w:ascii="Times New Roman" w:hAnsi="Times New Roman" w:cs="Times New Roman"/>
          <w:kern w:val="2"/>
          <w:sz w:val="24"/>
          <w:szCs w:val="24"/>
          <w:highlight w:val="none"/>
          <w:lang w:val="en-US" w:eastAsia="zh-CN"/>
        </w:rPr>
        <w:t>3</w:t>
      </w:r>
      <w:r>
        <w:rPr>
          <w:rFonts w:hint="eastAsia" w:ascii="Times New Roman" w:hAnsi="Times New Roman" w:cs="Times New Roman"/>
          <w:kern w:val="2"/>
          <w:sz w:val="24"/>
          <w:szCs w:val="24"/>
          <w:highlight w:val="none"/>
          <w:lang w:eastAsia="zh-CN"/>
        </w:rPr>
        <w:t>家单位的</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eastAsia="zh-CN"/>
        </w:rPr>
        <w:t>条意见，</w:t>
      </w:r>
      <w:r>
        <w:rPr>
          <w:rFonts w:ascii="Times New Roman" w:hAnsi="Times New Roman" w:cs="Times New Roman"/>
          <w:kern w:val="2"/>
          <w:sz w:val="24"/>
          <w:szCs w:val="24"/>
          <w:highlight w:val="none"/>
          <w:lang w:eastAsia="zh-CN"/>
        </w:rPr>
        <w:t>2021</w:t>
      </w:r>
      <w:r>
        <w:rPr>
          <w:rFonts w:hint="eastAsia" w:ascii="Times New Roman" w:hAnsi="Times New Roman" w:cs="Times New Roman"/>
          <w:kern w:val="2"/>
          <w:sz w:val="24"/>
          <w:szCs w:val="24"/>
          <w:highlight w:val="none"/>
          <w:lang w:eastAsia="zh-CN"/>
        </w:rPr>
        <w:t>年</w:t>
      </w:r>
      <w:r>
        <w:rPr>
          <w:rFonts w:hint="eastAsia" w:ascii="Times New Roman" w:hAnsi="Times New Roman" w:cs="Times New Roman"/>
          <w:kern w:val="2"/>
          <w:sz w:val="24"/>
          <w:szCs w:val="24"/>
          <w:highlight w:val="none"/>
          <w:lang w:val="en-US" w:eastAsia="zh-CN"/>
        </w:rPr>
        <w:t>8</w:t>
      </w:r>
      <w:r>
        <w:rPr>
          <w:rFonts w:hint="eastAsia" w:ascii="Times New Roman" w:hAnsi="Times New Roman" w:cs="Times New Roman"/>
          <w:kern w:val="2"/>
          <w:sz w:val="24"/>
          <w:szCs w:val="24"/>
          <w:highlight w:val="none"/>
          <w:lang w:eastAsia="zh-CN"/>
        </w:rPr>
        <w:t>月</w:t>
      </w:r>
      <w:r>
        <w:rPr>
          <w:rFonts w:hint="eastAsia" w:ascii="Times New Roman" w:hAnsi="Times New Roman" w:cs="Times New Roman"/>
          <w:kern w:val="2"/>
          <w:sz w:val="24"/>
          <w:szCs w:val="24"/>
          <w:highlight w:val="none"/>
          <w:lang w:val="en-US" w:eastAsia="zh-CN"/>
        </w:rPr>
        <w:t>25</w:t>
      </w:r>
      <w:r>
        <w:rPr>
          <w:rFonts w:hint="eastAsia" w:ascii="Times New Roman" w:hAnsi="Times New Roman" w:cs="Times New Roman"/>
          <w:kern w:val="2"/>
          <w:sz w:val="24"/>
          <w:szCs w:val="24"/>
          <w:highlight w:val="none"/>
          <w:lang w:eastAsia="zh-CN"/>
        </w:rPr>
        <w:t>日，召开了起草单位对征求意见处理讨论网络会议，修改标准稿件，形成送审稿。</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6" w:name="_Toc77761591"/>
      <w:r>
        <w:rPr>
          <w:rFonts w:hint="eastAsia" w:eastAsia="黑体"/>
          <w:b w:val="0"/>
          <w:sz w:val="24"/>
          <w:szCs w:val="24"/>
        </w:rPr>
        <w:t>五、标准主要技术内容</w:t>
      </w:r>
      <w:bookmarkEnd w:id="6"/>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1.基础部分（第一至三章）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对标准的使用范围、所涉及规范性引用文件和术语定义进行规定。</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2.评价指标体系（第四章）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sz w:val="24"/>
          <w:szCs w:val="24"/>
        </w:rPr>
        <w:t>海底电缆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”标准的评价指标体系包括基本要求、评价指标分类和评价指标体系框架。基础指标、核心指标和创新性指标，具体评价指标体系框架见表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pStyle w:val="65"/>
        <w:adjustRightInd w:val="0"/>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（1）基本要求包括：</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提供产品质量与公开标准一致性承诺书。</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生产企业近三年，无较大环境、安全、质量事故。</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企业未列入国家信用信息严重失信主体相关名录。</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企业可根据</w:t>
      </w:r>
      <w:r>
        <w:rPr>
          <w:rFonts w:ascii="Times New Roman" w:hAnsi="Times New Roman" w:eastAsia="宋体"/>
          <w:sz w:val="24"/>
          <w:szCs w:val="24"/>
        </w:rPr>
        <w:t>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pStyle w:val="67"/>
        <w:adjustRightInd w:val="0"/>
        <w:snapToGrid w:val="0"/>
        <w:spacing w:line="360" w:lineRule="auto"/>
        <w:ind w:firstLine="480"/>
        <w:rPr>
          <w:rFonts w:ascii="Times New Roman"/>
          <w:kern w:val="2"/>
          <w:sz w:val="24"/>
          <w:szCs w:val="24"/>
        </w:rPr>
      </w:pPr>
      <w:r>
        <w:rPr>
          <w:rFonts w:hint="eastAsia" w:ascii="Times New Roman"/>
          <w:kern w:val="2"/>
          <w:sz w:val="24"/>
          <w:szCs w:val="24"/>
        </w:rPr>
        <w:t>（2）</w:t>
      </w:r>
      <w:r>
        <w:rPr>
          <w:rFonts w:ascii="Times New Roman"/>
          <w:kern w:val="2"/>
          <w:sz w:val="24"/>
          <w:szCs w:val="24"/>
        </w:rPr>
        <w:t>评价指标分类</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海底电缆“领跑者”标准的评价指标包括基础指标、核心指标和创新性指标。</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cstheme="minorBidi"/>
          <w:kern w:val="2"/>
          <w:sz w:val="24"/>
          <w:szCs w:val="24"/>
        </w:rPr>
        <w:t>基础指标包括交流电压试验、导体检验、导体电阻、绝缘厚度测量、金属套厚度测量、外护套厚度测量、铠装金属丝测量、直径测量、导体屏蔽和绝缘屏蔽电阻率测试、电压试验、光纤色谱识别、光纤色散测量、光纤单元水密性试验、海底电缆和工厂接头的卷绕试验、</w:t>
      </w:r>
      <w:r>
        <w:rPr>
          <w:rFonts w:ascii="Times New Roman" w:cstheme="minorBidi"/>
          <w:kern w:val="2"/>
          <w:sz w:val="24"/>
          <w:szCs w:val="24"/>
        </w:rPr>
        <w:t>XLPE</w:t>
      </w:r>
      <w:r>
        <w:rPr>
          <w:rFonts w:hint="eastAsia" w:ascii="Times New Roman" w:cstheme="minorBidi"/>
          <w:kern w:val="2"/>
          <w:sz w:val="24"/>
          <w:szCs w:val="24"/>
        </w:rPr>
        <w:t>绝缘微孔杂质和半导电屏蔽层与绝缘层界面的微孔与突起试验、导体接头拉力试验、工厂软接头</w:t>
      </w:r>
      <w:r>
        <w:rPr>
          <w:rFonts w:ascii="Times New Roman" w:cstheme="minorBidi"/>
          <w:kern w:val="2"/>
          <w:sz w:val="24"/>
          <w:szCs w:val="24"/>
        </w:rPr>
        <w:t>XLPE</w:t>
      </w:r>
      <w:r>
        <w:rPr>
          <w:rFonts w:hint="eastAsia" w:ascii="Times New Roman" w:cstheme="minorBidi"/>
          <w:kern w:val="2"/>
          <w:sz w:val="24"/>
          <w:szCs w:val="24"/>
        </w:rPr>
        <w:t>绝缘热延伸试验、软接头抗拉强度和断裂伸长率、半导电护套（若有）电阻率测量、光纤衰减系数测量。</w:t>
      </w:r>
    </w:p>
    <w:p>
      <w:pPr>
        <w:spacing w:line="360" w:lineRule="auto"/>
        <w:jc w:val="left"/>
        <w:rPr>
          <w:rFonts w:ascii="Times New Roman" w:hAnsi="Times New Roman" w:eastAsia="宋体" w:cs="Times New Roman"/>
          <w:kern w:val="0"/>
          <w:sz w:val="24"/>
          <w:szCs w:val="24"/>
        </w:rPr>
      </w:pPr>
      <w:r>
        <w:rPr>
          <w:rFonts w:ascii="Times New Roman"/>
          <w:sz w:val="24"/>
          <w:szCs w:val="24"/>
        </w:rPr>
        <w:t>—</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核心指标包括海缆本体局部放电试验、</w:t>
      </w:r>
      <w:r>
        <w:rPr>
          <w:rFonts w:ascii="Times New Roman" w:hAnsi="Times New Roman" w:eastAsia="宋体" w:cs="Times New Roman"/>
          <w:kern w:val="0"/>
          <w:sz w:val="24"/>
          <w:szCs w:val="24"/>
        </w:rPr>
        <w:t>35kV</w:t>
      </w:r>
      <w:r>
        <w:rPr>
          <w:rFonts w:hint="eastAsia" w:ascii="Times New Roman" w:hAnsi="Times New Roman" w:eastAsia="宋体" w:cs="Times New Roman"/>
          <w:kern w:val="0"/>
          <w:sz w:val="24"/>
          <w:szCs w:val="24"/>
        </w:rPr>
        <w:t>及以下海底电缆绝缘偏心率、</w:t>
      </w:r>
      <w:r>
        <w:rPr>
          <w:rFonts w:ascii="Times New Roman" w:hAnsi="Times New Roman" w:eastAsia="宋体" w:cs="Times New Roman"/>
          <w:kern w:val="0"/>
          <w:sz w:val="24"/>
          <w:szCs w:val="24"/>
        </w:rPr>
        <w:t>35kV</w:t>
      </w:r>
      <w:r>
        <w:rPr>
          <w:rFonts w:hint="eastAsia" w:ascii="Times New Roman" w:hAnsi="Times New Roman" w:eastAsia="宋体" w:cs="Times New Roman"/>
          <w:kern w:val="0"/>
          <w:sz w:val="24"/>
          <w:szCs w:val="24"/>
        </w:rPr>
        <w:t>以上海底电缆绝缘偏心率、软接头的局部放电试验、</w:t>
      </w:r>
      <w:r>
        <w:rPr>
          <w:rFonts w:ascii="Times New Roman" w:hAnsi="Times New Roman" w:eastAsia="宋体" w:cs="Times New Roman"/>
          <w:kern w:val="0"/>
          <w:sz w:val="24"/>
          <w:szCs w:val="24"/>
        </w:rPr>
        <w:t>66kV</w:t>
      </w:r>
      <w:r>
        <w:rPr>
          <w:rFonts w:hint="eastAsia" w:ascii="Times New Roman" w:hAnsi="Times New Roman" w:eastAsia="宋体" w:cs="Times New Roman"/>
          <w:kern w:val="0"/>
          <w:sz w:val="24"/>
          <w:szCs w:val="24"/>
        </w:rPr>
        <w:t>及以下无工厂软接头一次交货长度、</w:t>
      </w:r>
      <w:r>
        <w:rPr>
          <w:rFonts w:ascii="Times New Roman" w:hAnsi="Times New Roman" w:eastAsia="宋体" w:cs="Times New Roman"/>
          <w:kern w:val="0"/>
          <w:sz w:val="24"/>
          <w:szCs w:val="24"/>
        </w:rPr>
        <w:t>110kV</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220kV</w:t>
      </w:r>
      <w:r>
        <w:rPr>
          <w:rFonts w:hint="eastAsia" w:ascii="Times New Roman" w:hAnsi="Times New Roman" w:eastAsia="宋体" w:cs="Times New Roman"/>
          <w:kern w:val="0"/>
          <w:sz w:val="24"/>
          <w:szCs w:val="24"/>
        </w:rPr>
        <w:t>无工厂软接头一次交货长度。</w:t>
      </w:r>
    </w:p>
    <w:p>
      <w:pPr>
        <w:pStyle w:val="67"/>
        <w:adjustRightInd w:val="0"/>
        <w:snapToGrid w:val="0"/>
        <w:spacing w:line="360" w:lineRule="auto"/>
        <w:ind w:firstLine="480"/>
        <w:rPr>
          <w:rFonts w:ascii="Times New Roman"/>
          <w:sz w:val="24"/>
          <w:szCs w:val="24"/>
        </w:rPr>
      </w:pPr>
      <w:r>
        <w:rPr>
          <w:rFonts w:ascii="Times New Roman"/>
          <w:sz w:val="24"/>
          <w:szCs w:val="24"/>
        </w:rPr>
        <w:t>——</w:t>
      </w:r>
      <w:r>
        <w:rPr>
          <w:rFonts w:hint="eastAsia" w:ascii="Times New Roman"/>
          <w:sz w:val="24"/>
          <w:szCs w:val="24"/>
        </w:rPr>
        <w:t>创新性指标创新性指标为根据</w:t>
      </w:r>
      <w:r>
        <w:rPr>
          <w:rFonts w:ascii="Times New Roman"/>
          <w:sz w:val="24"/>
          <w:szCs w:val="24"/>
        </w:rPr>
        <w:t>JB/T11167.1</w:t>
      </w:r>
      <w:r>
        <w:rPr>
          <w:rFonts w:hint="eastAsia" w:ascii="Times New Roman"/>
          <w:sz w:val="24"/>
          <w:szCs w:val="24"/>
        </w:rPr>
        <w:t>和</w:t>
      </w:r>
      <w:r>
        <w:rPr>
          <w:rFonts w:ascii="Times New Roman"/>
          <w:sz w:val="24"/>
          <w:szCs w:val="24"/>
        </w:rPr>
        <w:t>GB/T 32346.1</w:t>
      </w:r>
      <w:r>
        <w:rPr>
          <w:rFonts w:hint="eastAsia" w:ascii="Times New Roman"/>
          <w:sz w:val="24"/>
          <w:szCs w:val="24"/>
        </w:rPr>
        <w:t>的要求进行的工程现场修理接头的制造和纵向径向透水试验</w:t>
      </w:r>
    </w:p>
    <w:p>
      <w:pPr>
        <w:pStyle w:val="67"/>
        <w:adjustRightInd w:val="0"/>
        <w:snapToGrid w:val="0"/>
        <w:spacing w:line="360" w:lineRule="auto"/>
        <w:ind w:firstLine="480"/>
        <w:rPr>
          <w:rFonts w:ascii="Times New Roman"/>
          <w:kern w:val="2"/>
          <w:sz w:val="24"/>
          <w:szCs w:val="24"/>
        </w:rPr>
      </w:pPr>
      <w:r>
        <w:rPr>
          <w:rFonts w:ascii="Times New Roman"/>
          <w:sz w:val="24"/>
          <w:szCs w:val="24"/>
        </w:rPr>
        <w:t>——</w:t>
      </w:r>
      <w:r>
        <w:rPr>
          <w:rFonts w:hint="eastAsia" w:ascii="Times New Roman"/>
          <w:sz w:val="24"/>
          <w:szCs w:val="24"/>
        </w:rPr>
        <w:t>核心指标分为先进水平、平均水平和基准水平共3个等级，先进水平相当于企业标准排行榜中5星级水平；平均水平相当于企业标准排行榜中4星级水平；基准水平相当于企业标准排行榜中3星级水平。</w:t>
      </w:r>
    </w:p>
    <w:p>
      <w:pPr>
        <w:pStyle w:val="67"/>
        <w:jc w:val="center"/>
        <w:rPr>
          <w:rFonts w:ascii="Times New Roman" w:eastAsia="黑体"/>
          <w:szCs w:val="21"/>
        </w:rPr>
      </w:pPr>
      <w:r>
        <w:rPr>
          <w:rFonts w:hint="eastAsia" w:ascii="Times New Roman" w:eastAsia="黑体"/>
          <w:szCs w:val="21"/>
        </w:rPr>
        <w:t>表1</w:t>
      </w:r>
      <w:r>
        <w:rPr>
          <w:rFonts w:ascii="Times New Roman" w:eastAsia="黑体"/>
          <w:szCs w:val="21"/>
        </w:rPr>
        <w:t xml:space="preserve"> </w:t>
      </w:r>
      <w:r>
        <w:rPr>
          <w:rFonts w:hint="eastAsia" w:ascii="Times New Roman" w:eastAsia="黑体"/>
          <w:szCs w:val="21"/>
        </w:rPr>
        <w:t xml:space="preserve"> 评价指标体系框架</w:t>
      </w:r>
    </w:p>
    <w:tbl>
      <w:tblPr>
        <w:tblStyle w:val="45"/>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716"/>
        <w:gridCol w:w="1985"/>
        <w:gridCol w:w="1417"/>
        <w:gridCol w:w="1134"/>
        <w:gridCol w:w="1134"/>
        <w:gridCol w:w="113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526" w:type="dxa"/>
            <w:vMerge w:val="restart"/>
          </w:tcPr>
          <w:p>
            <w:pPr>
              <w:pStyle w:val="67"/>
              <w:ind w:firstLine="0" w:firstLineChars="0"/>
              <w:rPr>
                <w:rFonts w:hint="eastAsia" w:hAnsi="宋体" w:cs="宋体"/>
                <w:sz w:val="18"/>
                <w:szCs w:val="18"/>
              </w:rPr>
            </w:pPr>
            <w:r>
              <w:rPr>
                <w:rFonts w:hint="eastAsia" w:hAnsi="宋体" w:cs="宋体"/>
                <w:sz w:val="18"/>
                <w:szCs w:val="18"/>
              </w:rPr>
              <w:t>序号</w:t>
            </w:r>
          </w:p>
        </w:tc>
        <w:tc>
          <w:tcPr>
            <w:tcW w:w="716" w:type="dxa"/>
            <w:vMerge w:val="restart"/>
            <w:vAlign w:val="center"/>
          </w:tcPr>
          <w:p>
            <w:pPr>
              <w:pStyle w:val="67"/>
              <w:ind w:firstLine="0" w:firstLineChars="0"/>
              <w:rPr>
                <w:rFonts w:hint="eastAsia" w:hAnsi="宋体" w:cs="宋体"/>
                <w:sz w:val="18"/>
                <w:szCs w:val="18"/>
              </w:rPr>
            </w:pPr>
            <w:r>
              <w:rPr>
                <w:rFonts w:hint="eastAsia" w:hAnsi="宋体" w:cs="宋体"/>
                <w:sz w:val="18"/>
                <w:szCs w:val="18"/>
              </w:rPr>
              <w:t>指标类型</w:t>
            </w:r>
          </w:p>
        </w:tc>
        <w:tc>
          <w:tcPr>
            <w:tcW w:w="1985" w:type="dxa"/>
            <w:vMerge w:val="restart"/>
            <w:vAlign w:val="center"/>
          </w:tcPr>
          <w:p>
            <w:pPr>
              <w:pStyle w:val="67"/>
              <w:rPr>
                <w:rFonts w:hint="eastAsia" w:hAnsi="宋体" w:cs="宋体"/>
                <w:sz w:val="18"/>
                <w:szCs w:val="18"/>
              </w:rPr>
            </w:pPr>
            <w:r>
              <w:rPr>
                <w:rFonts w:hint="eastAsia" w:hAnsi="宋体" w:cs="宋体"/>
                <w:sz w:val="18"/>
                <w:szCs w:val="18"/>
              </w:rPr>
              <w:t>评价指标</w:t>
            </w:r>
          </w:p>
        </w:tc>
        <w:tc>
          <w:tcPr>
            <w:tcW w:w="1417" w:type="dxa"/>
            <w:vMerge w:val="restart"/>
            <w:vAlign w:val="center"/>
          </w:tcPr>
          <w:p>
            <w:pPr>
              <w:pStyle w:val="67"/>
              <w:ind w:firstLine="0" w:firstLineChars="0"/>
              <w:rPr>
                <w:rFonts w:hint="eastAsia" w:hAnsi="宋体" w:cs="宋体"/>
                <w:sz w:val="18"/>
                <w:szCs w:val="18"/>
              </w:rPr>
            </w:pPr>
            <w:r>
              <w:rPr>
                <w:rFonts w:hint="eastAsia" w:hAnsi="宋体" w:cs="宋体"/>
                <w:sz w:val="18"/>
                <w:szCs w:val="18"/>
              </w:rPr>
              <w:t>指标来源</w:t>
            </w:r>
          </w:p>
        </w:tc>
        <w:tc>
          <w:tcPr>
            <w:tcW w:w="3402" w:type="dxa"/>
            <w:gridSpan w:val="3"/>
            <w:tcBorders>
              <w:bottom w:val="single" w:color="auto" w:sz="4" w:space="0"/>
            </w:tcBorders>
          </w:tcPr>
          <w:p>
            <w:pPr>
              <w:pStyle w:val="67"/>
              <w:ind w:firstLine="0" w:firstLineChars="0"/>
              <w:jc w:val="center"/>
              <w:rPr>
                <w:rFonts w:hint="eastAsia" w:hAnsi="宋体" w:cs="宋体"/>
                <w:sz w:val="18"/>
                <w:szCs w:val="18"/>
              </w:rPr>
            </w:pPr>
            <w:r>
              <w:rPr>
                <w:rFonts w:hint="eastAsia" w:hAnsi="宋体" w:cs="宋体"/>
                <w:sz w:val="18"/>
                <w:szCs w:val="18"/>
              </w:rPr>
              <w:t>指标水平分级</w:t>
            </w:r>
          </w:p>
        </w:tc>
        <w:tc>
          <w:tcPr>
            <w:tcW w:w="1418" w:type="dxa"/>
            <w:vMerge w:val="restart"/>
            <w:vAlign w:val="center"/>
          </w:tcPr>
          <w:p>
            <w:pPr>
              <w:pStyle w:val="67"/>
              <w:ind w:firstLine="0" w:firstLineChars="0"/>
              <w:jc w:val="center"/>
              <w:rPr>
                <w:rFonts w:hint="eastAsia" w:hAnsi="宋体" w:cs="宋体"/>
                <w:sz w:val="18"/>
                <w:szCs w:val="18"/>
              </w:rPr>
            </w:pPr>
            <w:r>
              <w:rPr>
                <w:rFonts w:hint="eastAsia" w:hAnsi="宋体" w:cs="宋体"/>
                <w:sz w:val="18"/>
                <w:szCs w:val="18"/>
              </w:rPr>
              <w:t>依据和方法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526" w:type="dxa"/>
            <w:vMerge w:val="continue"/>
          </w:tcPr>
          <w:p>
            <w:pPr>
              <w:pStyle w:val="67"/>
              <w:ind w:firstLine="0" w:firstLineChars="0"/>
              <w:rPr>
                <w:rFonts w:hint="eastAsia" w:hAnsi="宋体" w:cs="宋体"/>
                <w:sz w:val="18"/>
                <w:szCs w:val="18"/>
              </w:rPr>
            </w:pPr>
          </w:p>
        </w:tc>
        <w:tc>
          <w:tcPr>
            <w:tcW w:w="716" w:type="dxa"/>
            <w:vMerge w:val="continue"/>
          </w:tcPr>
          <w:p>
            <w:pPr>
              <w:pStyle w:val="67"/>
              <w:jc w:val="center"/>
              <w:rPr>
                <w:rFonts w:hint="eastAsia" w:hAnsi="宋体" w:cs="宋体"/>
                <w:sz w:val="18"/>
                <w:szCs w:val="18"/>
              </w:rPr>
            </w:pPr>
          </w:p>
        </w:tc>
        <w:tc>
          <w:tcPr>
            <w:tcW w:w="1985" w:type="dxa"/>
            <w:vMerge w:val="continue"/>
          </w:tcPr>
          <w:p>
            <w:pPr>
              <w:pStyle w:val="67"/>
              <w:ind w:firstLine="0" w:firstLineChars="0"/>
              <w:rPr>
                <w:rFonts w:hint="eastAsia" w:hAnsi="宋体" w:cs="宋体"/>
                <w:sz w:val="18"/>
                <w:szCs w:val="18"/>
              </w:rPr>
            </w:pPr>
          </w:p>
        </w:tc>
        <w:tc>
          <w:tcPr>
            <w:tcW w:w="1417" w:type="dxa"/>
            <w:vMerge w:val="continue"/>
          </w:tcPr>
          <w:p>
            <w:pPr>
              <w:pStyle w:val="67"/>
              <w:ind w:firstLine="0" w:firstLineChars="0"/>
              <w:rPr>
                <w:rFonts w:hint="eastAsia" w:hAnsi="宋体" w:cs="宋体"/>
                <w:sz w:val="18"/>
                <w:szCs w:val="18"/>
              </w:rPr>
            </w:pPr>
          </w:p>
        </w:tc>
        <w:tc>
          <w:tcPr>
            <w:tcW w:w="1134" w:type="dxa"/>
            <w:tcBorders>
              <w:top w:val="single" w:color="auto" w:sz="4" w:space="0"/>
            </w:tcBorders>
          </w:tcPr>
          <w:p>
            <w:pPr>
              <w:pStyle w:val="67"/>
              <w:ind w:firstLine="0" w:firstLineChars="0"/>
              <w:jc w:val="center"/>
              <w:rPr>
                <w:rFonts w:hint="eastAsia" w:hAnsi="宋体" w:cs="宋体"/>
                <w:sz w:val="18"/>
                <w:szCs w:val="18"/>
              </w:rPr>
            </w:pPr>
            <w:r>
              <w:rPr>
                <w:rFonts w:hint="eastAsia" w:hAnsi="宋体" w:cs="宋体"/>
                <w:sz w:val="18"/>
                <w:szCs w:val="18"/>
              </w:rPr>
              <w:t>先进水平</w:t>
            </w:r>
          </w:p>
        </w:tc>
        <w:tc>
          <w:tcPr>
            <w:tcW w:w="1134" w:type="dxa"/>
            <w:tcBorders>
              <w:top w:val="single" w:color="auto" w:sz="4" w:space="0"/>
            </w:tcBorders>
          </w:tcPr>
          <w:p>
            <w:pPr>
              <w:pStyle w:val="67"/>
              <w:ind w:firstLine="0" w:firstLineChars="0"/>
              <w:jc w:val="center"/>
              <w:rPr>
                <w:rFonts w:hint="eastAsia" w:hAnsi="宋体" w:cs="宋体"/>
                <w:sz w:val="18"/>
                <w:szCs w:val="18"/>
              </w:rPr>
            </w:pPr>
            <w:r>
              <w:rPr>
                <w:rFonts w:hint="eastAsia" w:hAnsi="宋体" w:cs="宋体"/>
                <w:sz w:val="18"/>
                <w:szCs w:val="18"/>
              </w:rPr>
              <w:t>平均水平</w:t>
            </w:r>
          </w:p>
        </w:tc>
        <w:tc>
          <w:tcPr>
            <w:tcW w:w="1134" w:type="dxa"/>
            <w:tcBorders>
              <w:top w:val="single" w:color="auto" w:sz="4" w:space="0"/>
            </w:tcBorders>
          </w:tcPr>
          <w:p>
            <w:pPr>
              <w:pStyle w:val="67"/>
              <w:ind w:firstLine="0" w:firstLineChars="0"/>
              <w:jc w:val="center"/>
              <w:rPr>
                <w:rFonts w:hint="eastAsia" w:hAnsi="宋体" w:cs="宋体"/>
                <w:sz w:val="18"/>
                <w:szCs w:val="18"/>
              </w:rPr>
            </w:pPr>
            <w:r>
              <w:rPr>
                <w:rFonts w:hint="eastAsia" w:hAnsi="宋体" w:cs="宋体"/>
                <w:sz w:val="18"/>
                <w:szCs w:val="18"/>
              </w:rPr>
              <w:t>基准水平</w:t>
            </w:r>
          </w:p>
        </w:tc>
        <w:tc>
          <w:tcPr>
            <w:tcW w:w="1418" w:type="dxa"/>
            <w:vMerge w:val="continue"/>
          </w:tcPr>
          <w:p>
            <w:pPr>
              <w:pStyle w:val="67"/>
              <w:ind w:firstLine="0" w:firstLineChars="0"/>
              <w:jc w:val="center"/>
              <w:rPr>
                <w:rFonts w:hint="eastAsia"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w:t>
            </w:r>
          </w:p>
        </w:tc>
        <w:tc>
          <w:tcPr>
            <w:tcW w:w="716" w:type="dxa"/>
            <w:vMerge w:val="restart"/>
            <w:vAlign w:val="center"/>
          </w:tcPr>
          <w:p>
            <w:pPr>
              <w:pStyle w:val="67"/>
              <w:ind w:firstLine="0" w:firstLineChars="0"/>
              <w:jc w:val="left"/>
              <w:rPr>
                <w:rFonts w:hint="eastAsia" w:hAnsi="宋体" w:cs="宋体"/>
                <w:sz w:val="18"/>
                <w:szCs w:val="18"/>
              </w:rPr>
            </w:pPr>
            <w:r>
              <w:rPr>
                <w:rFonts w:hint="eastAsia" w:hAnsi="宋体" w:cs="宋体"/>
                <w:sz w:val="18"/>
                <w:szCs w:val="18"/>
              </w:rPr>
              <w:t>基础指标</w:t>
            </w: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交流电压试验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3048</w:t>
            </w:r>
          </w:p>
        </w:tc>
        <w:tc>
          <w:tcPr>
            <w:tcW w:w="3402" w:type="dxa"/>
            <w:gridSpan w:val="3"/>
            <w:vAlign w:val="center"/>
          </w:tcPr>
          <w:p>
            <w:pPr>
              <w:pStyle w:val="67"/>
              <w:ind w:firstLine="0" w:firstLineChars="0"/>
              <w:rPr>
                <w:rFonts w:hint="eastAsia" w:hAnsi="宋体" w:cs="宋体"/>
                <w:sz w:val="18"/>
                <w:szCs w:val="18"/>
              </w:rPr>
            </w:pPr>
            <w:r>
              <w:rPr>
                <w:rFonts w:hint="eastAsia" w:hAnsi="宋体" w:cs="宋体"/>
                <w:sz w:val="18"/>
                <w:szCs w:val="18"/>
              </w:rPr>
              <w:t>符合GB/T 3048交流电压试验要求</w:t>
            </w:r>
          </w:p>
        </w:tc>
        <w:tc>
          <w:tcPr>
            <w:tcW w:w="1418" w:type="dxa"/>
            <w:vAlign w:val="center"/>
          </w:tcPr>
          <w:p>
            <w:pPr>
              <w:pStyle w:val="67"/>
              <w:ind w:firstLine="0" w:firstLineChars="0"/>
              <w:jc w:val="center"/>
              <w:rPr>
                <w:rFonts w:hint="eastAsia" w:hAnsi="宋体" w:cs="宋体"/>
                <w:sz w:val="18"/>
                <w:szCs w:val="18"/>
              </w:rPr>
            </w:pPr>
            <w:r>
              <w:rPr>
                <w:rFonts w:hint="eastAsia" w:hAnsi="宋体" w:cs="宋体"/>
                <w:sz w:val="18"/>
                <w:szCs w:val="18"/>
              </w:rPr>
              <w:t>GB/T 3048.8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2</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导体检验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3956</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w:t>
            </w:r>
            <w:r>
              <w:rPr>
                <w:rFonts w:hAnsi="宋体" w:cs="宋体"/>
                <w:sz w:val="18"/>
                <w:szCs w:val="18"/>
              </w:rPr>
              <w:t>GB/T 3956</w:t>
            </w:r>
            <w:r>
              <w:rPr>
                <w:rFonts w:hint="eastAsia" w:hAnsi="宋体" w:cs="宋体"/>
                <w:sz w:val="18"/>
                <w:szCs w:val="18"/>
              </w:rPr>
              <w:t>导体检验要求</w:t>
            </w:r>
          </w:p>
        </w:tc>
        <w:tc>
          <w:tcPr>
            <w:tcW w:w="1418" w:type="dxa"/>
            <w:vAlign w:val="center"/>
          </w:tcPr>
          <w:p>
            <w:pPr>
              <w:pStyle w:val="67"/>
              <w:ind w:firstLine="0" w:firstLineChars="0"/>
              <w:rPr>
                <w:rFonts w:hint="eastAsia" w:hAnsi="宋体" w:cs="宋体"/>
                <w:sz w:val="18"/>
                <w:szCs w:val="18"/>
              </w:rPr>
            </w:pPr>
            <w:r>
              <w:rPr>
                <w:rFonts w:hAnsi="宋体" w:cs="宋体"/>
                <w:sz w:val="18"/>
                <w:szCs w:val="18"/>
              </w:rPr>
              <w:t>GB/T 3956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3</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导体电阻</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3956</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w:t>
            </w:r>
            <w:r>
              <w:rPr>
                <w:rFonts w:hAnsi="宋体" w:cs="宋体"/>
                <w:sz w:val="18"/>
                <w:szCs w:val="18"/>
              </w:rPr>
              <w:t>GB/T 3956</w:t>
            </w:r>
            <w:r>
              <w:rPr>
                <w:rFonts w:hint="eastAsia" w:hAnsi="宋体" w:cs="宋体"/>
                <w:sz w:val="18"/>
                <w:szCs w:val="18"/>
              </w:rPr>
              <w:t>导体电阻要求</w:t>
            </w:r>
          </w:p>
        </w:tc>
        <w:tc>
          <w:tcPr>
            <w:tcW w:w="1418" w:type="dxa"/>
            <w:vAlign w:val="center"/>
          </w:tcPr>
          <w:p>
            <w:pPr>
              <w:pStyle w:val="67"/>
              <w:ind w:firstLine="0" w:firstLineChars="0"/>
              <w:rPr>
                <w:rFonts w:hint="eastAsia" w:hAnsi="宋体" w:cs="宋体"/>
                <w:sz w:val="18"/>
                <w:szCs w:val="18"/>
              </w:rPr>
            </w:pPr>
            <w:r>
              <w:rPr>
                <w:rFonts w:hAnsi="宋体" w:cs="宋体"/>
                <w:sz w:val="18"/>
                <w:szCs w:val="18"/>
              </w:rPr>
              <w:t>GB/T 3956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4</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绝缘厚度测量</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2951</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符合GB/T 2951.11绝缘厚度测量要求</w:t>
            </w:r>
          </w:p>
        </w:tc>
        <w:tc>
          <w:tcPr>
            <w:tcW w:w="1418" w:type="dxa"/>
            <w:vAlign w:val="center"/>
          </w:tcPr>
          <w:p>
            <w:pPr>
              <w:pStyle w:val="67"/>
              <w:ind w:firstLine="0" w:firstLineChars="0"/>
              <w:rPr>
                <w:rFonts w:hint="eastAsia" w:hAnsi="宋体" w:cs="宋体"/>
                <w:sz w:val="18"/>
                <w:szCs w:val="18"/>
              </w:rPr>
            </w:pPr>
            <w:r>
              <w:rPr>
                <w:rFonts w:hint="eastAsia" w:hAnsi="宋体" w:cs="宋体"/>
                <w:sz w:val="18"/>
                <w:szCs w:val="18"/>
              </w:rPr>
              <w:t>GB/T 2951.11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5</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金属套厚度测量</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2951</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符合GB/T 2951.11金属套厚度测量要求</w:t>
            </w:r>
          </w:p>
        </w:tc>
        <w:tc>
          <w:tcPr>
            <w:tcW w:w="1418" w:type="dxa"/>
            <w:vAlign w:val="center"/>
          </w:tcPr>
          <w:p>
            <w:pPr>
              <w:pStyle w:val="67"/>
              <w:ind w:firstLine="0" w:firstLineChars="0"/>
              <w:rPr>
                <w:rFonts w:hint="eastAsia" w:hAnsi="宋体" w:cs="宋体"/>
                <w:sz w:val="18"/>
                <w:szCs w:val="18"/>
              </w:rPr>
            </w:pPr>
            <w:r>
              <w:rPr>
                <w:rFonts w:hint="eastAsia" w:hAnsi="宋体" w:cs="宋体"/>
                <w:sz w:val="18"/>
                <w:szCs w:val="18"/>
              </w:rPr>
              <w:t>GB/T 2951.11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6</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铠装金属丝测量</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2951</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w:t>
            </w:r>
            <w:r>
              <w:rPr>
                <w:rFonts w:hAnsi="宋体" w:cs="宋体"/>
                <w:sz w:val="18"/>
                <w:szCs w:val="18"/>
              </w:rPr>
              <w:t>GB/T 32346.1</w:t>
            </w:r>
            <w:r>
              <w:rPr>
                <w:rFonts w:hint="eastAsia" w:hAnsi="宋体" w:cs="宋体"/>
                <w:sz w:val="18"/>
                <w:szCs w:val="18"/>
              </w:rPr>
              <w:t>铠装金属丝测量要求</w:t>
            </w:r>
          </w:p>
        </w:tc>
        <w:tc>
          <w:tcPr>
            <w:tcW w:w="1418" w:type="dxa"/>
            <w:vAlign w:val="center"/>
          </w:tcPr>
          <w:p>
            <w:pPr>
              <w:pStyle w:val="67"/>
              <w:ind w:firstLine="0" w:firstLineChars="0"/>
              <w:rPr>
                <w:rFonts w:hint="eastAsia" w:hAnsi="宋体" w:cs="宋体"/>
                <w:sz w:val="18"/>
                <w:szCs w:val="18"/>
              </w:rPr>
            </w:pPr>
            <w:r>
              <w:rPr>
                <w:rFonts w:hAnsi="宋体" w:cs="宋体"/>
                <w:sz w:val="18"/>
                <w:szCs w:val="18"/>
              </w:rPr>
              <w:t>GB/T 32346.1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7</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直径测量</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2951</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符合GB/T 2951.11直径测量要求</w:t>
            </w:r>
          </w:p>
        </w:tc>
        <w:tc>
          <w:tcPr>
            <w:tcW w:w="1418" w:type="dxa"/>
            <w:vAlign w:val="center"/>
          </w:tcPr>
          <w:p>
            <w:pPr>
              <w:pStyle w:val="67"/>
              <w:ind w:firstLine="0" w:firstLineChars="0"/>
              <w:rPr>
                <w:rFonts w:hint="eastAsia" w:hAnsi="宋体" w:cs="宋体"/>
                <w:sz w:val="18"/>
                <w:szCs w:val="18"/>
              </w:rPr>
            </w:pPr>
            <w:r>
              <w:rPr>
                <w:rFonts w:hint="eastAsia" w:hAnsi="宋体" w:cs="宋体"/>
                <w:sz w:val="18"/>
                <w:szCs w:val="18"/>
              </w:rPr>
              <w:t>GB/T 2951.11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8</w:t>
            </w:r>
          </w:p>
        </w:tc>
        <w:tc>
          <w:tcPr>
            <w:tcW w:w="716" w:type="dxa"/>
            <w:vMerge w:val="continue"/>
          </w:tcPr>
          <w:p>
            <w:pPr>
              <w:pStyle w:val="67"/>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导体屏蔽和绝缘屏蔽电阻率测试</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tcPr>
          <w:p>
            <w:pPr>
              <w:pStyle w:val="67"/>
              <w:ind w:firstLine="0" w:firstLineChars="0"/>
              <w:rPr>
                <w:rFonts w:hint="eastAsia" w:hAnsi="宋体" w:cs="宋体"/>
                <w:sz w:val="18"/>
                <w:szCs w:val="18"/>
              </w:rPr>
            </w:pPr>
            <w:r>
              <w:rPr>
                <w:rFonts w:hint="eastAsia" w:hAnsi="宋体" w:cs="宋体"/>
                <w:sz w:val="18"/>
                <w:szCs w:val="18"/>
              </w:rPr>
              <w:t xml:space="preserve">符合JB/T11167.1/GB/T </w:t>
            </w:r>
            <w:r>
              <w:rPr>
                <w:rFonts w:hAnsi="宋体" w:cs="宋体"/>
                <w:sz w:val="18"/>
                <w:szCs w:val="18"/>
              </w:rPr>
              <w:t>32346</w:t>
            </w:r>
            <w:r>
              <w:rPr>
                <w:rFonts w:hint="eastAsia" w:hAnsi="宋体" w:cs="宋体"/>
                <w:sz w:val="18"/>
                <w:szCs w:val="18"/>
              </w:rPr>
              <w:t>.1导体屏蔽和绝缘屏蔽电阻率测试要求</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9</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tcPr>
          <w:p>
            <w:pPr>
              <w:jc w:val="left"/>
              <w:rPr>
                <w:rFonts w:hint="eastAsia" w:ascii="宋体" w:hAnsi="宋体" w:eastAsia="宋体" w:cs="宋体"/>
                <w:sz w:val="18"/>
                <w:szCs w:val="18"/>
              </w:rPr>
            </w:pPr>
            <w:r>
              <w:rPr>
                <w:rFonts w:hint="eastAsia" w:ascii="宋体" w:hAnsi="宋体" w:eastAsia="宋体" w:cs="宋体"/>
                <w:sz w:val="18"/>
                <w:szCs w:val="18"/>
              </w:rPr>
              <w:t>光纤单元水密性试验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18480</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符合GB/T 18480光纤单元水密性试验要求</w:t>
            </w:r>
          </w:p>
        </w:tc>
        <w:tc>
          <w:tcPr>
            <w:tcW w:w="1418" w:type="dxa"/>
          </w:tcPr>
          <w:p>
            <w:pPr>
              <w:pStyle w:val="67"/>
              <w:ind w:firstLine="0" w:firstLineChars="0"/>
              <w:jc w:val="center"/>
              <w:rPr>
                <w:rFonts w:hint="eastAsia" w:hAnsi="宋体" w:cs="宋体"/>
                <w:sz w:val="18"/>
                <w:szCs w:val="18"/>
              </w:rPr>
            </w:pPr>
            <w:r>
              <w:rPr>
                <w:rFonts w:hint="eastAsia" w:hAnsi="宋体" w:cs="宋体"/>
                <w:sz w:val="18"/>
                <w:szCs w:val="18"/>
              </w:rPr>
              <w:t>GB/T 18480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10</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highlight w:val="green"/>
              </w:rPr>
            </w:pPr>
            <w:r>
              <w:rPr>
                <w:rFonts w:hint="eastAsia" w:ascii="宋体" w:hAnsi="宋体" w:eastAsia="宋体" w:cs="宋体"/>
                <w:sz w:val="18"/>
                <w:szCs w:val="18"/>
              </w:rPr>
              <w:t>海底电缆和工厂接头的卷绕试验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 xml:space="preserve">符合JB/T11167.1/GB/T </w:t>
            </w:r>
            <w:r>
              <w:rPr>
                <w:rFonts w:hAnsi="宋体" w:cs="宋体"/>
                <w:sz w:val="18"/>
                <w:szCs w:val="18"/>
              </w:rPr>
              <w:t>32346</w:t>
            </w:r>
            <w:r>
              <w:rPr>
                <w:rFonts w:hint="eastAsia" w:hAnsi="宋体" w:cs="宋体"/>
                <w:sz w:val="18"/>
                <w:szCs w:val="18"/>
              </w:rPr>
              <w:t>.1海底电缆和工厂接头的卷绕试验要求</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11</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XLPE绝缘微孔杂质和半导电屏蔽层与绝缘层界面的微孔与突起试验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 xml:space="preserve">符合JB/T11167.1/GB/T </w:t>
            </w:r>
            <w:r>
              <w:rPr>
                <w:rFonts w:hAnsi="宋体" w:cs="宋体"/>
                <w:sz w:val="18"/>
                <w:szCs w:val="18"/>
              </w:rPr>
              <w:t>32346</w:t>
            </w:r>
            <w:r>
              <w:rPr>
                <w:rFonts w:hint="eastAsia" w:hAnsi="宋体" w:cs="宋体"/>
                <w:sz w:val="18"/>
                <w:szCs w:val="18"/>
              </w:rPr>
              <w:t>.1 XLPE绝缘微孔杂质和半导电屏蔽层与绝缘层界面的微孔与突起试验要求</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12</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导体接头拉力试验</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 4909</w:t>
            </w:r>
          </w:p>
        </w:tc>
        <w:tc>
          <w:tcPr>
            <w:tcW w:w="3402" w:type="dxa"/>
            <w:gridSpan w:val="3"/>
            <w:vAlign w:val="center"/>
          </w:tcPr>
          <w:p>
            <w:pPr>
              <w:pStyle w:val="67"/>
              <w:ind w:firstLine="0" w:firstLineChars="0"/>
              <w:jc w:val="center"/>
              <w:rPr>
                <w:rFonts w:hint="eastAsia" w:hAnsi="宋体" w:cs="宋体"/>
                <w:sz w:val="18"/>
                <w:szCs w:val="18"/>
              </w:rPr>
            </w:pPr>
            <w:r>
              <w:rPr>
                <w:rFonts w:hint="eastAsia" w:hAnsi="宋体" w:cs="宋体"/>
                <w:sz w:val="18"/>
                <w:szCs w:val="18"/>
              </w:rPr>
              <w:t>符合GB/T 4909.3规定的导体接头拉力试验要求</w:t>
            </w:r>
          </w:p>
        </w:tc>
        <w:tc>
          <w:tcPr>
            <w:tcW w:w="1418" w:type="dxa"/>
            <w:vAlign w:val="center"/>
          </w:tcPr>
          <w:p>
            <w:pPr>
              <w:pStyle w:val="67"/>
              <w:ind w:firstLine="0" w:firstLineChars="0"/>
              <w:jc w:val="center"/>
              <w:rPr>
                <w:rFonts w:hint="eastAsia" w:hAnsi="宋体" w:cs="宋体"/>
                <w:sz w:val="18"/>
                <w:szCs w:val="18"/>
              </w:rPr>
            </w:pPr>
            <w:r>
              <w:rPr>
                <w:rFonts w:hint="eastAsia" w:hAnsi="宋体" w:cs="宋体"/>
                <w:sz w:val="18"/>
                <w:szCs w:val="18"/>
              </w:rPr>
              <w:t>GB/T 4909.3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13</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工厂软接头XLPE绝缘热延伸试验</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GB/T 2951</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符合GB/T 2951.21工厂软接头XLPE绝缘热延伸试验要求</w:t>
            </w:r>
          </w:p>
        </w:tc>
        <w:tc>
          <w:tcPr>
            <w:tcW w:w="1418" w:type="dxa"/>
            <w:vAlign w:val="center"/>
          </w:tcPr>
          <w:p>
            <w:pPr>
              <w:pStyle w:val="67"/>
              <w:ind w:firstLine="0" w:firstLineChars="0"/>
              <w:jc w:val="center"/>
              <w:rPr>
                <w:rFonts w:hint="eastAsia" w:hAnsi="宋体" w:cs="宋体"/>
                <w:sz w:val="18"/>
                <w:szCs w:val="18"/>
              </w:rPr>
            </w:pPr>
            <w:r>
              <w:rPr>
                <w:rFonts w:hint="eastAsia" w:hAnsi="宋体" w:cs="宋体"/>
                <w:sz w:val="18"/>
                <w:szCs w:val="18"/>
              </w:rPr>
              <w:t>GB/T 2951.21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14</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软接头抗拉强度和断裂伸长率</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 xml:space="preserve">符合JB/T11167.1/GB/T </w:t>
            </w:r>
            <w:r>
              <w:rPr>
                <w:rFonts w:hAnsi="宋体" w:cs="宋体"/>
                <w:sz w:val="18"/>
                <w:szCs w:val="18"/>
              </w:rPr>
              <w:t>32346</w:t>
            </w:r>
            <w:r>
              <w:rPr>
                <w:rFonts w:hint="eastAsia" w:hAnsi="宋体" w:cs="宋体"/>
                <w:sz w:val="18"/>
                <w:szCs w:val="18"/>
              </w:rPr>
              <w:t>.1软接头抗拉强度和断裂伸长率规定</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15</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半导电护套（若有）电阻率测量</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 xml:space="preserve">符合JB/T11167.1/GB/T </w:t>
            </w:r>
            <w:r>
              <w:rPr>
                <w:rFonts w:hAnsi="宋体" w:cs="宋体"/>
                <w:sz w:val="18"/>
                <w:szCs w:val="18"/>
              </w:rPr>
              <w:t>32346</w:t>
            </w:r>
            <w:r>
              <w:rPr>
                <w:rFonts w:hint="eastAsia" w:hAnsi="宋体" w:cs="宋体"/>
                <w:sz w:val="18"/>
                <w:szCs w:val="18"/>
              </w:rPr>
              <w:t>.1半导电护套（若有）电阻率测量的要求</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16</w:t>
            </w:r>
          </w:p>
        </w:tc>
        <w:tc>
          <w:tcPr>
            <w:tcW w:w="716" w:type="dxa"/>
            <w:vMerge w:val="continue"/>
            <w:vAlign w:val="center"/>
          </w:tcPr>
          <w:p>
            <w:pPr>
              <w:pStyle w:val="67"/>
              <w:ind w:firstLine="0" w:firstLineChars="0"/>
              <w:jc w:val="center"/>
              <w:rPr>
                <w:rFonts w:hint="eastAsia" w:hAnsi="宋体" w:cs="宋体"/>
                <w:sz w:val="18"/>
                <w:szCs w:val="18"/>
              </w:rPr>
            </w:pPr>
          </w:p>
        </w:tc>
        <w:tc>
          <w:tcPr>
            <w:tcW w:w="1985" w:type="dxa"/>
          </w:tcPr>
          <w:p>
            <w:pPr>
              <w:jc w:val="left"/>
              <w:rPr>
                <w:rFonts w:hint="eastAsia" w:ascii="宋体" w:hAnsi="宋体" w:eastAsia="宋体" w:cs="宋体"/>
                <w:sz w:val="18"/>
                <w:szCs w:val="18"/>
              </w:rPr>
            </w:pPr>
            <w:r>
              <w:rPr>
                <w:rFonts w:hint="eastAsia" w:ascii="宋体" w:hAnsi="宋体" w:eastAsia="宋体" w:cs="宋体"/>
                <w:sz w:val="18"/>
                <w:szCs w:val="18"/>
              </w:rPr>
              <w:t>光纤衰减系数测量</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GB/T15972</w:t>
            </w:r>
          </w:p>
        </w:tc>
        <w:tc>
          <w:tcPr>
            <w:tcW w:w="3402" w:type="dxa"/>
            <w:gridSpan w:val="3"/>
          </w:tcPr>
          <w:p>
            <w:pPr>
              <w:pStyle w:val="67"/>
              <w:ind w:firstLine="0" w:firstLineChars="0"/>
              <w:jc w:val="center"/>
              <w:rPr>
                <w:rFonts w:hint="eastAsia" w:hAnsi="宋体" w:cs="宋体"/>
                <w:sz w:val="18"/>
                <w:szCs w:val="18"/>
              </w:rPr>
            </w:pPr>
            <w:r>
              <w:rPr>
                <w:rFonts w:hint="eastAsia" w:hAnsi="宋体" w:cs="宋体"/>
                <w:sz w:val="18"/>
                <w:szCs w:val="18"/>
              </w:rPr>
              <w:t>符合GB/T15972.40光纤衰减系数测量的要求</w:t>
            </w:r>
          </w:p>
        </w:tc>
        <w:tc>
          <w:tcPr>
            <w:tcW w:w="1418" w:type="dxa"/>
          </w:tcPr>
          <w:p>
            <w:pPr>
              <w:pStyle w:val="67"/>
              <w:ind w:firstLine="0" w:firstLineChars="0"/>
              <w:jc w:val="center"/>
              <w:rPr>
                <w:rFonts w:hint="eastAsia" w:hAnsi="宋体" w:cs="宋体"/>
                <w:sz w:val="18"/>
                <w:szCs w:val="18"/>
              </w:rPr>
            </w:pPr>
            <w:r>
              <w:rPr>
                <w:rFonts w:hint="eastAsia" w:hAnsi="宋体" w:cs="宋体"/>
                <w:sz w:val="18"/>
                <w:szCs w:val="18"/>
              </w:rPr>
              <w:t>GB/T15972.40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17</w:t>
            </w:r>
          </w:p>
        </w:tc>
        <w:tc>
          <w:tcPr>
            <w:tcW w:w="716" w:type="dxa"/>
            <w:vMerge w:val="restart"/>
            <w:vAlign w:val="center"/>
          </w:tcPr>
          <w:p>
            <w:pPr>
              <w:pStyle w:val="67"/>
              <w:ind w:firstLine="0" w:firstLineChars="0"/>
              <w:jc w:val="left"/>
              <w:rPr>
                <w:rFonts w:hint="eastAsia" w:hAnsi="宋体" w:cs="宋体"/>
                <w:sz w:val="18"/>
                <w:szCs w:val="18"/>
              </w:rPr>
            </w:pPr>
            <w:r>
              <w:rPr>
                <w:rFonts w:hint="eastAsia" w:hAnsi="宋体" w:cs="宋体"/>
                <w:sz w:val="18"/>
                <w:szCs w:val="18"/>
              </w:rPr>
              <w:t>核心指标</w:t>
            </w: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海缆本体局部放电试验</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GB/T 3048</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试验灵敏度小于4 PC</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试验灵敏度4~6 PC</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试验灵敏度6~8 PC</w:t>
            </w:r>
          </w:p>
        </w:tc>
        <w:tc>
          <w:tcPr>
            <w:tcW w:w="141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GB/T 3048.12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526" w:type="dxa"/>
            <w:tcBorders>
              <w:bottom w:val="single" w:color="auto" w:sz="4" w:space="0"/>
            </w:tcBorders>
          </w:tcPr>
          <w:p>
            <w:pPr>
              <w:pStyle w:val="67"/>
              <w:ind w:firstLine="0" w:firstLineChars="0"/>
              <w:rPr>
                <w:rFonts w:hint="eastAsia" w:hAnsi="宋体" w:cs="宋体"/>
                <w:sz w:val="18"/>
                <w:szCs w:val="18"/>
              </w:rPr>
            </w:pPr>
            <w:r>
              <w:rPr>
                <w:rFonts w:hint="eastAsia" w:hAnsi="宋体" w:cs="宋体"/>
                <w:sz w:val="18"/>
                <w:szCs w:val="18"/>
              </w:rPr>
              <w:t>18</w:t>
            </w:r>
          </w:p>
        </w:tc>
        <w:tc>
          <w:tcPr>
            <w:tcW w:w="716" w:type="dxa"/>
            <w:vMerge w:val="continue"/>
            <w:vAlign w:val="center"/>
          </w:tcPr>
          <w:p>
            <w:pPr>
              <w:pStyle w:val="67"/>
              <w:ind w:firstLine="0" w:firstLineChars="0"/>
              <w:rPr>
                <w:rFonts w:hint="eastAsia" w:hAnsi="宋体" w:cs="宋体"/>
                <w:sz w:val="18"/>
                <w:szCs w:val="18"/>
              </w:rPr>
            </w:pPr>
          </w:p>
        </w:tc>
        <w:tc>
          <w:tcPr>
            <w:tcW w:w="1985" w:type="dxa"/>
            <w:tcBorders>
              <w:bottom w:val="single" w:color="auto" w:sz="4" w:space="0"/>
            </w:tcBorders>
            <w:vAlign w:val="center"/>
          </w:tcPr>
          <w:p>
            <w:pPr>
              <w:jc w:val="left"/>
              <w:rPr>
                <w:rFonts w:hint="eastAsia" w:ascii="宋体" w:hAnsi="宋体" w:eastAsia="宋体" w:cs="宋体"/>
                <w:sz w:val="18"/>
                <w:szCs w:val="18"/>
              </w:rPr>
            </w:pPr>
            <w:r>
              <w:rPr>
                <w:rFonts w:hint="eastAsia" w:ascii="宋体" w:hAnsi="宋体" w:eastAsia="宋体" w:cs="宋体"/>
                <w:sz w:val="18"/>
                <w:szCs w:val="18"/>
              </w:rPr>
              <w:t>35kV及以下海底电缆绝缘偏心率</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7%~8%</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8%~10%</w:t>
            </w:r>
          </w:p>
        </w:tc>
        <w:tc>
          <w:tcPr>
            <w:tcW w:w="141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JB/T11167.1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526" w:type="dxa"/>
            <w:tcBorders>
              <w:top w:val="single" w:color="auto" w:sz="4" w:space="0"/>
              <w:bottom w:val="single" w:color="auto" w:sz="4" w:space="0"/>
            </w:tcBorders>
          </w:tcPr>
          <w:p>
            <w:pPr>
              <w:pStyle w:val="67"/>
              <w:ind w:firstLine="0" w:firstLineChars="0"/>
              <w:rPr>
                <w:rFonts w:hint="eastAsia" w:hAnsi="宋体" w:cs="宋体"/>
                <w:sz w:val="18"/>
                <w:szCs w:val="18"/>
              </w:rPr>
            </w:pPr>
            <w:r>
              <w:rPr>
                <w:rFonts w:hint="eastAsia" w:hAnsi="宋体" w:cs="宋体"/>
                <w:sz w:val="18"/>
                <w:szCs w:val="18"/>
              </w:rPr>
              <w:t>19</w:t>
            </w:r>
          </w:p>
        </w:tc>
        <w:tc>
          <w:tcPr>
            <w:tcW w:w="716" w:type="dxa"/>
            <w:vMerge w:val="continue"/>
            <w:vAlign w:val="center"/>
          </w:tcPr>
          <w:p>
            <w:pPr>
              <w:pStyle w:val="67"/>
              <w:ind w:firstLine="0" w:firstLineChars="0"/>
              <w:rPr>
                <w:rFonts w:hint="eastAsia" w:hAnsi="宋体" w:cs="宋体"/>
                <w:sz w:val="18"/>
                <w:szCs w:val="18"/>
              </w:rPr>
            </w:pPr>
          </w:p>
        </w:tc>
        <w:tc>
          <w:tcPr>
            <w:tcW w:w="1985" w:type="dxa"/>
            <w:tcBorders>
              <w:top w:val="single" w:color="auto" w:sz="4" w:space="0"/>
            </w:tcBorders>
            <w:vAlign w:val="center"/>
          </w:tcPr>
          <w:p>
            <w:pPr>
              <w:jc w:val="left"/>
              <w:rPr>
                <w:rFonts w:hint="eastAsia" w:ascii="宋体" w:hAnsi="宋体" w:eastAsia="宋体" w:cs="宋体"/>
                <w:sz w:val="18"/>
                <w:szCs w:val="18"/>
              </w:rPr>
            </w:pPr>
            <w:r>
              <w:rPr>
                <w:rFonts w:hint="eastAsia" w:ascii="宋体" w:hAnsi="宋体" w:eastAsia="宋体" w:cs="宋体"/>
                <w:sz w:val="18"/>
                <w:szCs w:val="18"/>
              </w:rPr>
              <w:t>35kV以上海底电缆</w:t>
            </w:r>
          </w:p>
          <w:p>
            <w:pPr>
              <w:jc w:val="left"/>
              <w:rPr>
                <w:rFonts w:hint="eastAsia" w:ascii="宋体" w:hAnsi="宋体" w:eastAsia="宋体" w:cs="宋体"/>
                <w:sz w:val="18"/>
                <w:szCs w:val="18"/>
              </w:rPr>
            </w:pPr>
            <w:r>
              <w:rPr>
                <w:rFonts w:hint="eastAsia" w:ascii="宋体" w:hAnsi="宋体" w:eastAsia="宋体" w:cs="宋体"/>
                <w:sz w:val="18"/>
                <w:szCs w:val="18"/>
              </w:rPr>
              <w:t>绝缘偏心率</w:t>
            </w:r>
          </w:p>
        </w:tc>
        <w:tc>
          <w:tcPr>
            <w:tcW w:w="1417" w:type="dxa"/>
            <w:tcBorders>
              <w:top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GB/T 32346</w:t>
            </w:r>
          </w:p>
        </w:tc>
        <w:tc>
          <w:tcPr>
            <w:tcW w:w="1134" w:type="dxa"/>
            <w:tcBorders>
              <w:top w:val="single" w:color="auto" w:sz="4" w:space="0"/>
            </w:tcBorders>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1134" w:type="dxa"/>
            <w:tcBorders>
              <w:top w:val="single" w:color="auto" w:sz="4" w:space="0"/>
            </w:tcBorders>
          </w:tcPr>
          <w:p>
            <w:pPr>
              <w:jc w:val="center"/>
              <w:rPr>
                <w:rFonts w:hint="eastAsia" w:ascii="宋体" w:hAnsi="宋体" w:eastAsia="宋体" w:cs="宋体"/>
                <w:sz w:val="18"/>
                <w:szCs w:val="18"/>
              </w:rPr>
            </w:pPr>
            <w:r>
              <w:rPr>
                <w:rFonts w:hint="eastAsia" w:ascii="宋体" w:hAnsi="宋体" w:eastAsia="宋体" w:cs="宋体"/>
                <w:sz w:val="18"/>
                <w:szCs w:val="18"/>
              </w:rPr>
              <w:t>5%~6%</w:t>
            </w:r>
          </w:p>
        </w:tc>
        <w:tc>
          <w:tcPr>
            <w:tcW w:w="1134" w:type="dxa"/>
            <w:tcBorders>
              <w:top w:val="single" w:color="auto" w:sz="4" w:space="0"/>
            </w:tcBorders>
          </w:tcPr>
          <w:p>
            <w:pPr>
              <w:jc w:val="center"/>
              <w:rPr>
                <w:rFonts w:hint="eastAsia" w:ascii="宋体" w:hAnsi="宋体" w:eastAsia="宋体" w:cs="宋体"/>
                <w:sz w:val="18"/>
                <w:szCs w:val="18"/>
              </w:rPr>
            </w:pPr>
            <w:r>
              <w:rPr>
                <w:rFonts w:hint="eastAsia" w:ascii="宋体" w:hAnsi="宋体" w:eastAsia="宋体" w:cs="宋体"/>
                <w:sz w:val="18"/>
                <w:szCs w:val="18"/>
              </w:rPr>
              <w:t>6%~8%</w:t>
            </w:r>
          </w:p>
        </w:tc>
        <w:tc>
          <w:tcPr>
            <w:tcW w:w="1418" w:type="dxa"/>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GB/T 32346.1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Borders>
              <w:top w:val="single" w:color="auto" w:sz="4" w:space="0"/>
            </w:tcBorders>
          </w:tcPr>
          <w:p>
            <w:pPr>
              <w:pStyle w:val="67"/>
              <w:ind w:firstLine="0" w:firstLineChars="0"/>
              <w:rPr>
                <w:rFonts w:hint="eastAsia" w:hAnsi="宋体" w:cs="宋体"/>
                <w:sz w:val="18"/>
                <w:szCs w:val="18"/>
              </w:rPr>
            </w:pPr>
            <w:r>
              <w:rPr>
                <w:rFonts w:hint="eastAsia" w:hAnsi="宋体" w:cs="宋体"/>
                <w:sz w:val="18"/>
                <w:szCs w:val="18"/>
              </w:rPr>
              <w:t>20</w:t>
            </w:r>
          </w:p>
        </w:tc>
        <w:tc>
          <w:tcPr>
            <w:tcW w:w="716" w:type="dxa"/>
            <w:vMerge w:val="continue"/>
          </w:tcPr>
          <w:p>
            <w:pPr>
              <w:pStyle w:val="67"/>
              <w:ind w:firstLine="0" w:firstLineChars="0"/>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软接头的局部放电试验</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试验灵敏度小于4 PC</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试验灵敏度4~6 PC</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试验灵敏度6~8 PC</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jc w:val="center"/>
              <w:rPr>
                <w:rFonts w:hint="eastAsia" w:ascii="宋体" w:hAnsi="宋体" w:eastAsia="宋体" w:cs="宋体"/>
                <w:sz w:val="18"/>
                <w:szCs w:val="18"/>
              </w:rPr>
            </w:pPr>
            <w:r>
              <w:rPr>
                <w:rFonts w:hint="eastAsia" w:ascii="宋体" w:hAnsi="宋体" w:eastAsia="宋体" w:cs="宋体"/>
                <w:sz w:val="18"/>
                <w:szCs w:val="18"/>
              </w:rPr>
              <w:t>GB/T 32346.1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21</w:t>
            </w:r>
          </w:p>
        </w:tc>
        <w:tc>
          <w:tcPr>
            <w:tcW w:w="716" w:type="dxa"/>
            <w:vMerge w:val="continue"/>
          </w:tcPr>
          <w:p>
            <w:pPr>
              <w:pStyle w:val="67"/>
              <w:ind w:firstLine="0" w:firstLineChars="0"/>
              <w:rPr>
                <w:rFonts w:hint="eastAsia" w:hAnsi="宋体" w:cs="宋体"/>
                <w:sz w:val="18"/>
                <w:szCs w:val="18"/>
              </w:rPr>
            </w:pPr>
          </w:p>
        </w:tc>
        <w:tc>
          <w:tcPr>
            <w:tcW w:w="1985" w:type="dxa"/>
          </w:tcPr>
          <w:p>
            <w:pPr>
              <w:jc w:val="left"/>
              <w:rPr>
                <w:rFonts w:hint="eastAsia" w:ascii="宋体" w:hAnsi="宋体" w:eastAsia="宋体" w:cs="宋体"/>
                <w:sz w:val="18"/>
                <w:szCs w:val="18"/>
              </w:rPr>
            </w:pPr>
            <w:r>
              <w:rPr>
                <w:rFonts w:hint="eastAsia" w:ascii="宋体" w:hAnsi="宋体" w:eastAsia="宋体" w:cs="宋体"/>
                <w:sz w:val="18"/>
                <w:szCs w:val="18"/>
              </w:rPr>
              <w:t>66kV及以下无工厂软接头一次交货长度</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计米测量</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20km以上</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15km~20km以内</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15km以内</w:t>
            </w:r>
          </w:p>
        </w:tc>
        <w:tc>
          <w:tcPr>
            <w:tcW w:w="1418" w:type="dxa"/>
          </w:tcPr>
          <w:p>
            <w:pPr>
              <w:jc w:val="center"/>
              <w:rPr>
                <w:rFonts w:hint="eastAsia" w:ascii="宋体" w:hAnsi="宋体" w:eastAsia="宋体" w:cs="宋体"/>
                <w:sz w:val="18"/>
                <w:szCs w:val="18"/>
              </w:rPr>
            </w:pPr>
            <w:r>
              <w:rPr>
                <w:rFonts w:hint="eastAsia" w:ascii="宋体" w:hAnsi="宋体" w:eastAsia="宋体" w:cs="宋体"/>
                <w:sz w:val="18"/>
                <w:szCs w:val="18"/>
              </w:rPr>
              <w:t>计米测量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22</w:t>
            </w:r>
          </w:p>
        </w:tc>
        <w:tc>
          <w:tcPr>
            <w:tcW w:w="716" w:type="dxa"/>
            <w:vMerge w:val="continue"/>
            <w:tcBorders>
              <w:bottom w:val="single" w:color="auto" w:sz="4" w:space="0"/>
            </w:tcBorders>
          </w:tcPr>
          <w:p>
            <w:pPr>
              <w:pStyle w:val="67"/>
              <w:ind w:firstLine="0" w:firstLineChars="0"/>
              <w:rPr>
                <w:rFonts w:hint="eastAsia" w:hAnsi="宋体" w:cs="宋体"/>
                <w:sz w:val="18"/>
                <w:szCs w:val="18"/>
              </w:rPr>
            </w:pPr>
          </w:p>
        </w:tc>
        <w:tc>
          <w:tcPr>
            <w:tcW w:w="1985" w:type="dxa"/>
          </w:tcPr>
          <w:p>
            <w:pPr>
              <w:jc w:val="left"/>
              <w:rPr>
                <w:rFonts w:hint="eastAsia" w:ascii="宋体" w:hAnsi="宋体" w:eastAsia="宋体" w:cs="宋体"/>
                <w:sz w:val="18"/>
                <w:szCs w:val="18"/>
              </w:rPr>
            </w:pPr>
            <w:r>
              <w:rPr>
                <w:rFonts w:hint="eastAsia" w:ascii="宋体" w:hAnsi="宋体" w:eastAsia="宋体" w:cs="宋体"/>
                <w:sz w:val="18"/>
                <w:szCs w:val="18"/>
              </w:rPr>
              <w:t>110kV、220kV无工厂软接头一次交货长度</w:t>
            </w:r>
          </w:p>
        </w:tc>
        <w:tc>
          <w:tcPr>
            <w:tcW w:w="1417" w:type="dxa"/>
          </w:tcPr>
          <w:p>
            <w:pPr>
              <w:rPr>
                <w:rFonts w:hint="eastAsia" w:ascii="宋体" w:hAnsi="宋体" w:eastAsia="宋体" w:cs="宋体"/>
                <w:sz w:val="18"/>
                <w:szCs w:val="18"/>
              </w:rPr>
            </w:pPr>
            <w:r>
              <w:rPr>
                <w:rFonts w:hint="eastAsia" w:ascii="宋体" w:hAnsi="宋体" w:eastAsia="宋体" w:cs="宋体"/>
                <w:sz w:val="18"/>
                <w:szCs w:val="18"/>
              </w:rPr>
              <w:t>计米测量</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18km以上</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10km~18km以内</w:t>
            </w:r>
          </w:p>
        </w:tc>
        <w:tc>
          <w:tcPr>
            <w:tcW w:w="1134" w:type="dxa"/>
          </w:tcPr>
          <w:p>
            <w:pPr>
              <w:jc w:val="center"/>
              <w:rPr>
                <w:rFonts w:hint="eastAsia" w:ascii="宋体" w:hAnsi="宋体" w:eastAsia="宋体" w:cs="宋体"/>
                <w:sz w:val="18"/>
                <w:szCs w:val="18"/>
              </w:rPr>
            </w:pPr>
            <w:r>
              <w:rPr>
                <w:rFonts w:hint="eastAsia" w:ascii="宋体" w:hAnsi="宋体" w:eastAsia="宋体" w:cs="宋体"/>
                <w:sz w:val="18"/>
                <w:szCs w:val="18"/>
              </w:rPr>
              <w:t>10km以内</w:t>
            </w:r>
          </w:p>
        </w:tc>
        <w:tc>
          <w:tcPr>
            <w:tcW w:w="1418" w:type="dxa"/>
          </w:tcPr>
          <w:p>
            <w:pPr>
              <w:jc w:val="center"/>
              <w:rPr>
                <w:rFonts w:hint="eastAsia" w:ascii="宋体" w:hAnsi="宋体" w:eastAsia="宋体" w:cs="宋体"/>
                <w:sz w:val="18"/>
                <w:szCs w:val="18"/>
              </w:rPr>
            </w:pPr>
            <w:r>
              <w:rPr>
                <w:rFonts w:hint="eastAsia" w:ascii="宋体" w:hAnsi="宋体" w:eastAsia="宋体" w:cs="宋体"/>
                <w:sz w:val="18"/>
                <w:szCs w:val="18"/>
              </w:rPr>
              <w:t>计米测量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23</w:t>
            </w:r>
          </w:p>
        </w:tc>
        <w:tc>
          <w:tcPr>
            <w:tcW w:w="716" w:type="dxa"/>
            <w:vMerge w:val="restart"/>
            <w:tcBorders>
              <w:top w:val="single" w:color="auto" w:sz="4" w:space="0"/>
            </w:tcBorders>
            <w:vAlign w:val="center"/>
          </w:tcPr>
          <w:p>
            <w:pPr>
              <w:pStyle w:val="67"/>
              <w:ind w:firstLine="0" w:firstLineChars="0"/>
              <w:jc w:val="left"/>
              <w:rPr>
                <w:rFonts w:hint="eastAsia" w:hAnsi="宋体" w:cs="宋体"/>
                <w:sz w:val="18"/>
                <w:szCs w:val="18"/>
              </w:rPr>
            </w:pPr>
            <w:r>
              <w:rPr>
                <w:rFonts w:hint="eastAsia" w:hAnsi="宋体" w:cs="宋体"/>
                <w:sz w:val="18"/>
                <w:szCs w:val="18"/>
              </w:rPr>
              <w:t>创新指标</w:t>
            </w:r>
          </w:p>
        </w:tc>
        <w:tc>
          <w:tcPr>
            <w:tcW w:w="1985" w:type="dxa"/>
          </w:tcPr>
          <w:p>
            <w:pPr>
              <w:jc w:val="left"/>
              <w:rPr>
                <w:rFonts w:hint="eastAsia" w:ascii="宋体" w:hAnsi="宋体" w:eastAsia="宋体" w:cs="宋体"/>
                <w:sz w:val="18"/>
                <w:szCs w:val="18"/>
              </w:rPr>
            </w:pPr>
            <w:r>
              <w:rPr>
                <w:rFonts w:hint="eastAsia" w:ascii="宋体" w:hAnsi="宋体" w:eastAsia="宋体" w:cs="宋体"/>
                <w:sz w:val="18"/>
                <w:szCs w:val="18"/>
              </w:rPr>
              <w:t>工程现场修理接头的制造</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vMerge w:val="restart"/>
            <w:vAlign w:val="center"/>
          </w:tcPr>
          <w:p>
            <w:pPr>
              <w:pStyle w:val="67"/>
              <w:ind w:firstLine="0" w:firstLineChars="0"/>
              <w:jc w:val="center"/>
              <w:rPr>
                <w:rFonts w:hint="eastAsia" w:hAnsi="宋体" w:cs="宋体"/>
                <w:sz w:val="18"/>
                <w:szCs w:val="18"/>
              </w:rPr>
            </w:pPr>
            <w:r>
              <w:rPr>
                <w:rFonts w:hint="eastAsia" w:hAnsi="宋体" w:cs="宋体"/>
                <w:sz w:val="18"/>
                <w:szCs w:val="18"/>
              </w:rPr>
              <w:t>满足标准要求</w:t>
            </w: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6" w:type="dxa"/>
          </w:tcPr>
          <w:p>
            <w:pPr>
              <w:pStyle w:val="67"/>
              <w:ind w:firstLine="0" w:firstLineChars="0"/>
              <w:rPr>
                <w:rFonts w:hint="eastAsia" w:hAnsi="宋体" w:cs="宋体"/>
                <w:sz w:val="18"/>
                <w:szCs w:val="18"/>
              </w:rPr>
            </w:pPr>
            <w:r>
              <w:rPr>
                <w:rFonts w:hint="eastAsia" w:hAnsi="宋体" w:cs="宋体"/>
                <w:sz w:val="18"/>
                <w:szCs w:val="18"/>
              </w:rPr>
              <w:t>24</w:t>
            </w:r>
          </w:p>
        </w:tc>
        <w:tc>
          <w:tcPr>
            <w:tcW w:w="716" w:type="dxa"/>
            <w:vMerge w:val="continue"/>
            <w:tcBorders>
              <w:top w:val="single" w:color="auto" w:sz="4" w:space="0"/>
              <w:bottom w:val="single" w:color="auto" w:sz="4" w:space="0"/>
            </w:tcBorders>
            <w:vAlign w:val="center"/>
          </w:tcPr>
          <w:p>
            <w:pPr>
              <w:pStyle w:val="67"/>
              <w:ind w:firstLine="0" w:firstLineChars="0"/>
              <w:jc w:val="center"/>
              <w:rPr>
                <w:rFonts w:hint="eastAsia" w:hAnsi="宋体" w:cs="宋体"/>
                <w:sz w:val="18"/>
                <w:szCs w:val="18"/>
              </w:rPr>
            </w:pPr>
          </w:p>
        </w:tc>
        <w:tc>
          <w:tcPr>
            <w:tcW w:w="1985"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纵向、径向透水试验</w:t>
            </w:r>
          </w:p>
        </w:tc>
        <w:tc>
          <w:tcPr>
            <w:tcW w:w="1417" w:type="dxa"/>
            <w:vAlign w:val="center"/>
          </w:tcPr>
          <w:p>
            <w:pPr>
              <w:rPr>
                <w:rFonts w:hint="eastAsia" w:ascii="宋体" w:hAnsi="宋体" w:eastAsia="宋体" w:cs="宋体"/>
                <w:sz w:val="18"/>
                <w:szCs w:val="18"/>
              </w:rPr>
            </w:pPr>
            <w:r>
              <w:rPr>
                <w:rFonts w:hint="eastAsia" w:ascii="宋体" w:hAnsi="宋体" w:eastAsia="宋体" w:cs="宋体"/>
                <w:sz w:val="18"/>
                <w:szCs w:val="18"/>
              </w:rPr>
              <w:t>JB/T11167</w:t>
            </w:r>
          </w:p>
          <w:p>
            <w:pPr>
              <w:rPr>
                <w:rFonts w:hint="eastAsia" w:ascii="宋体" w:hAnsi="宋体" w:eastAsia="宋体" w:cs="宋体"/>
                <w:sz w:val="18"/>
                <w:szCs w:val="18"/>
              </w:rPr>
            </w:pPr>
            <w:r>
              <w:rPr>
                <w:rFonts w:hint="eastAsia" w:ascii="宋体" w:hAnsi="宋体" w:eastAsia="宋体" w:cs="宋体"/>
                <w:sz w:val="18"/>
                <w:szCs w:val="18"/>
              </w:rPr>
              <w:t>GB/T 32346</w:t>
            </w:r>
          </w:p>
        </w:tc>
        <w:tc>
          <w:tcPr>
            <w:tcW w:w="3402" w:type="dxa"/>
            <w:gridSpan w:val="3"/>
            <w:vMerge w:val="continue"/>
            <w:vAlign w:val="center"/>
          </w:tcPr>
          <w:p>
            <w:pPr>
              <w:pStyle w:val="67"/>
              <w:ind w:firstLine="0" w:firstLineChars="0"/>
              <w:jc w:val="center"/>
              <w:rPr>
                <w:rFonts w:hint="eastAsia" w:hAnsi="宋体" w:cs="宋体"/>
                <w:sz w:val="18"/>
                <w:szCs w:val="18"/>
              </w:rPr>
            </w:pPr>
          </w:p>
        </w:tc>
        <w:tc>
          <w:tcPr>
            <w:tcW w:w="1418" w:type="dxa"/>
            <w:vAlign w:val="center"/>
          </w:tcPr>
          <w:p>
            <w:pPr>
              <w:rPr>
                <w:rFonts w:hint="eastAsia" w:ascii="宋体" w:hAnsi="宋体" w:eastAsia="宋体" w:cs="宋体"/>
                <w:sz w:val="18"/>
                <w:szCs w:val="18"/>
              </w:rPr>
            </w:pPr>
            <w:r>
              <w:rPr>
                <w:rFonts w:hint="eastAsia" w:ascii="宋体" w:hAnsi="宋体" w:eastAsia="宋体" w:cs="宋体"/>
                <w:sz w:val="18"/>
                <w:szCs w:val="18"/>
              </w:rPr>
              <w:t>JB/T11167.1/</w:t>
            </w:r>
          </w:p>
          <w:p>
            <w:pPr>
              <w:pStyle w:val="67"/>
              <w:ind w:firstLine="0" w:firstLineChars="0"/>
              <w:jc w:val="center"/>
              <w:rPr>
                <w:rFonts w:hint="eastAsia" w:hAnsi="宋体" w:cs="宋体"/>
                <w:sz w:val="18"/>
                <w:szCs w:val="18"/>
              </w:rPr>
            </w:pPr>
            <w:r>
              <w:rPr>
                <w:rFonts w:hint="eastAsia" w:hAnsi="宋体" w:cs="宋体"/>
                <w:sz w:val="18"/>
                <w:szCs w:val="18"/>
              </w:rPr>
              <w:t xml:space="preserve">GB/T </w:t>
            </w:r>
            <w:r>
              <w:rPr>
                <w:rFonts w:hAnsi="宋体" w:cs="宋体"/>
                <w:sz w:val="18"/>
                <w:szCs w:val="18"/>
              </w:rPr>
              <w:t>32346</w:t>
            </w:r>
            <w:r>
              <w:rPr>
                <w:rFonts w:hint="eastAsia" w:hAnsi="宋体" w:cs="宋体"/>
                <w:sz w:val="18"/>
                <w:szCs w:val="18"/>
              </w:rPr>
              <w:t>.1</w:t>
            </w:r>
          </w:p>
        </w:tc>
      </w:tr>
    </w:tbl>
    <w:p>
      <w:pPr>
        <w:pStyle w:val="67"/>
        <w:adjustRightInd w:val="0"/>
        <w:snapToGrid w:val="0"/>
        <w:spacing w:line="360" w:lineRule="auto"/>
        <w:ind w:firstLine="0" w:firstLineChars="0"/>
        <w:rPr>
          <w:rFonts w:ascii="Times New Roman"/>
          <w:sz w:val="24"/>
          <w:szCs w:val="24"/>
        </w:rPr>
      </w:pPr>
    </w:p>
    <w:p>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3.评价方法（第五章）</w:t>
      </w:r>
    </w:p>
    <w:p>
      <w:pPr>
        <w:pStyle w:val="67"/>
        <w:spacing w:line="360" w:lineRule="auto"/>
        <w:ind w:firstLine="484" w:firstLineChars="202"/>
        <w:rPr>
          <w:rFonts w:ascii="Times New Roman"/>
          <w:kern w:val="2"/>
          <w:sz w:val="24"/>
          <w:szCs w:val="24"/>
        </w:rPr>
      </w:pPr>
      <w:r>
        <w:rPr>
          <w:rFonts w:hint="eastAsia" w:ascii="Times New Roman"/>
          <w:sz w:val="24"/>
          <w:szCs w:val="24"/>
        </w:rPr>
        <w:t>评估结果划分为一级、二级和三级，各等级所对应的划分依据见表2。达到三级要求及以上的企业标准并按照有关要求进行自我声明公开后均可进入海底电缆企业标准排行榜。达到一级要求的企业标准，且按照要求进行自我声明公开后，其标准和符合标准的产品可以直接进入海底电缆的企业标准“领跑者”候选名单。</w:t>
      </w:r>
    </w:p>
    <w:p>
      <w:pPr>
        <w:pStyle w:val="18"/>
        <w:spacing w:before="0" w:after="0" w:line="360" w:lineRule="auto"/>
        <w:jc w:val="center"/>
        <w:rPr>
          <w:rFonts w:ascii="黑体" w:hAnsi="黑体"/>
          <w:sz w:val="21"/>
          <w:szCs w:val="21"/>
        </w:rPr>
      </w:pPr>
    </w:p>
    <w:p>
      <w:pPr>
        <w:pStyle w:val="18"/>
        <w:spacing w:before="0" w:after="0" w:line="360" w:lineRule="auto"/>
        <w:jc w:val="center"/>
        <w:rPr>
          <w:rFonts w:ascii="黑体" w:hAnsi="黑体"/>
          <w:sz w:val="21"/>
          <w:szCs w:val="21"/>
        </w:rPr>
      </w:pPr>
      <w:r>
        <w:rPr>
          <w:rFonts w:ascii="黑体" w:hAnsi="黑体"/>
          <w:sz w:val="21"/>
          <w:szCs w:val="21"/>
        </w:rPr>
        <w:t xml:space="preserve">表2  </w:t>
      </w:r>
      <w:r>
        <w:rPr>
          <w:rFonts w:hint="eastAsia" w:ascii="黑体" w:hAnsi="黑体"/>
          <w:sz w:val="21"/>
          <w:szCs w:val="21"/>
        </w:rPr>
        <w:t>指标要求</w:t>
      </w:r>
      <w:r>
        <w:rPr>
          <w:rFonts w:ascii="黑体" w:hAnsi="黑体"/>
          <w:sz w:val="21"/>
          <w:szCs w:val="21"/>
        </w:rPr>
        <w:t>等级划分</w:t>
      </w:r>
    </w:p>
    <w:tbl>
      <w:tblPr>
        <w:tblStyle w:val="45"/>
        <w:tblW w:w="89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992"/>
        <w:gridCol w:w="1418"/>
        <w:gridCol w:w="2126"/>
        <w:gridCol w:w="28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526" w:type="dxa"/>
            <w:tcBorders>
              <w:top w:val="single" w:color="000000" w:sz="12" w:space="0"/>
              <w:bottom w:val="single" w:color="000000" w:sz="12" w:space="0"/>
            </w:tcBorders>
            <w:shd w:val="clear" w:color="auto" w:fill="auto"/>
            <w:vAlign w:val="center"/>
          </w:tcPr>
          <w:p>
            <w:pPr>
              <w:spacing w:line="360" w:lineRule="auto"/>
              <w:jc w:val="center"/>
              <w:rPr>
                <w:rFonts w:ascii="宋体" w:hAnsi="宋体" w:eastAsia="宋体"/>
                <w:sz w:val="18"/>
                <w:szCs w:val="18"/>
              </w:rPr>
            </w:pPr>
            <w:bookmarkStart w:id="7" w:name="_Hlk35975549"/>
            <w:r>
              <w:rPr>
                <w:rFonts w:ascii="宋体" w:hAnsi="宋体" w:eastAsia="宋体"/>
                <w:sz w:val="18"/>
                <w:szCs w:val="18"/>
              </w:rPr>
              <w:t>评价等级</w:t>
            </w:r>
          </w:p>
        </w:tc>
        <w:tc>
          <w:tcPr>
            <w:tcW w:w="7394" w:type="dxa"/>
            <w:gridSpan w:val="4"/>
            <w:tcBorders>
              <w:top w:val="single" w:color="000000" w:sz="12" w:space="0"/>
              <w:bottom w:val="single" w:color="000000" w:sz="12" w:space="0"/>
            </w:tcBorders>
            <w:shd w:val="clear" w:color="auto" w:fill="auto"/>
            <w:vAlign w:val="center"/>
          </w:tcPr>
          <w:p>
            <w:pPr>
              <w:spacing w:line="360" w:lineRule="auto"/>
              <w:jc w:val="center"/>
              <w:rPr>
                <w:rFonts w:ascii="宋体" w:hAnsi="宋体" w:eastAsia="宋体"/>
                <w:sz w:val="18"/>
                <w:szCs w:val="18"/>
              </w:rPr>
            </w:pPr>
            <w:r>
              <w:rPr>
                <w:rFonts w:ascii="宋体" w:hAnsi="宋体" w:eastAsia="宋体"/>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526" w:type="dxa"/>
            <w:tcBorders>
              <w:top w:val="single" w:color="000000" w:sz="12" w:space="0"/>
            </w:tcBorders>
            <w:shd w:val="clear" w:color="auto" w:fill="auto"/>
            <w:vAlign w:val="center"/>
          </w:tcPr>
          <w:p>
            <w:pPr>
              <w:adjustRightInd w:val="0"/>
              <w:snapToGrid w:val="0"/>
              <w:spacing w:line="360" w:lineRule="auto"/>
              <w:jc w:val="center"/>
              <w:rPr>
                <w:rFonts w:ascii="宋体" w:hAnsi="宋体" w:eastAsia="宋体"/>
                <w:sz w:val="18"/>
                <w:szCs w:val="18"/>
              </w:rPr>
            </w:pPr>
            <w:r>
              <w:rPr>
                <w:rFonts w:ascii="宋体" w:hAnsi="宋体" w:eastAsia="宋体"/>
                <w:sz w:val="18"/>
                <w:szCs w:val="18"/>
              </w:rPr>
              <w:t>一级应同时满足</w:t>
            </w:r>
          </w:p>
        </w:tc>
        <w:tc>
          <w:tcPr>
            <w:tcW w:w="992" w:type="dxa"/>
            <w:tcBorders>
              <w:top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基本要求</w:t>
            </w:r>
          </w:p>
        </w:tc>
        <w:tc>
          <w:tcPr>
            <w:tcW w:w="1418" w:type="dxa"/>
            <w:tcBorders>
              <w:top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基础指标要求</w:t>
            </w:r>
          </w:p>
        </w:tc>
        <w:tc>
          <w:tcPr>
            <w:tcW w:w="2126" w:type="dxa"/>
            <w:tcBorders>
              <w:top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核心指标先进水平要求</w:t>
            </w:r>
          </w:p>
        </w:tc>
        <w:tc>
          <w:tcPr>
            <w:tcW w:w="2858" w:type="dxa"/>
            <w:tcBorders>
              <w:top w:val="single" w:color="000000" w:sz="12" w:space="0"/>
            </w:tcBorders>
            <w:shd w:val="clear" w:color="auto" w:fill="auto"/>
            <w:vAlign w:val="center"/>
          </w:tcPr>
          <w:p>
            <w:pPr>
              <w:adjustRightInd w:val="0"/>
              <w:snapToGrid w:val="0"/>
              <w:spacing w:line="360" w:lineRule="auto"/>
              <w:rPr>
                <w:rFonts w:ascii="宋体" w:hAnsi="宋体" w:eastAsia="宋体"/>
                <w:snapToGrid w:val="0"/>
                <w:spacing w:val="-16"/>
                <w:sz w:val="18"/>
                <w:szCs w:val="18"/>
              </w:rPr>
            </w:pPr>
            <w:r>
              <w:rPr>
                <w:rFonts w:hint="eastAsia" w:ascii="宋体" w:hAnsi="宋体" w:eastAsia="宋体"/>
                <w:snapToGrid w:val="0"/>
                <w:spacing w:val="-16"/>
                <w:sz w:val="18"/>
                <w:szCs w:val="18"/>
              </w:rPr>
              <w:t>创新性指标至少有</w:t>
            </w:r>
            <w:r>
              <w:rPr>
                <w:rFonts w:ascii="宋体" w:hAnsi="宋体" w:eastAsia="宋体"/>
                <w:snapToGrid w:val="0"/>
                <w:spacing w:val="-16"/>
                <w:sz w:val="18"/>
                <w:szCs w:val="18"/>
              </w:rPr>
              <w:t>1项达到先进水平要求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526" w:type="dxa"/>
            <w:tcBorders>
              <w:bottom w:val="single" w:color="000000" w:sz="4" w:space="0"/>
            </w:tcBorders>
            <w:shd w:val="clear" w:color="auto" w:fill="auto"/>
            <w:vAlign w:val="center"/>
          </w:tcPr>
          <w:p>
            <w:pPr>
              <w:adjustRightInd w:val="0"/>
              <w:snapToGrid w:val="0"/>
              <w:spacing w:line="360" w:lineRule="auto"/>
              <w:jc w:val="center"/>
              <w:rPr>
                <w:rFonts w:ascii="宋体" w:hAnsi="宋体" w:eastAsia="宋体"/>
                <w:sz w:val="18"/>
                <w:szCs w:val="18"/>
              </w:rPr>
            </w:pPr>
            <w:r>
              <w:rPr>
                <w:rFonts w:ascii="宋体" w:hAnsi="宋体" w:eastAsia="宋体"/>
                <w:sz w:val="18"/>
                <w:szCs w:val="18"/>
              </w:rPr>
              <w:t>二级应同时满足</w:t>
            </w:r>
          </w:p>
        </w:tc>
        <w:tc>
          <w:tcPr>
            <w:tcW w:w="992" w:type="dxa"/>
            <w:tcBorders>
              <w:bottom w:val="single" w:color="000000" w:sz="4"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基本要求</w:t>
            </w:r>
          </w:p>
        </w:tc>
        <w:tc>
          <w:tcPr>
            <w:tcW w:w="1418" w:type="dxa"/>
            <w:tcBorders>
              <w:bottom w:val="single" w:color="000000" w:sz="4"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基础指标要求</w:t>
            </w:r>
          </w:p>
        </w:tc>
        <w:tc>
          <w:tcPr>
            <w:tcW w:w="2126" w:type="dxa"/>
            <w:tcBorders>
              <w:bottom w:val="single" w:color="000000" w:sz="4"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核心指标平均水平要求</w:t>
            </w:r>
          </w:p>
        </w:tc>
        <w:tc>
          <w:tcPr>
            <w:tcW w:w="2858" w:type="dxa"/>
            <w:tcBorders>
              <w:bottom w:val="single" w:color="000000" w:sz="4" w:space="0"/>
            </w:tcBorders>
            <w:shd w:val="clear" w:color="auto" w:fill="auto"/>
            <w:vAlign w:val="center"/>
          </w:tcPr>
          <w:p>
            <w:pPr>
              <w:adjustRightInd w:val="0"/>
              <w:snapToGrid w:val="0"/>
              <w:spacing w:line="360" w:lineRule="auto"/>
              <w:rPr>
                <w:rFonts w:ascii="宋体" w:hAnsi="宋体" w:eastAsia="宋体"/>
                <w:spacing w:val="-16"/>
                <w:sz w:val="18"/>
                <w:szCs w:val="18"/>
              </w:rPr>
            </w:pPr>
            <w:r>
              <w:rPr>
                <w:rFonts w:hint="eastAsia" w:ascii="宋体" w:hAnsi="宋体" w:eastAsia="宋体"/>
                <w:spacing w:val="-16"/>
                <w:sz w:val="18"/>
                <w:szCs w:val="18"/>
              </w:rPr>
              <w:t>创新性指标至少有</w:t>
            </w:r>
            <w:r>
              <w:rPr>
                <w:rFonts w:ascii="宋体" w:hAnsi="宋体" w:eastAsia="宋体"/>
                <w:spacing w:val="-16"/>
                <w:sz w:val="18"/>
                <w:szCs w:val="18"/>
              </w:rPr>
              <w:t>1项达到平均水平要求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1526" w:type="dxa"/>
            <w:tcBorders>
              <w:top w:val="single" w:color="000000" w:sz="4" w:space="0"/>
              <w:bottom w:val="single" w:color="000000" w:sz="12" w:space="0"/>
            </w:tcBorders>
            <w:shd w:val="clear" w:color="auto" w:fill="auto"/>
            <w:vAlign w:val="center"/>
          </w:tcPr>
          <w:p>
            <w:pPr>
              <w:adjustRightInd w:val="0"/>
              <w:snapToGrid w:val="0"/>
              <w:spacing w:line="360" w:lineRule="auto"/>
              <w:jc w:val="center"/>
              <w:rPr>
                <w:rFonts w:ascii="宋体" w:hAnsi="宋体" w:eastAsia="宋体"/>
                <w:sz w:val="18"/>
                <w:szCs w:val="18"/>
              </w:rPr>
            </w:pPr>
            <w:r>
              <w:rPr>
                <w:rFonts w:ascii="宋体" w:hAnsi="宋体" w:eastAsia="宋体"/>
                <w:sz w:val="18"/>
                <w:szCs w:val="18"/>
              </w:rPr>
              <w:t>三级应同时满足</w:t>
            </w:r>
          </w:p>
        </w:tc>
        <w:tc>
          <w:tcPr>
            <w:tcW w:w="992" w:type="dxa"/>
            <w:tcBorders>
              <w:top w:val="single" w:color="000000" w:sz="4" w:space="0"/>
              <w:bottom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基本要求</w:t>
            </w:r>
          </w:p>
        </w:tc>
        <w:tc>
          <w:tcPr>
            <w:tcW w:w="1418" w:type="dxa"/>
            <w:tcBorders>
              <w:top w:val="single" w:color="000000" w:sz="4" w:space="0"/>
              <w:bottom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基础指标要求</w:t>
            </w:r>
          </w:p>
        </w:tc>
        <w:tc>
          <w:tcPr>
            <w:tcW w:w="2126" w:type="dxa"/>
            <w:tcBorders>
              <w:top w:val="single" w:color="000000" w:sz="4" w:space="0"/>
              <w:bottom w:val="single" w:color="000000" w:sz="12" w:space="0"/>
            </w:tcBorders>
            <w:shd w:val="clear" w:color="auto" w:fill="auto"/>
            <w:vAlign w:val="center"/>
          </w:tcPr>
          <w:p>
            <w:pPr>
              <w:adjustRightInd w:val="0"/>
              <w:snapToGrid w:val="0"/>
              <w:spacing w:line="360" w:lineRule="auto"/>
              <w:rPr>
                <w:rFonts w:ascii="宋体" w:hAnsi="宋体" w:eastAsia="宋体"/>
                <w:sz w:val="18"/>
                <w:szCs w:val="18"/>
              </w:rPr>
            </w:pPr>
            <w:r>
              <w:rPr>
                <w:rFonts w:ascii="宋体" w:hAnsi="宋体" w:eastAsia="宋体"/>
                <w:sz w:val="18"/>
                <w:szCs w:val="18"/>
              </w:rPr>
              <w:t>核心指标基准水平要求</w:t>
            </w:r>
          </w:p>
        </w:tc>
        <w:tc>
          <w:tcPr>
            <w:tcW w:w="2858" w:type="dxa"/>
            <w:tcBorders>
              <w:top w:val="single" w:color="000000" w:sz="4" w:space="0"/>
              <w:bottom w:val="single" w:color="000000" w:sz="12" w:space="0"/>
            </w:tcBorders>
            <w:shd w:val="clear" w:color="auto" w:fill="auto"/>
            <w:vAlign w:val="center"/>
          </w:tcPr>
          <w:p>
            <w:pPr>
              <w:adjustRightInd w:val="0"/>
              <w:snapToGrid w:val="0"/>
              <w:spacing w:line="360" w:lineRule="auto"/>
              <w:jc w:val="center"/>
              <w:rPr>
                <w:rFonts w:ascii="宋体" w:hAnsi="宋体" w:eastAsia="宋体"/>
                <w:sz w:val="18"/>
                <w:szCs w:val="18"/>
              </w:rPr>
            </w:pPr>
            <w:r>
              <w:rPr>
                <w:rFonts w:ascii="宋体" w:hAnsi="宋体" w:eastAsia="宋体"/>
                <w:sz w:val="18"/>
                <w:szCs w:val="18"/>
              </w:rPr>
              <w:t>—</w:t>
            </w:r>
          </w:p>
        </w:tc>
      </w:tr>
      <w:bookmarkEnd w:id="7"/>
    </w:tbl>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8" w:name="_Toc77761592"/>
    </w:p>
    <w:p>
      <w:pPr>
        <w:pStyle w:val="2"/>
        <w:keepNext w:val="0"/>
        <w:keepLines w:val="0"/>
        <w:kinsoku w:val="0"/>
        <w:overflowPunct w:val="0"/>
        <w:topLinePunct/>
        <w:adjustRightInd w:val="0"/>
        <w:snapToGrid w:val="0"/>
        <w:spacing w:before="0" w:after="0" w:line="360" w:lineRule="auto"/>
        <w:rPr>
          <w:rFonts w:eastAsia="黑体"/>
          <w:b w:val="0"/>
          <w:sz w:val="24"/>
          <w:szCs w:val="24"/>
        </w:rPr>
      </w:pPr>
      <w:r>
        <w:rPr>
          <w:rFonts w:hint="eastAsia" w:eastAsia="黑体"/>
          <w:b w:val="0"/>
          <w:sz w:val="24"/>
          <w:szCs w:val="24"/>
        </w:rPr>
        <w:t>六、预期作用和效益</w:t>
      </w:r>
      <w:bookmarkEnd w:id="8"/>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本文件主要针对</w:t>
      </w:r>
      <w:r>
        <w:rPr>
          <w:rFonts w:hint="eastAsia" w:ascii="宋体" w:hAnsi="宋体" w:eastAsia="宋体"/>
          <w:sz w:val="24"/>
          <w:szCs w:val="24"/>
        </w:rPr>
        <w:t>海底电缆</w:t>
      </w:r>
      <w:r>
        <w:rPr>
          <w:rFonts w:hint="eastAsia" w:ascii="宋体" w:hAnsi="宋体" w:eastAsia="宋体" w:cs="Times New Roman"/>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9" w:name="_Toc77761593"/>
      <w:r>
        <w:rPr>
          <w:rFonts w:hint="eastAsia" w:eastAsia="黑体"/>
          <w:b w:val="0"/>
          <w:sz w:val="24"/>
          <w:szCs w:val="24"/>
        </w:rPr>
        <w:t>七、采用国际标准和国外先进标准的程度，以及与国际、国外同类标准水平的对比情况</w:t>
      </w:r>
      <w:bookmarkEnd w:id="9"/>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10" w:name="_Toc77761594"/>
      <w:r>
        <w:rPr>
          <w:rFonts w:hint="eastAsia" w:eastAsia="黑体"/>
          <w:b w:val="0"/>
          <w:sz w:val="24"/>
          <w:szCs w:val="24"/>
        </w:rPr>
        <w:t>八、与有关的现行法律、法规和强制性国家标准的关系</w:t>
      </w:r>
      <w:bookmarkEnd w:id="10"/>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11" w:name="_Toc77761595"/>
      <w:r>
        <w:rPr>
          <w:rFonts w:hint="eastAsia" w:eastAsia="黑体"/>
          <w:b w:val="0"/>
          <w:sz w:val="24"/>
          <w:szCs w:val="24"/>
        </w:rPr>
        <w:t>九、重大分歧意见的处理经过和依据</w:t>
      </w:r>
      <w:bookmarkEnd w:id="11"/>
      <w:r>
        <w:rPr>
          <w:rFonts w:eastAsia="黑体"/>
          <w:b w:val="0"/>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目前无重大分歧意见。</w:t>
      </w:r>
      <w:r>
        <w:rPr>
          <w:rFonts w:ascii="Times New Roman" w:hAnsi="Times New Roman" w:eastAsia="宋体" w:cs="Times New Roman"/>
          <w:sz w:val="24"/>
          <w:szCs w:val="24"/>
        </w:rPr>
        <w:t xml:space="preserve"> </w:t>
      </w:r>
      <w:bookmarkStart w:id="13" w:name="_GoBack"/>
      <w:bookmarkEnd w:id="13"/>
    </w:p>
    <w:p>
      <w:pPr>
        <w:pStyle w:val="2"/>
        <w:keepNext w:val="0"/>
        <w:keepLines w:val="0"/>
        <w:kinsoku w:val="0"/>
        <w:overflowPunct w:val="0"/>
        <w:topLinePunct/>
        <w:adjustRightInd w:val="0"/>
        <w:snapToGrid w:val="0"/>
        <w:spacing w:before="0" w:after="0" w:line="360" w:lineRule="auto"/>
        <w:rPr>
          <w:rFonts w:eastAsia="黑体"/>
          <w:b w:val="0"/>
          <w:sz w:val="24"/>
          <w:szCs w:val="24"/>
        </w:rPr>
      </w:pPr>
      <w:bookmarkStart w:id="12" w:name="_Toc77761596"/>
      <w:r>
        <w:rPr>
          <w:rFonts w:hint="eastAsia" w:eastAsia="黑体"/>
          <w:b w:val="0"/>
          <w:sz w:val="24"/>
          <w:szCs w:val="24"/>
        </w:rPr>
        <w:t>十、贯彻国家标准的要求和措施建议</w:t>
      </w:r>
      <w:bookmarkEnd w:id="12"/>
      <w:r>
        <w:rPr>
          <w:rFonts w:eastAsia="黑体"/>
          <w:b w:val="0"/>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标准实施后组织标准宣讲，在</w:t>
      </w:r>
      <w:r>
        <w:rPr>
          <w:rFonts w:ascii="Times New Roman" w:hAnsi="Times New Roman" w:eastAsia="宋体" w:cs="Times New Roman"/>
          <w:sz w:val="24"/>
          <w:szCs w:val="24"/>
        </w:rPr>
        <w:t>2021年</w:t>
      </w:r>
      <w:r>
        <w:rPr>
          <w:rFonts w:hint="eastAsia" w:ascii="Times New Roman" w:hAnsi="Times New Roman" w:eastAsia="宋体" w:cs="Times New Roman"/>
          <w:sz w:val="24"/>
          <w:szCs w:val="24"/>
          <w:lang w:val="en-US" w:eastAsia="zh-CN"/>
        </w:rPr>
        <w:t>XX</w:t>
      </w:r>
      <w:r>
        <w:rPr>
          <w:rFonts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XX</w:t>
      </w:r>
      <w:r>
        <w:rPr>
          <w:rFonts w:ascii="Times New Roman" w:hAnsi="Times New Roman" w:eastAsia="宋体" w:cs="Times New Roman"/>
          <w:sz w:val="24"/>
          <w:szCs w:val="24"/>
        </w:rPr>
        <w:t>日行业会议上宣贯，促进标准顺利实施。</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docPartObj>
        <w:docPartGallery w:val="AutoText"/>
      </w:docPartObj>
    </w:sdtPr>
    <w:sdtContent>
      <w:p>
        <w:pPr>
          <w:pStyle w:val="31"/>
          <w:jc w:val="center"/>
        </w:pPr>
        <w:r>
          <w:fldChar w:fldCharType="begin"/>
        </w:r>
        <w:r>
          <w:instrText xml:space="preserve">PAGE   \* MERGEFORMAT</w:instrText>
        </w:r>
        <w:r>
          <w:fldChar w:fldCharType="separate"/>
        </w:r>
        <w:r>
          <w:rPr>
            <w:lang w:val="zh-CN"/>
          </w:rPr>
          <w:t>6</w:t>
        </w:r>
        <w:r>
          <w:fldChar w:fldCharType="end"/>
        </w:r>
      </w:p>
    </w:sdtContent>
  </w:sdt>
  <w:p>
    <w:pPr>
      <w:pStyle w:val="31"/>
      <w:ind w:firstLine="810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2361"/>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pStyle w:val="118"/>
      <w:suff w:val="nothing"/>
      <w:lvlText w:val="%1%2.%3　"/>
      <w:lvlJc w:val="left"/>
      <w:rPr>
        <w:rFonts w:hint="eastAsia" w:ascii="黑体" w:hAnsi="Times New Roman" w:eastAsia="黑体" w:cs="Times New Roman"/>
        <w:b w:val="0"/>
        <w:i w:val="0"/>
        <w:sz w:val="21"/>
      </w:rPr>
    </w:lvl>
    <w:lvl w:ilvl="3" w:tentative="0">
      <w:start w:val="1"/>
      <w:numFmt w:val="decimal"/>
      <w:pStyle w:val="113"/>
      <w:suff w:val="nothing"/>
      <w:lvlText w:val="%1%2.%3.%4　"/>
      <w:lvlJc w:val="left"/>
      <w:rPr>
        <w:rFonts w:hint="eastAsia" w:ascii="黑体" w:hAnsi="Times New Roman" w:eastAsia="黑体" w:cs="Times New Roman"/>
        <w:b w:val="0"/>
        <w:i w:val="0"/>
        <w:sz w:val="21"/>
      </w:rPr>
    </w:lvl>
    <w:lvl w:ilvl="4" w:tentative="0">
      <w:start w:val="1"/>
      <w:numFmt w:val="decimal"/>
      <w:pStyle w:val="114"/>
      <w:suff w:val="nothing"/>
      <w:lvlText w:val="%1%2.%3.%4.%5　"/>
      <w:lvlJc w:val="left"/>
      <w:rPr>
        <w:rFonts w:hint="eastAsia" w:ascii="黑体" w:hAnsi="Times New Roman" w:eastAsia="黑体" w:cs="Times New Roman"/>
        <w:b w:val="0"/>
        <w:i w:val="0"/>
        <w:sz w:val="21"/>
      </w:rPr>
    </w:lvl>
    <w:lvl w:ilvl="5" w:tentative="0">
      <w:start w:val="1"/>
      <w:numFmt w:val="decimal"/>
      <w:pStyle w:val="116"/>
      <w:suff w:val="nothing"/>
      <w:lvlText w:val="%1%2.%3.%4.%5.%6　"/>
      <w:lvlJc w:val="left"/>
      <w:rPr>
        <w:rFonts w:hint="eastAsia" w:ascii="黑体" w:hAnsi="Times New Roman" w:eastAsia="黑体" w:cs="Times New Roman"/>
        <w:b w:val="0"/>
        <w:i w:val="0"/>
        <w:sz w:val="21"/>
      </w:rPr>
    </w:lvl>
    <w:lvl w:ilvl="6" w:tentative="0">
      <w:start w:val="1"/>
      <w:numFmt w:val="decimal"/>
      <w:pStyle w:val="11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93C6778"/>
    <w:multiLevelType w:val="multilevel"/>
    <w:tmpl w:val="093C6778"/>
    <w:lvl w:ilvl="0" w:tentative="0">
      <w:start w:val="1"/>
      <w:numFmt w:val="decimal"/>
      <w:pStyle w:val="19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6"/>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DDE2B46"/>
    <w:multiLevelType w:val="multilevel"/>
    <w:tmpl w:val="0DDE2B46"/>
    <w:lvl w:ilvl="0" w:tentative="0">
      <w:start w:val="1"/>
      <w:numFmt w:val="lowerLetter"/>
      <w:pStyle w:val="19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67"/>
      <w:suff w:val="nothing"/>
      <w:lvlText w:val="%1——"/>
      <w:lvlJc w:val="left"/>
      <w:pPr>
        <w:ind w:left="833" w:hanging="408"/>
      </w:pPr>
      <w:rPr>
        <w:rFonts w:hint="eastAsia" w:cs="Times New Roman"/>
      </w:rPr>
    </w:lvl>
    <w:lvl w:ilvl="1" w:tentative="0">
      <w:start w:val="1"/>
      <w:numFmt w:val="decimal"/>
      <w:pStyle w:val="168"/>
      <w:lvlText w:val="%2)"/>
      <w:lvlJc w:val="left"/>
      <w:pPr>
        <w:tabs>
          <w:tab w:val="left" w:pos="760"/>
        </w:tabs>
        <w:ind w:left="1264" w:hanging="413"/>
      </w:pPr>
      <w:rPr>
        <w:rFonts w:ascii="宋体" w:hAnsi="Times New Roman" w:eastAsia="宋体" w:cs="Times New Roman"/>
        <w:color w:val="auto"/>
      </w:rPr>
    </w:lvl>
    <w:lvl w:ilvl="2" w:tentative="0">
      <w:start w:val="1"/>
      <w:numFmt w:val="bullet"/>
      <w:pStyle w:val="16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407E65F9"/>
    <w:multiLevelType w:val="multilevel"/>
    <w:tmpl w:val="407E65F9"/>
    <w:lvl w:ilvl="0" w:tentative="0">
      <w:start w:val="1"/>
      <w:numFmt w:val="none"/>
      <w:pStyle w:val="123"/>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4C50F90"/>
    <w:multiLevelType w:val="multilevel"/>
    <w:tmpl w:val="44C50F90"/>
    <w:lvl w:ilvl="0" w:tentative="0">
      <w:start w:val="1"/>
      <w:numFmt w:val="lowerLetter"/>
      <w:pStyle w:val="11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11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2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96E4D7B"/>
    <w:multiLevelType w:val="multilevel"/>
    <w:tmpl w:val="496E4D7B"/>
    <w:lvl w:ilvl="0" w:tentative="0">
      <w:start w:val="1"/>
      <w:numFmt w:val="none"/>
      <w:pStyle w:val="154"/>
      <w:lvlText w:val="%1注"/>
      <w:lvlJc w:val="left"/>
      <w:pPr>
        <w:tabs>
          <w:tab w:val="left" w:pos="900"/>
        </w:tabs>
        <w:ind w:left="900" w:hanging="50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B733A5F"/>
    <w:multiLevelType w:val="multilevel"/>
    <w:tmpl w:val="4B733A5F"/>
    <w:lvl w:ilvl="0" w:tentative="0">
      <w:start w:val="1"/>
      <w:numFmt w:val="decimal"/>
      <w:pStyle w:val="1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5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5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4">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315" w:firstLine="0"/>
      </w:pPr>
      <w:rPr>
        <w:rFonts w:hint="eastAsia" w:ascii="黑体" w:hAnsi="Times New Roman" w:eastAsia="黑体"/>
        <w:b w:val="0"/>
        <w:i w:val="0"/>
        <w:sz w:val="21"/>
      </w:rPr>
    </w:lvl>
    <w:lvl w:ilvl="3" w:tentative="0">
      <w:start w:val="1"/>
      <w:numFmt w:val="decimal"/>
      <w:pStyle w:val="100"/>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86"/>
      <w:lvlText w:val="%1)"/>
      <w:lvlJc w:val="left"/>
      <w:pPr>
        <w:tabs>
          <w:tab w:val="left" w:pos="839"/>
        </w:tabs>
        <w:ind w:left="839" w:hanging="419"/>
      </w:pPr>
      <w:rPr>
        <w:rFonts w:hint="eastAsia" w:ascii="宋体" w:eastAsia="宋体"/>
        <w:b w:val="0"/>
        <w:i w:val="0"/>
        <w:sz w:val="21"/>
      </w:rPr>
    </w:lvl>
    <w:lvl w:ilvl="1" w:tentative="0">
      <w:start w:val="1"/>
      <w:numFmt w:val="decimal"/>
      <w:pStyle w:val="1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3"/>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76933334"/>
    <w:multiLevelType w:val="multilevel"/>
    <w:tmpl w:val="76933334"/>
    <w:lvl w:ilvl="0" w:tentative="0">
      <w:start w:val="1"/>
      <w:numFmt w:val="none"/>
      <w:pStyle w:val="122"/>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7"/>
  </w:num>
  <w:num w:numId="7">
    <w:abstractNumId w:val="7"/>
  </w:num>
  <w:num w:numId="8">
    <w:abstractNumId w:val="2"/>
  </w:num>
  <w:num w:numId="9">
    <w:abstractNumId w:val="13"/>
  </w:num>
  <w:num w:numId="10">
    <w:abstractNumId w:val="11"/>
  </w:num>
  <w:num w:numId="11">
    <w:abstractNumId w:val="16"/>
  </w:num>
  <w:num w:numId="12">
    <w:abstractNumId w:val="9"/>
  </w:num>
  <w:num w:numId="13">
    <w:abstractNumId w:val="6"/>
  </w:num>
  <w:num w:numId="14">
    <w:abstractNumId w:val="10"/>
  </w:num>
  <w:num w:numId="15">
    <w:abstractNumId w:val="4"/>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7"/>
    <w:rsid w:val="00000FCD"/>
    <w:rsid w:val="000027BD"/>
    <w:rsid w:val="0000773A"/>
    <w:rsid w:val="00027AFC"/>
    <w:rsid w:val="0003707C"/>
    <w:rsid w:val="00041CE5"/>
    <w:rsid w:val="00044FDA"/>
    <w:rsid w:val="00046039"/>
    <w:rsid w:val="00047AA6"/>
    <w:rsid w:val="00052088"/>
    <w:rsid w:val="00052228"/>
    <w:rsid w:val="00053AA4"/>
    <w:rsid w:val="000551BF"/>
    <w:rsid w:val="0005697A"/>
    <w:rsid w:val="000635B4"/>
    <w:rsid w:val="00066E0C"/>
    <w:rsid w:val="00076AE9"/>
    <w:rsid w:val="00077066"/>
    <w:rsid w:val="00092CDE"/>
    <w:rsid w:val="00093363"/>
    <w:rsid w:val="000A195E"/>
    <w:rsid w:val="000C134B"/>
    <w:rsid w:val="000C5BB0"/>
    <w:rsid w:val="000C7BD8"/>
    <w:rsid w:val="000D29BE"/>
    <w:rsid w:val="000D779F"/>
    <w:rsid w:val="000E1350"/>
    <w:rsid w:val="000E36C8"/>
    <w:rsid w:val="000E7412"/>
    <w:rsid w:val="000F05C1"/>
    <w:rsid w:val="000F3935"/>
    <w:rsid w:val="000F3DDB"/>
    <w:rsid w:val="000F5126"/>
    <w:rsid w:val="000F7CD7"/>
    <w:rsid w:val="00105896"/>
    <w:rsid w:val="00122167"/>
    <w:rsid w:val="00124F1E"/>
    <w:rsid w:val="00125D6E"/>
    <w:rsid w:val="00142BD3"/>
    <w:rsid w:val="00145D7B"/>
    <w:rsid w:val="00156007"/>
    <w:rsid w:val="001564D2"/>
    <w:rsid w:val="001636EE"/>
    <w:rsid w:val="001659B7"/>
    <w:rsid w:val="00187618"/>
    <w:rsid w:val="00190CA3"/>
    <w:rsid w:val="001A0B60"/>
    <w:rsid w:val="001A163B"/>
    <w:rsid w:val="001B0FBA"/>
    <w:rsid w:val="001B5B72"/>
    <w:rsid w:val="001D5E8F"/>
    <w:rsid w:val="001D7670"/>
    <w:rsid w:val="001E0B04"/>
    <w:rsid w:val="001F1D97"/>
    <w:rsid w:val="00204673"/>
    <w:rsid w:val="00216F6C"/>
    <w:rsid w:val="00220360"/>
    <w:rsid w:val="00234EBC"/>
    <w:rsid w:val="00240FFD"/>
    <w:rsid w:val="00251AF3"/>
    <w:rsid w:val="002602F7"/>
    <w:rsid w:val="0026563C"/>
    <w:rsid w:val="00266FA8"/>
    <w:rsid w:val="00270D31"/>
    <w:rsid w:val="00291F03"/>
    <w:rsid w:val="002920BD"/>
    <w:rsid w:val="002921D8"/>
    <w:rsid w:val="002930F1"/>
    <w:rsid w:val="00294FD8"/>
    <w:rsid w:val="002A3D08"/>
    <w:rsid w:val="002C4D7A"/>
    <w:rsid w:val="002C7853"/>
    <w:rsid w:val="002D1DDE"/>
    <w:rsid w:val="002E51C5"/>
    <w:rsid w:val="002E560A"/>
    <w:rsid w:val="002E5BF6"/>
    <w:rsid w:val="002E6845"/>
    <w:rsid w:val="002F6699"/>
    <w:rsid w:val="002F6BD0"/>
    <w:rsid w:val="002F7D00"/>
    <w:rsid w:val="0030334F"/>
    <w:rsid w:val="003177E3"/>
    <w:rsid w:val="00320E05"/>
    <w:rsid w:val="00321163"/>
    <w:rsid w:val="00323233"/>
    <w:rsid w:val="0032602A"/>
    <w:rsid w:val="00340A0E"/>
    <w:rsid w:val="00356323"/>
    <w:rsid w:val="0036102C"/>
    <w:rsid w:val="003636CA"/>
    <w:rsid w:val="00366781"/>
    <w:rsid w:val="0036713E"/>
    <w:rsid w:val="003722A0"/>
    <w:rsid w:val="003817B6"/>
    <w:rsid w:val="00383494"/>
    <w:rsid w:val="003A6982"/>
    <w:rsid w:val="003A7A94"/>
    <w:rsid w:val="003C0FD6"/>
    <w:rsid w:val="003C774A"/>
    <w:rsid w:val="003D1817"/>
    <w:rsid w:val="003D36D0"/>
    <w:rsid w:val="003E04BD"/>
    <w:rsid w:val="003E2D23"/>
    <w:rsid w:val="003E7906"/>
    <w:rsid w:val="003E7F88"/>
    <w:rsid w:val="003F1426"/>
    <w:rsid w:val="00403ACF"/>
    <w:rsid w:val="00421114"/>
    <w:rsid w:val="00422A02"/>
    <w:rsid w:val="0043046A"/>
    <w:rsid w:val="00433DF9"/>
    <w:rsid w:val="00434DE2"/>
    <w:rsid w:val="004357E2"/>
    <w:rsid w:val="00436AE6"/>
    <w:rsid w:val="00441431"/>
    <w:rsid w:val="004446BF"/>
    <w:rsid w:val="00445606"/>
    <w:rsid w:val="00455054"/>
    <w:rsid w:val="00463E06"/>
    <w:rsid w:val="00486C90"/>
    <w:rsid w:val="00494F57"/>
    <w:rsid w:val="00496CF0"/>
    <w:rsid w:val="004A2645"/>
    <w:rsid w:val="004A5F32"/>
    <w:rsid w:val="004B0CCC"/>
    <w:rsid w:val="004B29AF"/>
    <w:rsid w:val="004B3BEB"/>
    <w:rsid w:val="004B41EB"/>
    <w:rsid w:val="004B665B"/>
    <w:rsid w:val="004B6815"/>
    <w:rsid w:val="004C02AC"/>
    <w:rsid w:val="004D35C4"/>
    <w:rsid w:val="004E0A37"/>
    <w:rsid w:val="004E4B61"/>
    <w:rsid w:val="004E6E3C"/>
    <w:rsid w:val="004F005C"/>
    <w:rsid w:val="004F546C"/>
    <w:rsid w:val="0050534B"/>
    <w:rsid w:val="00513110"/>
    <w:rsid w:val="00515802"/>
    <w:rsid w:val="0052032C"/>
    <w:rsid w:val="005216F6"/>
    <w:rsid w:val="00526326"/>
    <w:rsid w:val="00536838"/>
    <w:rsid w:val="0054006C"/>
    <w:rsid w:val="005434ED"/>
    <w:rsid w:val="00547751"/>
    <w:rsid w:val="005541CF"/>
    <w:rsid w:val="00557CB9"/>
    <w:rsid w:val="00577C87"/>
    <w:rsid w:val="0059716D"/>
    <w:rsid w:val="005B5443"/>
    <w:rsid w:val="005B6286"/>
    <w:rsid w:val="005B62F4"/>
    <w:rsid w:val="005C4CE2"/>
    <w:rsid w:val="005C697D"/>
    <w:rsid w:val="005D2F49"/>
    <w:rsid w:val="005D56D2"/>
    <w:rsid w:val="005F5061"/>
    <w:rsid w:val="00600357"/>
    <w:rsid w:val="006006F7"/>
    <w:rsid w:val="00600AED"/>
    <w:rsid w:val="0060154E"/>
    <w:rsid w:val="0060242F"/>
    <w:rsid w:val="006150C3"/>
    <w:rsid w:val="00617E95"/>
    <w:rsid w:val="006203D3"/>
    <w:rsid w:val="006220F5"/>
    <w:rsid w:val="00623061"/>
    <w:rsid w:val="00624614"/>
    <w:rsid w:val="00636065"/>
    <w:rsid w:val="00640336"/>
    <w:rsid w:val="006451CC"/>
    <w:rsid w:val="006456EC"/>
    <w:rsid w:val="00646E84"/>
    <w:rsid w:val="0064770A"/>
    <w:rsid w:val="00652506"/>
    <w:rsid w:val="006624A8"/>
    <w:rsid w:val="00665877"/>
    <w:rsid w:val="00666010"/>
    <w:rsid w:val="00683BA0"/>
    <w:rsid w:val="00694FFB"/>
    <w:rsid w:val="006A409F"/>
    <w:rsid w:val="006A7D27"/>
    <w:rsid w:val="006B2B50"/>
    <w:rsid w:val="006B54C5"/>
    <w:rsid w:val="006C20A4"/>
    <w:rsid w:val="006C37E7"/>
    <w:rsid w:val="006D15F1"/>
    <w:rsid w:val="006D79A2"/>
    <w:rsid w:val="007107C8"/>
    <w:rsid w:val="00721721"/>
    <w:rsid w:val="00727786"/>
    <w:rsid w:val="00733CF0"/>
    <w:rsid w:val="00755787"/>
    <w:rsid w:val="0075612F"/>
    <w:rsid w:val="00765FA6"/>
    <w:rsid w:val="00767E9A"/>
    <w:rsid w:val="007779BD"/>
    <w:rsid w:val="00794091"/>
    <w:rsid w:val="00794617"/>
    <w:rsid w:val="007960B3"/>
    <w:rsid w:val="007A03AC"/>
    <w:rsid w:val="007A5C15"/>
    <w:rsid w:val="007A723F"/>
    <w:rsid w:val="007A7AC2"/>
    <w:rsid w:val="007B1354"/>
    <w:rsid w:val="007B799F"/>
    <w:rsid w:val="007C52FD"/>
    <w:rsid w:val="007D64EC"/>
    <w:rsid w:val="007E2338"/>
    <w:rsid w:val="007E6078"/>
    <w:rsid w:val="007F1928"/>
    <w:rsid w:val="00803DD2"/>
    <w:rsid w:val="00811D3D"/>
    <w:rsid w:val="00814A4F"/>
    <w:rsid w:val="00820CDF"/>
    <w:rsid w:val="00820F97"/>
    <w:rsid w:val="008303EB"/>
    <w:rsid w:val="00844E9A"/>
    <w:rsid w:val="00847F16"/>
    <w:rsid w:val="00847FE2"/>
    <w:rsid w:val="0085219F"/>
    <w:rsid w:val="00853FA6"/>
    <w:rsid w:val="0085520C"/>
    <w:rsid w:val="0085605E"/>
    <w:rsid w:val="00864458"/>
    <w:rsid w:val="00864DDB"/>
    <w:rsid w:val="008718A7"/>
    <w:rsid w:val="00871977"/>
    <w:rsid w:val="008904E0"/>
    <w:rsid w:val="00897B23"/>
    <w:rsid w:val="008A1719"/>
    <w:rsid w:val="008A24A0"/>
    <w:rsid w:val="008A3B6F"/>
    <w:rsid w:val="008B6AE8"/>
    <w:rsid w:val="008C10B6"/>
    <w:rsid w:val="008D17D9"/>
    <w:rsid w:val="008E1CB6"/>
    <w:rsid w:val="008F470D"/>
    <w:rsid w:val="008F5BAB"/>
    <w:rsid w:val="009059CF"/>
    <w:rsid w:val="0091544B"/>
    <w:rsid w:val="00920320"/>
    <w:rsid w:val="00922A36"/>
    <w:rsid w:val="009254AF"/>
    <w:rsid w:val="00934867"/>
    <w:rsid w:val="009512AB"/>
    <w:rsid w:val="00954386"/>
    <w:rsid w:val="0096571D"/>
    <w:rsid w:val="00967D99"/>
    <w:rsid w:val="009734B9"/>
    <w:rsid w:val="0097445B"/>
    <w:rsid w:val="00996438"/>
    <w:rsid w:val="00996B12"/>
    <w:rsid w:val="009A0120"/>
    <w:rsid w:val="009A63FB"/>
    <w:rsid w:val="009C2B9B"/>
    <w:rsid w:val="009C340B"/>
    <w:rsid w:val="009E71E3"/>
    <w:rsid w:val="009F4F46"/>
    <w:rsid w:val="00A045A9"/>
    <w:rsid w:val="00A0492D"/>
    <w:rsid w:val="00A16F07"/>
    <w:rsid w:val="00A2482D"/>
    <w:rsid w:val="00A24FDF"/>
    <w:rsid w:val="00A4367F"/>
    <w:rsid w:val="00A4600A"/>
    <w:rsid w:val="00A524A9"/>
    <w:rsid w:val="00A52AA9"/>
    <w:rsid w:val="00A604F0"/>
    <w:rsid w:val="00A64A69"/>
    <w:rsid w:val="00A65443"/>
    <w:rsid w:val="00A655C6"/>
    <w:rsid w:val="00A80B01"/>
    <w:rsid w:val="00A86F64"/>
    <w:rsid w:val="00A95521"/>
    <w:rsid w:val="00AA5B84"/>
    <w:rsid w:val="00AB0839"/>
    <w:rsid w:val="00AB3841"/>
    <w:rsid w:val="00AC4A27"/>
    <w:rsid w:val="00AD6688"/>
    <w:rsid w:val="00AF06A8"/>
    <w:rsid w:val="00AF54AD"/>
    <w:rsid w:val="00AF7ED6"/>
    <w:rsid w:val="00B01AA3"/>
    <w:rsid w:val="00B02796"/>
    <w:rsid w:val="00B10A93"/>
    <w:rsid w:val="00B21712"/>
    <w:rsid w:val="00B259BE"/>
    <w:rsid w:val="00B279BB"/>
    <w:rsid w:val="00B44B05"/>
    <w:rsid w:val="00B610AF"/>
    <w:rsid w:val="00B62E7C"/>
    <w:rsid w:val="00B6507D"/>
    <w:rsid w:val="00B8273C"/>
    <w:rsid w:val="00B86244"/>
    <w:rsid w:val="00B95B4A"/>
    <w:rsid w:val="00BA1C59"/>
    <w:rsid w:val="00BA6274"/>
    <w:rsid w:val="00BB71DB"/>
    <w:rsid w:val="00BD2783"/>
    <w:rsid w:val="00BE44C4"/>
    <w:rsid w:val="00C11034"/>
    <w:rsid w:val="00C12819"/>
    <w:rsid w:val="00C13E41"/>
    <w:rsid w:val="00C174D1"/>
    <w:rsid w:val="00C17D3A"/>
    <w:rsid w:val="00C17E53"/>
    <w:rsid w:val="00C25166"/>
    <w:rsid w:val="00C3208F"/>
    <w:rsid w:val="00C36570"/>
    <w:rsid w:val="00C3697E"/>
    <w:rsid w:val="00C469CB"/>
    <w:rsid w:val="00C47289"/>
    <w:rsid w:val="00C4777E"/>
    <w:rsid w:val="00C542BE"/>
    <w:rsid w:val="00C5470C"/>
    <w:rsid w:val="00C63E41"/>
    <w:rsid w:val="00C80E4D"/>
    <w:rsid w:val="00C85796"/>
    <w:rsid w:val="00C87E48"/>
    <w:rsid w:val="00C928BE"/>
    <w:rsid w:val="00CA0548"/>
    <w:rsid w:val="00CA261D"/>
    <w:rsid w:val="00CB134D"/>
    <w:rsid w:val="00CB3ABA"/>
    <w:rsid w:val="00CC1C0F"/>
    <w:rsid w:val="00CC38EA"/>
    <w:rsid w:val="00CD0BB7"/>
    <w:rsid w:val="00CE7168"/>
    <w:rsid w:val="00CF1404"/>
    <w:rsid w:val="00CF15F0"/>
    <w:rsid w:val="00CF4DBC"/>
    <w:rsid w:val="00D02910"/>
    <w:rsid w:val="00D06708"/>
    <w:rsid w:val="00D07F70"/>
    <w:rsid w:val="00D11675"/>
    <w:rsid w:val="00D21B46"/>
    <w:rsid w:val="00D2221C"/>
    <w:rsid w:val="00D342C4"/>
    <w:rsid w:val="00D35E8E"/>
    <w:rsid w:val="00D37090"/>
    <w:rsid w:val="00D41B88"/>
    <w:rsid w:val="00D53AB1"/>
    <w:rsid w:val="00D5436F"/>
    <w:rsid w:val="00D60768"/>
    <w:rsid w:val="00D6696B"/>
    <w:rsid w:val="00D83570"/>
    <w:rsid w:val="00D864A1"/>
    <w:rsid w:val="00D86B8A"/>
    <w:rsid w:val="00D86C08"/>
    <w:rsid w:val="00D9091D"/>
    <w:rsid w:val="00D973BB"/>
    <w:rsid w:val="00DA028B"/>
    <w:rsid w:val="00DA0F8F"/>
    <w:rsid w:val="00DA4D7B"/>
    <w:rsid w:val="00DC6CA7"/>
    <w:rsid w:val="00DE1CF1"/>
    <w:rsid w:val="00DE2338"/>
    <w:rsid w:val="00E049B9"/>
    <w:rsid w:val="00E126C2"/>
    <w:rsid w:val="00E21F68"/>
    <w:rsid w:val="00E4107A"/>
    <w:rsid w:val="00E47177"/>
    <w:rsid w:val="00E62F93"/>
    <w:rsid w:val="00E64199"/>
    <w:rsid w:val="00E72FDF"/>
    <w:rsid w:val="00E73D67"/>
    <w:rsid w:val="00E85D28"/>
    <w:rsid w:val="00E8781B"/>
    <w:rsid w:val="00E90801"/>
    <w:rsid w:val="00EA5B12"/>
    <w:rsid w:val="00EB062C"/>
    <w:rsid w:val="00EC0585"/>
    <w:rsid w:val="00EC098B"/>
    <w:rsid w:val="00EC5414"/>
    <w:rsid w:val="00ED0697"/>
    <w:rsid w:val="00EE0898"/>
    <w:rsid w:val="00EF3FCE"/>
    <w:rsid w:val="00F0139A"/>
    <w:rsid w:val="00F05780"/>
    <w:rsid w:val="00F12945"/>
    <w:rsid w:val="00F16D2C"/>
    <w:rsid w:val="00F214F1"/>
    <w:rsid w:val="00F22BEB"/>
    <w:rsid w:val="00F31656"/>
    <w:rsid w:val="00F50095"/>
    <w:rsid w:val="00F54AF2"/>
    <w:rsid w:val="00F60123"/>
    <w:rsid w:val="00F67FA5"/>
    <w:rsid w:val="00F73C01"/>
    <w:rsid w:val="00F73EF1"/>
    <w:rsid w:val="00F943F5"/>
    <w:rsid w:val="00FA4B34"/>
    <w:rsid w:val="00FB26F0"/>
    <w:rsid w:val="00FB2936"/>
    <w:rsid w:val="00FB2A74"/>
    <w:rsid w:val="00FB5F89"/>
    <w:rsid w:val="00FB686D"/>
    <w:rsid w:val="00FC001C"/>
    <w:rsid w:val="00FC168E"/>
    <w:rsid w:val="00FD302B"/>
    <w:rsid w:val="00FD5C2C"/>
    <w:rsid w:val="00FE63D6"/>
    <w:rsid w:val="00FF3CF0"/>
    <w:rsid w:val="09BA2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1"/>
    <w:qFormat/>
    <w:uiPriority w:val="0"/>
    <w:pPr>
      <w:keepNext/>
      <w:keepLines/>
      <w:spacing w:line="360" w:lineRule="auto"/>
      <w:ind w:firstLine="600" w:firstLineChars="200"/>
      <w:outlineLvl w:val="2"/>
    </w:pPr>
    <w:rPr>
      <w:rFonts w:ascii="仿宋_GB2312" w:hAnsi="仿宋" w:eastAsia="黑体" w:cs="Arial"/>
      <w:sz w:val="30"/>
      <w:szCs w:val="24"/>
    </w:rPr>
  </w:style>
  <w:style w:type="paragraph" w:styleId="5">
    <w:name w:val="heading 4"/>
    <w:basedOn w:val="1"/>
    <w:next w:val="1"/>
    <w:link w:val="74"/>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5"/>
    <w:qFormat/>
    <w:uiPriority w:val="9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6"/>
    <w:qFormat/>
    <w:uiPriority w:val="9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7"/>
    <w:qFormat/>
    <w:uiPriority w:val="9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8"/>
    <w:qFormat/>
    <w:uiPriority w:val="99"/>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9"/>
    <w:qFormat/>
    <w:uiPriority w:val="99"/>
    <w:pPr>
      <w:keepNext/>
      <w:keepLines/>
      <w:spacing w:before="240" w:after="64" w:line="320" w:lineRule="auto"/>
      <w:outlineLvl w:val="8"/>
    </w:pPr>
    <w:rPr>
      <w:rFonts w:ascii="Arial" w:hAnsi="Arial" w:eastAsia="黑体" w:cs="Times New Roman"/>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241"/>
      </w:tabs>
    </w:pPr>
  </w:style>
  <w:style w:type="paragraph" w:styleId="12">
    <w:name w:val="toc 6"/>
    <w:basedOn w:val="13"/>
    <w:next w:val="1"/>
    <w:semiHidden/>
    <w:qFormat/>
    <w:uiPriority w:val="0"/>
    <w:pPr>
      <w:tabs>
        <w:tab w:val="right" w:leader="dot" w:pos="9241"/>
      </w:tabs>
    </w:pPr>
  </w:style>
  <w:style w:type="paragraph" w:styleId="13">
    <w:name w:val="toc 5"/>
    <w:basedOn w:val="14"/>
    <w:next w:val="1"/>
    <w:semiHidden/>
    <w:qFormat/>
    <w:uiPriority w:val="0"/>
    <w:pPr>
      <w:tabs>
        <w:tab w:val="right" w:leader="dot" w:pos="9241"/>
      </w:tabs>
    </w:pPr>
  </w:style>
  <w:style w:type="paragraph" w:styleId="14">
    <w:name w:val="toc 4"/>
    <w:basedOn w:val="15"/>
    <w:next w:val="1"/>
    <w:qFormat/>
    <w:uiPriority w:val="39"/>
    <w:pPr>
      <w:tabs>
        <w:tab w:val="right" w:leader="dot" w:pos="9241"/>
      </w:tabs>
    </w:pPr>
  </w:style>
  <w:style w:type="paragraph" w:styleId="15">
    <w:name w:val="toc 3"/>
    <w:basedOn w:val="16"/>
    <w:next w:val="1"/>
    <w:qFormat/>
    <w:uiPriority w:val="39"/>
    <w:pPr>
      <w:widowControl/>
      <w:tabs>
        <w:tab w:val="right" w:leader="dot" w:pos="9241"/>
      </w:tabs>
      <w:ind w:left="0" w:leftChars="0"/>
    </w:pPr>
    <w:rPr>
      <w:rFonts w:ascii="宋体"/>
      <w:kern w:val="0"/>
      <w:szCs w:val="20"/>
    </w:rPr>
  </w:style>
  <w:style w:type="paragraph" w:styleId="16">
    <w:name w:val="toc 2"/>
    <w:basedOn w:val="1"/>
    <w:next w:val="1"/>
    <w:qFormat/>
    <w:uiPriority w:val="39"/>
    <w:pPr>
      <w:ind w:left="420" w:leftChars="200"/>
    </w:pPr>
    <w:rPr>
      <w:rFonts w:ascii="Times New Roman" w:hAnsi="Times New Roman" w:eastAsia="宋体" w:cs="Times New Roman"/>
      <w:szCs w:val="24"/>
    </w:rPr>
  </w:style>
  <w:style w:type="paragraph" w:styleId="17">
    <w:name w:val="index 8"/>
    <w:basedOn w:val="1"/>
    <w:next w:val="1"/>
    <w:qFormat/>
    <w:uiPriority w:val="0"/>
    <w:pPr>
      <w:ind w:left="1680" w:hanging="210"/>
      <w:jc w:val="left"/>
    </w:pPr>
    <w:rPr>
      <w:rFonts w:ascii="Calibri" w:hAnsi="Calibri" w:eastAsia="宋体" w:cs="Times New Roman"/>
      <w:sz w:val="20"/>
      <w:szCs w:val="20"/>
    </w:rPr>
  </w:style>
  <w:style w:type="paragraph" w:styleId="18">
    <w:name w:val="caption"/>
    <w:basedOn w:val="1"/>
    <w:next w:val="1"/>
    <w:link w:val="218"/>
    <w:qFormat/>
    <w:uiPriority w:val="0"/>
    <w:pPr>
      <w:spacing w:before="152" w:after="160"/>
    </w:pPr>
    <w:rPr>
      <w:rFonts w:ascii="Arial" w:hAnsi="Arial" w:eastAsia="黑体" w:cs="Arial"/>
      <w:sz w:val="20"/>
      <w:szCs w:val="20"/>
    </w:rPr>
  </w:style>
  <w:style w:type="paragraph" w:styleId="19">
    <w:name w:val="index 5"/>
    <w:basedOn w:val="1"/>
    <w:next w:val="1"/>
    <w:qFormat/>
    <w:uiPriority w:val="0"/>
    <w:pPr>
      <w:ind w:left="1050" w:hanging="210"/>
      <w:jc w:val="left"/>
    </w:pPr>
    <w:rPr>
      <w:rFonts w:ascii="Calibri" w:hAnsi="Calibri" w:eastAsia="宋体" w:cs="Times New Roman"/>
      <w:sz w:val="20"/>
      <w:szCs w:val="20"/>
    </w:rPr>
  </w:style>
  <w:style w:type="paragraph" w:styleId="20">
    <w:name w:val="Document Map"/>
    <w:basedOn w:val="1"/>
    <w:link w:val="80"/>
    <w:qFormat/>
    <w:uiPriority w:val="0"/>
    <w:pPr>
      <w:shd w:val="clear" w:color="auto" w:fill="000080"/>
    </w:pPr>
    <w:rPr>
      <w:rFonts w:ascii="Times New Roman" w:hAnsi="Times New Roman" w:eastAsia="宋体" w:cs="Times New Roman"/>
      <w:szCs w:val="24"/>
    </w:rPr>
  </w:style>
  <w:style w:type="paragraph" w:styleId="21">
    <w:name w:val="annotation text"/>
    <w:basedOn w:val="1"/>
    <w:link w:val="81"/>
    <w:qFormat/>
    <w:uiPriority w:val="0"/>
    <w:pPr>
      <w:jc w:val="left"/>
    </w:pPr>
    <w:rPr>
      <w:rFonts w:ascii="Times New Roman" w:hAnsi="Times New Roman" w:eastAsia="宋体" w:cs="Times New Roman"/>
      <w:szCs w:val="24"/>
    </w:rPr>
  </w:style>
  <w:style w:type="paragraph" w:styleId="22">
    <w:name w:val="index 6"/>
    <w:basedOn w:val="1"/>
    <w:next w:val="1"/>
    <w:qFormat/>
    <w:uiPriority w:val="0"/>
    <w:pPr>
      <w:ind w:left="1260" w:hanging="210"/>
      <w:jc w:val="left"/>
    </w:pPr>
    <w:rPr>
      <w:rFonts w:ascii="Calibri" w:hAnsi="Calibri" w:eastAsia="宋体" w:cs="Times New Roman"/>
      <w:sz w:val="20"/>
      <w:szCs w:val="20"/>
    </w:rPr>
  </w:style>
  <w:style w:type="paragraph" w:styleId="23">
    <w:name w:val="Body Text"/>
    <w:basedOn w:val="1"/>
    <w:link w:val="221"/>
    <w:qFormat/>
    <w:uiPriority w:val="1"/>
    <w:pPr>
      <w:spacing w:before="18"/>
      <w:ind w:left="74"/>
      <w:jc w:val="left"/>
    </w:pPr>
    <w:rPr>
      <w:rFonts w:ascii="宋体" w:hAnsi="宋体" w:eastAsia="宋体"/>
      <w:kern w:val="0"/>
      <w:szCs w:val="21"/>
      <w:lang w:eastAsia="en-US"/>
    </w:rPr>
  </w:style>
  <w:style w:type="paragraph" w:styleId="24">
    <w:name w:val="HTML Address"/>
    <w:basedOn w:val="1"/>
    <w:link w:val="82"/>
    <w:qFormat/>
    <w:uiPriority w:val="99"/>
    <w:rPr>
      <w:rFonts w:ascii="Times New Roman" w:hAnsi="Times New Roman" w:eastAsia="宋体" w:cs="Times New Roman"/>
      <w:i/>
      <w:iCs/>
      <w:szCs w:val="24"/>
    </w:rPr>
  </w:style>
  <w:style w:type="paragraph" w:styleId="25">
    <w:name w:val="index 4"/>
    <w:basedOn w:val="1"/>
    <w:next w:val="1"/>
    <w:qFormat/>
    <w:uiPriority w:val="0"/>
    <w:pPr>
      <w:ind w:left="840" w:hanging="210"/>
      <w:jc w:val="left"/>
    </w:pPr>
    <w:rPr>
      <w:rFonts w:ascii="Calibri" w:hAnsi="Calibri" w:eastAsia="宋体" w:cs="Times New Roman"/>
      <w:sz w:val="20"/>
      <w:szCs w:val="20"/>
    </w:rPr>
  </w:style>
  <w:style w:type="paragraph" w:styleId="26">
    <w:name w:val="toc 8"/>
    <w:basedOn w:val="11"/>
    <w:next w:val="1"/>
    <w:semiHidden/>
    <w:qFormat/>
    <w:uiPriority w:val="0"/>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Date"/>
    <w:basedOn w:val="1"/>
    <w:next w:val="1"/>
    <w:link w:val="83"/>
    <w:qFormat/>
    <w:uiPriority w:val="99"/>
    <w:pPr>
      <w:ind w:left="100" w:leftChars="2500"/>
    </w:pPr>
    <w:rPr>
      <w:rFonts w:ascii="Times New Roman" w:hAnsi="Times New Roman" w:eastAsia="宋体" w:cs="Times New Roman"/>
      <w:szCs w:val="24"/>
    </w:rPr>
  </w:style>
  <w:style w:type="paragraph" w:styleId="29">
    <w:name w:val="endnote text"/>
    <w:basedOn w:val="1"/>
    <w:link w:val="84"/>
    <w:semiHidden/>
    <w:qFormat/>
    <w:uiPriority w:val="0"/>
    <w:pPr>
      <w:snapToGrid w:val="0"/>
      <w:jc w:val="left"/>
    </w:pPr>
    <w:rPr>
      <w:rFonts w:ascii="Times New Roman" w:hAnsi="Times New Roman" w:eastAsia="宋体" w:cs="Times New Roman"/>
      <w:szCs w:val="24"/>
    </w:rPr>
  </w:style>
  <w:style w:type="paragraph" w:styleId="30">
    <w:name w:val="Balloon Text"/>
    <w:basedOn w:val="1"/>
    <w:link w:val="70"/>
    <w:unhideWhenUsed/>
    <w:qFormat/>
    <w:uiPriority w:val="0"/>
    <w:rPr>
      <w:sz w:val="18"/>
      <w:szCs w:val="18"/>
    </w:rPr>
  </w:style>
  <w:style w:type="paragraph" w:styleId="31">
    <w:name w:val="footer"/>
    <w:basedOn w:val="1"/>
    <w:link w:val="64"/>
    <w:unhideWhenUsed/>
    <w:qFormat/>
    <w:uiPriority w:val="99"/>
    <w:pPr>
      <w:tabs>
        <w:tab w:val="center" w:pos="4153"/>
        <w:tab w:val="right" w:pos="8306"/>
      </w:tabs>
      <w:snapToGrid w:val="0"/>
      <w:jc w:val="left"/>
    </w:pPr>
    <w:rPr>
      <w:sz w:val="18"/>
      <w:szCs w:val="18"/>
    </w:rPr>
  </w:style>
  <w:style w:type="paragraph" w:styleId="32">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1"/>
    <w:unhideWhenUsed/>
    <w:qFormat/>
    <w:uiPriority w:val="0"/>
  </w:style>
  <w:style w:type="paragraph" w:styleId="36">
    <w:name w:val="footnote text"/>
    <w:basedOn w:val="1"/>
    <w:link w:val="85"/>
    <w:qFormat/>
    <w:uiPriority w:val="0"/>
    <w:pPr>
      <w:snapToGrid w:val="0"/>
      <w:jc w:val="left"/>
    </w:pPr>
    <w:rPr>
      <w:rFonts w:ascii="Times New Roman" w:hAnsi="Times New Roman" w:eastAsia="宋体" w:cs="Times New Roman"/>
      <w:sz w:val="18"/>
      <w:szCs w:val="18"/>
    </w:rPr>
  </w:style>
  <w:style w:type="paragraph" w:styleId="37">
    <w:name w:val="index 7"/>
    <w:basedOn w:val="1"/>
    <w:next w:val="1"/>
    <w:qFormat/>
    <w:uiPriority w:val="0"/>
    <w:pPr>
      <w:ind w:left="1470" w:hanging="210"/>
      <w:jc w:val="left"/>
    </w:pPr>
    <w:rPr>
      <w:rFonts w:ascii="Calibri" w:hAnsi="Calibri" w:eastAsia="宋体" w:cs="Times New Roman"/>
      <w:sz w:val="20"/>
      <w:szCs w:val="20"/>
    </w:rPr>
  </w:style>
  <w:style w:type="paragraph" w:styleId="38">
    <w:name w:val="index 9"/>
    <w:basedOn w:val="1"/>
    <w:next w:val="1"/>
    <w:qFormat/>
    <w:uiPriority w:val="0"/>
    <w:pPr>
      <w:ind w:left="1890" w:hanging="210"/>
      <w:jc w:val="left"/>
    </w:pPr>
    <w:rPr>
      <w:rFonts w:ascii="Calibri" w:hAnsi="Calibri" w:eastAsia="宋体" w:cs="Times New Roman"/>
      <w:sz w:val="20"/>
      <w:szCs w:val="20"/>
    </w:rPr>
  </w:style>
  <w:style w:type="paragraph" w:styleId="39">
    <w:name w:val="toc 9"/>
    <w:basedOn w:val="26"/>
    <w:next w:val="1"/>
    <w:semiHidden/>
    <w:qFormat/>
    <w:uiPriority w:val="0"/>
  </w:style>
  <w:style w:type="paragraph" w:styleId="40">
    <w:name w:val="HTML Preformatted"/>
    <w:basedOn w:val="1"/>
    <w:link w:val="86"/>
    <w:qFormat/>
    <w:uiPriority w:val="99"/>
    <w:rPr>
      <w:rFonts w:ascii="Courier New" w:hAnsi="Courier New" w:eastAsia="宋体" w:cs="Century"/>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ind w:left="420" w:hanging="210"/>
      <w:jc w:val="left"/>
    </w:pPr>
    <w:rPr>
      <w:rFonts w:ascii="Calibri" w:hAnsi="Calibri" w:eastAsia="宋体" w:cs="Times New Roman"/>
      <w:sz w:val="20"/>
      <w:szCs w:val="20"/>
    </w:rPr>
  </w:style>
  <w:style w:type="paragraph" w:styleId="43">
    <w:name w:val="Title"/>
    <w:basedOn w:val="1"/>
    <w:link w:val="87"/>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21"/>
    <w:next w:val="21"/>
    <w:link w:val="88"/>
    <w:qFormat/>
    <w:uiPriority w:val="99"/>
    <w:rPr>
      <w:b/>
      <w:bCs/>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basedOn w:val="47"/>
    <w:semiHidden/>
    <w:qFormat/>
    <w:uiPriority w:val="0"/>
    <w:rPr>
      <w:vertAlign w:val="superscript"/>
    </w:rPr>
  </w:style>
  <w:style w:type="character" w:styleId="49">
    <w:name w:val="page number"/>
    <w:qFormat/>
    <w:uiPriority w:val="0"/>
    <w:rPr>
      <w:rFonts w:ascii="Times New Roman" w:hAnsi="Times New Roman" w:eastAsia="宋体" w:cs="Times New Roman"/>
      <w:sz w:val="18"/>
    </w:rPr>
  </w:style>
  <w:style w:type="character" w:styleId="50">
    <w:name w:val="FollowedHyperlink"/>
    <w:qFormat/>
    <w:uiPriority w:val="0"/>
    <w:rPr>
      <w:rFonts w:cs="Times New Roman"/>
      <w:color w:val="800080"/>
      <w:u w:val="single"/>
    </w:rPr>
  </w:style>
  <w:style w:type="character" w:styleId="51">
    <w:name w:val="Emphasis"/>
    <w:qFormat/>
    <w:uiPriority w:val="0"/>
    <w:rPr>
      <w:rFonts w:eastAsia="幼圆"/>
      <w:b/>
      <w:caps/>
      <w:spacing w:val="10"/>
      <w:sz w:val="18"/>
    </w:rPr>
  </w:style>
  <w:style w:type="character" w:styleId="52">
    <w:name w:val="HTML Definition"/>
    <w:qFormat/>
    <w:uiPriority w:val="99"/>
    <w:rPr>
      <w:rFonts w:cs="Times New Roman"/>
      <w:i/>
      <w:iCs/>
    </w:rPr>
  </w:style>
  <w:style w:type="character" w:styleId="53">
    <w:name w:val="HTML Typewriter"/>
    <w:qFormat/>
    <w:uiPriority w:val="99"/>
    <w:rPr>
      <w:rFonts w:ascii="Courier New" w:hAnsi="Courier New" w:cs="Times New Roman"/>
      <w:sz w:val="20"/>
      <w:szCs w:val="20"/>
    </w:rPr>
  </w:style>
  <w:style w:type="character" w:styleId="54">
    <w:name w:val="HTML Acronym"/>
    <w:qFormat/>
    <w:uiPriority w:val="99"/>
    <w:rPr>
      <w:rFonts w:cs="Times New Roman"/>
    </w:rPr>
  </w:style>
  <w:style w:type="character" w:styleId="55">
    <w:name w:val="HTML Variable"/>
    <w:qFormat/>
    <w:uiPriority w:val="99"/>
    <w:rPr>
      <w:rFonts w:cs="Times New Roman"/>
      <w:i/>
      <w:iCs/>
    </w:rPr>
  </w:style>
  <w:style w:type="character" w:styleId="56">
    <w:name w:val="Hyperlink"/>
    <w:qFormat/>
    <w:uiPriority w:val="99"/>
    <w:rPr>
      <w:color w:val="0000FF"/>
      <w:u w:val="single"/>
    </w:rPr>
  </w:style>
  <w:style w:type="character" w:styleId="57">
    <w:name w:val="HTML Code"/>
    <w:qFormat/>
    <w:uiPriority w:val="99"/>
    <w:rPr>
      <w:rFonts w:ascii="Courier New" w:hAnsi="Courier New" w:cs="Times New Roman"/>
      <w:sz w:val="20"/>
      <w:szCs w:val="20"/>
    </w:rPr>
  </w:style>
  <w:style w:type="character" w:styleId="58">
    <w:name w:val="annotation reference"/>
    <w:qFormat/>
    <w:uiPriority w:val="99"/>
    <w:rPr>
      <w:rFonts w:cs="Times New Roman"/>
      <w:sz w:val="21"/>
      <w:szCs w:val="21"/>
    </w:rPr>
  </w:style>
  <w:style w:type="character" w:styleId="59">
    <w:name w:val="HTML Cite"/>
    <w:qFormat/>
    <w:uiPriority w:val="99"/>
    <w:rPr>
      <w:rFonts w:cs="Times New Roman"/>
      <w:i/>
      <w:iCs/>
    </w:rPr>
  </w:style>
  <w:style w:type="character" w:styleId="60">
    <w:name w:val="footnote reference"/>
    <w:semiHidden/>
    <w:qFormat/>
    <w:uiPriority w:val="0"/>
    <w:rPr>
      <w:rFonts w:cs="Times New Roman"/>
      <w:vertAlign w:val="superscript"/>
    </w:rPr>
  </w:style>
  <w:style w:type="character" w:styleId="61">
    <w:name w:val="HTML Keyboard"/>
    <w:qFormat/>
    <w:uiPriority w:val="99"/>
    <w:rPr>
      <w:rFonts w:ascii="Courier New" w:hAnsi="Courier New" w:cs="Times New Roman"/>
      <w:sz w:val="20"/>
      <w:szCs w:val="20"/>
    </w:rPr>
  </w:style>
  <w:style w:type="character" w:styleId="62">
    <w:name w:val="HTML Sample"/>
    <w:qFormat/>
    <w:uiPriority w:val="99"/>
    <w:rPr>
      <w:rFonts w:ascii="Courier New" w:hAnsi="Courier New" w:cs="Times New Roman"/>
    </w:rPr>
  </w:style>
  <w:style w:type="character" w:customStyle="1" w:styleId="63">
    <w:name w:val="页眉 字符"/>
    <w:basedOn w:val="47"/>
    <w:link w:val="32"/>
    <w:qFormat/>
    <w:uiPriority w:val="99"/>
    <w:rPr>
      <w:sz w:val="18"/>
      <w:szCs w:val="18"/>
    </w:rPr>
  </w:style>
  <w:style w:type="character" w:customStyle="1" w:styleId="64">
    <w:name w:val="页脚 字符"/>
    <w:basedOn w:val="47"/>
    <w:link w:val="31"/>
    <w:qFormat/>
    <w:uiPriority w:val="99"/>
    <w:rPr>
      <w:sz w:val="18"/>
      <w:szCs w:val="18"/>
    </w:rPr>
  </w:style>
  <w:style w:type="paragraph" w:styleId="65">
    <w:name w:val="List Paragraph"/>
    <w:basedOn w:val="1"/>
    <w:link w:val="216"/>
    <w:qFormat/>
    <w:uiPriority w:val="34"/>
    <w:pPr>
      <w:ind w:firstLine="420" w:firstLineChars="200"/>
    </w:pPr>
  </w:style>
  <w:style w:type="paragraph" w:customStyle="1" w:styleId="66">
    <w:name w:val="Table Paragraph"/>
    <w:basedOn w:val="1"/>
    <w:qFormat/>
    <w:uiPriority w:val="1"/>
    <w:pPr>
      <w:spacing w:line="300" w:lineRule="auto"/>
      <w:jc w:val="left"/>
    </w:pPr>
    <w:rPr>
      <w:kern w:val="0"/>
      <w:sz w:val="22"/>
      <w:lang w:eastAsia="en-US"/>
    </w:rPr>
  </w:style>
  <w:style w:type="paragraph" w:customStyle="1" w:styleId="67">
    <w:name w:val="段"/>
    <w:link w:val="6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8">
    <w:name w:val="段 Char"/>
    <w:link w:val="67"/>
    <w:qFormat/>
    <w:uiPriority w:val="0"/>
    <w:rPr>
      <w:rFonts w:ascii="宋体" w:hAnsi="Times New Roman" w:eastAsia="宋体" w:cs="Times New Roman"/>
      <w:kern w:val="0"/>
      <w:szCs w:val="20"/>
    </w:rPr>
  </w:style>
  <w:style w:type="paragraph" w:customStyle="1" w:styleId="6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0">
    <w:name w:val="批注框文本 字符"/>
    <w:basedOn w:val="47"/>
    <w:link w:val="30"/>
    <w:semiHidden/>
    <w:qFormat/>
    <w:uiPriority w:val="0"/>
    <w:rPr>
      <w:sz w:val="18"/>
      <w:szCs w:val="18"/>
    </w:rPr>
  </w:style>
  <w:style w:type="character" w:customStyle="1" w:styleId="71">
    <w:name w:val="标题 3 字符"/>
    <w:basedOn w:val="47"/>
    <w:link w:val="4"/>
    <w:qFormat/>
    <w:uiPriority w:val="99"/>
    <w:rPr>
      <w:rFonts w:ascii="仿宋_GB2312" w:hAnsi="仿宋" w:eastAsia="黑体" w:cs="Arial"/>
      <w:sz w:val="30"/>
      <w:szCs w:val="24"/>
    </w:rPr>
  </w:style>
  <w:style w:type="character" w:customStyle="1" w:styleId="72">
    <w:name w:val="标题 2 字符"/>
    <w:basedOn w:val="47"/>
    <w:link w:val="3"/>
    <w:qFormat/>
    <w:uiPriority w:val="99"/>
    <w:rPr>
      <w:rFonts w:asciiTheme="majorHAnsi" w:hAnsiTheme="majorHAnsi" w:eastAsiaTheme="majorEastAsia" w:cstheme="majorBidi"/>
      <w:b/>
      <w:bCs/>
      <w:sz w:val="32"/>
      <w:szCs w:val="32"/>
    </w:rPr>
  </w:style>
  <w:style w:type="character" w:customStyle="1" w:styleId="73">
    <w:name w:val="标题 1 字符"/>
    <w:basedOn w:val="47"/>
    <w:link w:val="2"/>
    <w:qFormat/>
    <w:uiPriority w:val="0"/>
    <w:rPr>
      <w:rFonts w:ascii="Times New Roman" w:hAnsi="Times New Roman" w:eastAsia="宋体" w:cs="Times New Roman"/>
      <w:b/>
      <w:bCs/>
      <w:kern w:val="44"/>
      <w:sz w:val="44"/>
      <w:szCs w:val="44"/>
    </w:rPr>
  </w:style>
  <w:style w:type="character" w:customStyle="1" w:styleId="74">
    <w:name w:val="标题 4 字符"/>
    <w:basedOn w:val="47"/>
    <w:link w:val="5"/>
    <w:qFormat/>
    <w:uiPriority w:val="99"/>
    <w:rPr>
      <w:rFonts w:ascii="Arial" w:hAnsi="Arial" w:eastAsia="黑体" w:cs="Times New Roman"/>
      <w:b/>
      <w:bCs/>
      <w:sz w:val="28"/>
      <w:szCs w:val="28"/>
    </w:rPr>
  </w:style>
  <w:style w:type="character" w:customStyle="1" w:styleId="75">
    <w:name w:val="标题 5 字符"/>
    <w:basedOn w:val="47"/>
    <w:link w:val="6"/>
    <w:qFormat/>
    <w:uiPriority w:val="99"/>
    <w:rPr>
      <w:rFonts w:ascii="Times New Roman" w:hAnsi="Times New Roman" w:eastAsia="宋体" w:cs="Times New Roman"/>
      <w:b/>
      <w:bCs/>
      <w:sz w:val="28"/>
      <w:szCs w:val="28"/>
    </w:rPr>
  </w:style>
  <w:style w:type="character" w:customStyle="1" w:styleId="76">
    <w:name w:val="标题 6 字符"/>
    <w:basedOn w:val="47"/>
    <w:link w:val="7"/>
    <w:qFormat/>
    <w:uiPriority w:val="99"/>
    <w:rPr>
      <w:rFonts w:ascii="Arial" w:hAnsi="Arial" w:eastAsia="黑体" w:cs="Times New Roman"/>
      <w:b/>
      <w:bCs/>
      <w:sz w:val="24"/>
      <w:szCs w:val="24"/>
    </w:rPr>
  </w:style>
  <w:style w:type="character" w:customStyle="1" w:styleId="77">
    <w:name w:val="标题 7 字符"/>
    <w:basedOn w:val="47"/>
    <w:link w:val="8"/>
    <w:qFormat/>
    <w:uiPriority w:val="99"/>
    <w:rPr>
      <w:rFonts w:ascii="Times New Roman" w:hAnsi="Times New Roman" w:eastAsia="宋体" w:cs="Times New Roman"/>
      <w:b/>
      <w:bCs/>
      <w:sz w:val="24"/>
      <w:szCs w:val="24"/>
    </w:rPr>
  </w:style>
  <w:style w:type="character" w:customStyle="1" w:styleId="78">
    <w:name w:val="标题 8 字符"/>
    <w:basedOn w:val="47"/>
    <w:link w:val="9"/>
    <w:qFormat/>
    <w:uiPriority w:val="99"/>
    <w:rPr>
      <w:rFonts w:ascii="Arial" w:hAnsi="Arial" w:eastAsia="黑体" w:cs="Times New Roman"/>
      <w:sz w:val="24"/>
      <w:szCs w:val="24"/>
    </w:rPr>
  </w:style>
  <w:style w:type="character" w:customStyle="1" w:styleId="79">
    <w:name w:val="标题 9 字符"/>
    <w:basedOn w:val="47"/>
    <w:link w:val="10"/>
    <w:qFormat/>
    <w:uiPriority w:val="99"/>
    <w:rPr>
      <w:rFonts w:ascii="Arial" w:hAnsi="Arial" w:eastAsia="黑体" w:cs="Times New Roman"/>
      <w:szCs w:val="21"/>
    </w:rPr>
  </w:style>
  <w:style w:type="character" w:customStyle="1" w:styleId="80">
    <w:name w:val="文档结构图 字符"/>
    <w:basedOn w:val="47"/>
    <w:link w:val="20"/>
    <w:semiHidden/>
    <w:qFormat/>
    <w:uiPriority w:val="0"/>
    <w:rPr>
      <w:rFonts w:ascii="Times New Roman" w:hAnsi="Times New Roman" w:eastAsia="宋体" w:cs="Times New Roman"/>
      <w:szCs w:val="24"/>
      <w:shd w:val="clear" w:color="auto" w:fill="000080"/>
    </w:rPr>
  </w:style>
  <w:style w:type="character" w:customStyle="1" w:styleId="81">
    <w:name w:val="批注文字 字符"/>
    <w:basedOn w:val="47"/>
    <w:link w:val="21"/>
    <w:qFormat/>
    <w:uiPriority w:val="0"/>
    <w:rPr>
      <w:rFonts w:ascii="Times New Roman" w:hAnsi="Times New Roman" w:eastAsia="宋体" w:cs="Times New Roman"/>
      <w:szCs w:val="24"/>
    </w:rPr>
  </w:style>
  <w:style w:type="character" w:customStyle="1" w:styleId="82">
    <w:name w:val="HTML 地址 字符"/>
    <w:basedOn w:val="47"/>
    <w:link w:val="24"/>
    <w:qFormat/>
    <w:uiPriority w:val="99"/>
    <w:rPr>
      <w:rFonts w:ascii="Times New Roman" w:hAnsi="Times New Roman" w:eastAsia="宋体" w:cs="Times New Roman"/>
      <w:i/>
      <w:iCs/>
      <w:szCs w:val="24"/>
    </w:rPr>
  </w:style>
  <w:style w:type="character" w:customStyle="1" w:styleId="83">
    <w:name w:val="日期 字符"/>
    <w:basedOn w:val="47"/>
    <w:link w:val="28"/>
    <w:qFormat/>
    <w:uiPriority w:val="99"/>
    <w:rPr>
      <w:rFonts w:ascii="Times New Roman" w:hAnsi="Times New Roman" w:eastAsia="宋体" w:cs="Times New Roman"/>
      <w:szCs w:val="24"/>
    </w:rPr>
  </w:style>
  <w:style w:type="character" w:customStyle="1" w:styleId="84">
    <w:name w:val="尾注文本 字符"/>
    <w:basedOn w:val="47"/>
    <w:link w:val="29"/>
    <w:semiHidden/>
    <w:qFormat/>
    <w:uiPriority w:val="0"/>
    <w:rPr>
      <w:rFonts w:ascii="Times New Roman" w:hAnsi="Times New Roman" w:eastAsia="宋体" w:cs="Times New Roman"/>
      <w:szCs w:val="24"/>
    </w:rPr>
  </w:style>
  <w:style w:type="character" w:customStyle="1" w:styleId="85">
    <w:name w:val="脚注文本 字符"/>
    <w:basedOn w:val="47"/>
    <w:link w:val="36"/>
    <w:qFormat/>
    <w:uiPriority w:val="0"/>
    <w:rPr>
      <w:rFonts w:ascii="Times New Roman" w:hAnsi="Times New Roman" w:eastAsia="宋体" w:cs="Times New Roman"/>
      <w:sz w:val="18"/>
      <w:szCs w:val="18"/>
    </w:rPr>
  </w:style>
  <w:style w:type="character" w:customStyle="1" w:styleId="86">
    <w:name w:val="HTML 预设格式 字符"/>
    <w:basedOn w:val="47"/>
    <w:link w:val="40"/>
    <w:qFormat/>
    <w:uiPriority w:val="99"/>
    <w:rPr>
      <w:rFonts w:ascii="Courier New" w:hAnsi="Courier New" w:eastAsia="宋体" w:cs="Century"/>
      <w:sz w:val="20"/>
      <w:szCs w:val="20"/>
    </w:rPr>
  </w:style>
  <w:style w:type="character" w:customStyle="1" w:styleId="87">
    <w:name w:val="标题 字符"/>
    <w:basedOn w:val="47"/>
    <w:link w:val="43"/>
    <w:qFormat/>
    <w:uiPriority w:val="0"/>
    <w:rPr>
      <w:rFonts w:ascii="Arial" w:hAnsi="Arial" w:eastAsia="宋体" w:cs="Arial"/>
      <w:b/>
      <w:bCs/>
      <w:sz w:val="32"/>
      <w:szCs w:val="32"/>
    </w:rPr>
  </w:style>
  <w:style w:type="character" w:customStyle="1" w:styleId="88">
    <w:name w:val="批注主题 字符"/>
    <w:basedOn w:val="81"/>
    <w:link w:val="44"/>
    <w:qFormat/>
    <w:uiPriority w:val="99"/>
    <w:rPr>
      <w:rFonts w:ascii="Times New Roman" w:hAnsi="Times New Roman" w:eastAsia="宋体" w:cs="Times New Roman"/>
      <w:b/>
      <w:bCs/>
      <w:szCs w:val="24"/>
    </w:rPr>
  </w:style>
  <w:style w:type="table" w:customStyle="1" w:styleId="89">
    <w:name w:val="网格型1"/>
    <w:basedOn w:val="4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91">
    <w:name w:val="一级条标题"/>
    <w:next w:val="67"/>
    <w:link w:val="224"/>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92">
    <w:name w:val="章标题"/>
    <w:next w:val="67"/>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93">
    <w:name w:val="二级条标题"/>
    <w:basedOn w:val="91"/>
    <w:next w:val="67"/>
    <w:qFormat/>
    <w:uiPriority w:val="0"/>
    <w:pPr>
      <w:spacing w:before="50" w:after="50"/>
      <w:outlineLvl w:val="3"/>
    </w:pPr>
  </w:style>
  <w:style w:type="paragraph" w:customStyle="1" w:styleId="94">
    <w:name w:val="三级条标题"/>
    <w:basedOn w:val="93"/>
    <w:next w:val="67"/>
    <w:qFormat/>
    <w:uiPriority w:val="0"/>
    <w:pPr>
      <w:outlineLvl w:val="4"/>
    </w:pPr>
  </w:style>
  <w:style w:type="paragraph" w:customStyle="1" w:styleId="95">
    <w:name w:val="四级条标题"/>
    <w:basedOn w:val="94"/>
    <w:next w:val="67"/>
    <w:qFormat/>
    <w:uiPriority w:val="0"/>
    <w:pPr>
      <w:outlineLvl w:val="5"/>
    </w:pPr>
  </w:style>
  <w:style w:type="paragraph" w:customStyle="1" w:styleId="96">
    <w:name w:val="五级条标题"/>
    <w:basedOn w:val="95"/>
    <w:next w:val="67"/>
    <w:qFormat/>
    <w:uiPriority w:val="0"/>
    <w:pPr>
      <w:outlineLvl w:val="6"/>
    </w:pPr>
  </w:style>
  <w:style w:type="paragraph" w:customStyle="1" w:styleId="97">
    <w:name w:val="附录标识"/>
    <w:basedOn w:val="1"/>
    <w:next w:val="1"/>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8">
    <w:name w:val="附录表标号"/>
    <w:basedOn w:val="1"/>
    <w:next w:val="67"/>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9">
    <w:name w:val="附录表标题"/>
    <w:basedOn w:val="1"/>
    <w:next w:val="67"/>
    <w:qFormat/>
    <w:uiPriority w:val="0"/>
    <w:pPr>
      <w:numPr>
        <w:ilvl w:val="1"/>
        <w:numId w:val="2"/>
      </w:numPr>
      <w:tabs>
        <w:tab w:val="left" w:pos="180"/>
      </w:tabs>
      <w:spacing w:beforeLines="50" w:afterLines="50"/>
      <w:ind w:left="0" w:firstLine="0"/>
      <w:jc w:val="center"/>
    </w:pPr>
    <w:rPr>
      <w:rFonts w:ascii="黑体" w:hAnsi="Times New Roman" w:eastAsia="黑体" w:cs="Times New Roman"/>
      <w:szCs w:val="21"/>
    </w:rPr>
  </w:style>
  <w:style w:type="paragraph" w:customStyle="1" w:styleId="100">
    <w:name w:val="附录二级条标题"/>
    <w:basedOn w:val="1"/>
    <w:next w:val="67"/>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1">
    <w:name w:val="附录三级条标题"/>
    <w:basedOn w:val="100"/>
    <w:next w:val="67"/>
    <w:qFormat/>
    <w:uiPriority w:val="0"/>
    <w:pPr>
      <w:numPr>
        <w:ilvl w:val="4"/>
      </w:numPr>
      <w:outlineLvl w:val="4"/>
    </w:pPr>
  </w:style>
  <w:style w:type="paragraph" w:customStyle="1" w:styleId="102">
    <w:name w:val="附录四级条标题"/>
    <w:basedOn w:val="101"/>
    <w:next w:val="67"/>
    <w:qFormat/>
    <w:uiPriority w:val="0"/>
    <w:pPr>
      <w:numPr>
        <w:ilvl w:val="5"/>
      </w:numPr>
      <w:outlineLvl w:val="5"/>
    </w:pPr>
  </w:style>
  <w:style w:type="paragraph" w:customStyle="1" w:styleId="103">
    <w:name w:val="附录图标号"/>
    <w:basedOn w:val="1"/>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4">
    <w:name w:val="附录图标题"/>
    <w:basedOn w:val="1"/>
    <w:next w:val="67"/>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105">
    <w:name w:val="附录五级条标题"/>
    <w:basedOn w:val="102"/>
    <w:next w:val="67"/>
    <w:qFormat/>
    <w:uiPriority w:val="0"/>
    <w:pPr>
      <w:numPr>
        <w:ilvl w:val="6"/>
      </w:numPr>
      <w:outlineLvl w:val="6"/>
    </w:pPr>
  </w:style>
  <w:style w:type="paragraph" w:customStyle="1" w:styleId="106">
    <w:name w:val="附录章标题"/>
    <w:next w:val="6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07">
    <w:name w:val="附录一级条标题"/>
    <w:basedOn w:val="106"/>
    <w:next w:val="67"/>
    <w:qFormat/>
    <w:uiPriority w:val="0"/>
    <w:pPr>
      <w:numPr>
        <w:ilvl w:val="2"/>
      </w:numPr>
      <w:autoSpaceDN w:val="0"/>
      <w:spacing w:beforeLines="50" w:afterLines="50"/>
      <w:outlineLvl w:val="2"/>
    </w:pPr>
  </w:style>
  <w:style w:type="paragraph" w:customStyle="1" w:styleId="108">
    <w:name w:val="前言、引言标题"/>
    <w:next w:val="6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09">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1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111">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12">
    <w:name w:val="标准书眉_偶数页"/>
    <w:basedOn w:val="1"/>
    <w:next w:val="1"/>
    <w:qFormat/>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113">
    <w:name w:val="二级无标题条"/>
    <w:basedOn w:val="1"/>
    <w:qFormat/>
    <w:uiPriority w:val="99"/>
    <w:pPr>
      <w:numPr>
        <w:ilvl w:val="3"/>
        <w:numId w:val="4"/>
      </w:numPr>
    </w:pPr>
    <w:rPr>
      <w:rFonts w:ascii="Times New Roman" w:hAnsi="Times New Roman" w:eastAsia="宋体" w:cs="Times New Roman"/>
      <w:szCs w:val="24"/>
    </w:rPr>
  </w:style>
  <w:style w:type="paragraph" w:customStyle="1" w:styleId="114">
    <w:name w:val="三级无标题条"/>
    <w:basedOn w:val="1"/>
    <w:qFormat/>
    <w:uiPriority w:val="99"/>
    <w:pPr>
      <w:numPr>
        <w:ilvl w:val="4"/>
        <w:numId w:val="4"/>
      </w:numPr>
    </w:pPr>
    <w:rPr>
      <w:rFonts w:ascii="Times New Roman" w:hAnsi="Times New Roman" w:eastAsia="宋体" w:cs="Times New Roman"/>
      <w:szCs w:val="24"/>
    </w:rPr>
  </w:style>
  <w:style w:type="paragraph" w:customStyle="1" w:styleId="115">
    <w:name w:val="数字编号列项（二级）"/>
    <w:qFormat/>
    <w:uiPriority w:val="0"/>
    <w:pPr>
      <w:numPr>
        <w:ilvl w:val="1"/>
        <w:numId w:val="5"/>
      </w:numPr>
      <w:ind w:left="400" w:leftChars="400" w:hanging="200" w:hangingChars="200"/>
      <w:jc w:val="both"/>
    </w:pPr>
    <w:rPr>
      <w:rFonts w:ascii="宋体" w:hAnsi="Times New Roman" w:eastAsia="宋体" w:cs="Times New Roman"/>
      <w:kern w:val="0"/>
      <w:sz w:val="21"/>
      <w:szCs w:val="20"/>
      <w:lang w:val="en-US" w:eastAsia="zh-CN" w:bidi="ar-SA"/>
    </w:rPr>
  </w:style>
  <w:style w:type="paragraph" w:customStyle="1" w:styleId="116">
    <w:name w:val="四级无标题条"/>
    <w:basedOn w:val="1"/>
    <w:qFormat/>
    <w:uiPriority w:val="99"/>
    <w:pPr>
      <w:numPr>
        <w:ilvl w:val="5"/>
        <w:numId w:val="4"/>
      </w:numPr>
    </w:pPr>
    <w:rPr>
      <w:rFonts w:ascii="Times New Roman" w:hAnsi="Times New Roman" w:eastAsia="宋体" w:cs="Times New Roman"/>
      <w:szCs w:val="24"/>
    </w:rPr>
  </w:style>
  <w:style w:type="paragraph" w:customStyle="1" w:styleId="117">
    <w:name w:val="五级无标题条"/>
    <w:basedOn w:val="1"/>
    <w:qFormat/>
    <w:uiPriority w:val="99"/>
    <w:pPr>
      <w:numPr>
        <w:ilvl w:val="6"/>
        <w:numId w:val="4"/>
      </w:numPr>
    </w:pPr>
    <w:rPr>
      <w:rFonts w:ascii="Times New Roman" w:hAnsi="Times New Roman" w:eastAsia="宋体" w:cs="Times New Roman"/>
      <w:szCs w:val="24"/>
    </w:rPr>
  </w:style>
  <w:style w:type="paragraph" w:customStyle="1" w:styleId="118">
    <w:name w:val="一级无标题条"/>
    <w:basedOn w:val="1"/>
    <w:qFormat/>
    <w:uiPriority w:val="99"/>
    <w:pPr>
      <w:numPr>
        <w:ilvl w:val="2"/>
        <w:numId w:val="4"/>
      </w:numPr>
    </w:pPr>
    <w:rPr>
      <w:rFonts w:ascii="Times New Roman" w:hAnsi="Times New Roman" w:eastAsia="宋体" w:cs="Times New Roman"/>
      <w:szCs w:val="24"/>
    </w:rPr>
  </w:style>
  <w:style w:type="paragraph" w:customStyle="1" w:styleId="119">
    <w:name w:val="字母编号列项（一级）"/>
    <w:qFormat/>
    <w:uiPriority w:val="0"/>
    <w:pPr>
      <w:numPr>
        <w:ilvl w:val="0"/>
        <w:numId w:val="5"/>
      </w:numPr>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0">
    <w:name w:val="编号列项（三级）"/>
    <w:qFormat/>
    <w:uiPriority w:val="0"/>
    <w:pPr>
      <w:numPr>
        <w:ilvl w:val="2"/>
        <w:numId w:val="5"/>
      </w:numPr>
    </w:pPr>
    <w:rPr>
      <w:rFonts w:ascii="宋体" w:hAnsi="Times New Roman" w:eastAsia="宋体" w:cs="Times New Roman"/>
      <w:kern w:val="0"/>
      <w:sz w:val="21"/>
      <w:szCs w:val="20"/>
      <w:lang w:val="en-US" w:eastAsia="zh-CN" w:bidi="ar-SA"/>
    </w:rPr>
  </w:style>
  <w:style w:type="paragraph" w:customStyle="1" w:styleId="121">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2">
    <w:name w:val="列项——"/>
    <w:qFormat/>
    <w:uiPriority w:val="99"/>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123">
    <w:name w:val="列项·"/>
    <w:qFormat/>
    <w:uiPriority w:val="99"/>
    <w:pPr>
      <w:numPr>
        <w:ilvl w:val="0"/>
        <w:numId w:val="7"/>
      </w:numPr>
      <w:tabs>
        <w:tab w:val="left" w:pos="840"/>
        <w:tab w:val="clear" w:pos="1140"/>
      </w:tabs>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24">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w w:val="130"/>
      <w:kern w:val="0"/>
      <w:sz w:val="96"/>
      <w:szCs w:val="20"/>
      <w:lang w:val="en-US" w:eastAsia="zh-CN" w:bidi="ar-SA"/>
    </w:rPr>
  </w:style>
  <w:style w:type="paragraph" w:customStyle="1" w:styleId="12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26">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27">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28">
    <w:name w:val="参考文献、索引标题"/>
    <w:basedOn w:val="108"/>
    <w:next w:val="1"/>
    <w:qFormat/>
    <w:uiPriority w:val="0"/>
    <w:pPr>
      <w:keepNext w:val="0"/>
      <w:pageBreakBefore w:val="0"/>
      <w:spacing w:after="200"/>
    </w:pPr>
    <w:rPr>
      <w:sz w:val="21"/>
    </w:rPr>
  </w:style>
  <w:style w:type="character" w:customStyle="1" w:styleId="129">
    <w:name w:val="发布"/>
    <w:qFormat/>
    <w:uiPriority w:val="0"/>
    <w:rPr>
      <w:rFonts w:ascii="黑体" w:eastAsia="黑体" w:cs="Times New Roman"/>
      <w:spacing w:val="22"/>
      <w:w w:val="100"/>
      <w:position w:val="3"/>
      <w:sz w:val="28"/>
    </w:rPr>
  </w:style>
  <w:style w:type="paragraph" w:customStyle="1" w:styleId="130">
    <w:name w:val="发布部门"/>
    <w:next w:val="6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33">
    <w:name w:val="封面标准号2"/>
    <w:basedOn w:val="132"/>
    <w:qFormat/>
    <w:uiPriority w:val="0"/>
    <w:pPr>
      <w:framePr w:w="9138" w:h="1244" w:hRule="exact" w:wrap="around" w:vAnchor="page" w:hAnchor="margin" w:y="2908"/>
      <w:adjustRightInd w:val="0"/>
      <w:spacing w:before="357" w:line="280" w:lineRule="exact"/>
    </w:pPr>
  </w:style>
  <w:style w:type="paragraph" w:customStyle="1" w:styleId="134">
    <w:name w:val="封面标准代替信息"/>
    <w:basedOn w:val="133"/>
    <w:qFormat/>
    <w:uiPriority w:val="0"/>
    <w:pPr>
      <w:framePr w:wrap="around"/>
      <w:spacing w:before="57"/>
    </w:pPr>
    <w:rPr>
      <w:rFonts w:ascii="宋体"/>
      <w:sz w:val="21"/>
    </w:rPr>
  </w:style>
  <w:style w:type="paragraph" w:customStyle="1" w:styleId="13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3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37">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3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39">
    <w:name w:val="封面正文"/>
    <w:qFormat/>
    <w:uiPriority w:val="0"/>
    <w:pPr>
      <w:jc w:val="both"/>
    </w:pPr>
    <w:rPr>
      <w:rFonts w:ascii="Times New Roman" w:hAnsi="Times New Roman" w:eastAsia="宋体" w:cs="Times New Roman"/>
      <w:kern w:val="0"/>
      <w:sz w:val="20"/>
      <w:szCs w:val="20"/>
      <w:lang w:val="en-US" w:eastAsia="zh-CN" w:bidi="ar-SA"/>
    </w:rPr>
  </w:style>
  <w:style w:type="character" w:customStyle="1" w:styleId="140">
    <w:name w:val="EmailStyle741"/>
    <w:qFormat/>
    <w:uiPriority w:val="99"/>
    <w:rPr>
      <w:rFonts w:ascii="Arial" w:hAnsi="Arial" w:eastAsia="宋体" w:cs="Arial"/>
      <w:color w:val="auto"/>
      <w:sz w:val="20"/>
    </w:rPr>
  </w:style>
  <w:style w:type="character" w:customStyle="1" w:styleId="141">
    <w:name w:val="EmailStyle751"/>
    <w:qFormat/>
    <w:uiPriority w:val="99"/>
    <w:rPr>
      <w:rFonts w:ascii="Arial" w:hAnsi="Arial" w:eastAsia="宋体" w:cs="Arial"/>
      <w:color w:val="auto"/>
      <w:sz w:val="20"/>
    </w:rPr>
  </w:style>
  <w:style w:type="paragraph" w:customStyle="1" w:styleId="142">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3">
    <w:name w:val="其他标准称谓"/>
    <w:qFormat/>
    <w:uiPriority w:val="0"/>
    <w:pPr>
      <w:spacing w:line="240" w:lineRule="atLeast"/>
      <w:jc w:val="distribute"/>
    </w:pPr>
    <w:rPr>
      <w:rFonts w:ascii="黑体" w:hAnsi="宋体" w:eastAsia="黑体" w:cs="Times New Roman"/>
      <w:kern w:val="0"/>
      <w:sz w:val="52"/>
      <w:szCs w:val="20"/>
      <w:lang w:val="en-US" w:eastAsia="zh-CN" w:bidi="ar-SA"/>
    </w:rPr>
  </w:style>
  <w:style w:type="paragraph" w:customStyle="1" w:styleId="144">
    <w:name w:val="其他发布部门"/>
    <w:basedOn w:val="130"/>
    <w:qFormat/>
    <w:uiPriority w:val="0"/>
    <w:pPr>
      <w:framePr w:wrap="around"/>
      <w:spacing w:line="240" w:lineRule="atLeast"/>
    </w:pPr>
    <w:rPr>
      <w:rFonts w:ascii="黑体" w:eastAsia="黑体"/>
      <w:b w:val="0"/>
    </w:rPr>
  </w:style>
  <w:style w:type="paragraph" w:customStyle="1" w:styleId="145">
    <w:name w:val="实施日期"/>
    <w:basedOn w:val="131"/>
    <w:qFormat/>
    <w:uiPriority w:val="0"/>
    <w:pPr>
      <w:framePr w:hSpace="0" w:wrap="around" w:xAlign="right"/>
      <w:jc w:val="right"/>
    </w:pPr>
  </w:style>
  <w:style w:type="paragraph" w:customStyle="1" w:styleId="146">
    <w:name w:val="示例"/>
    <w:next w:val="67"/>
    <w:qFormat/>
    <w:uiPriority w:val="0"/>
    <w:pPr>
      <w:numPr>
        <w:ilvl w:val="0"/>
        <w:numId w:val="8"/>
      </w:numPr>
      <w:tabs>
        <w:tab w:val="left" w:pos="816"/>
        <w:tab w:val="clear" w:pos="1120"/>
      </w:tabs>
      <w:ind w:firstLine="419" w:firstLineChars="233"/>
      <w:jc w:val="both"/>
    </w:pPr>
    <w:rPr>
      <w:rFonts w:ascii="宋体" w:hAnsi="Times New Roman" w:eastAsia="宋体" w:cs="Times New Roman"/>
      <w:kern w:val="0"/>
      <w:sz w:val="18"/>
      <w:szCs w:val="20"/>
      <w:lang w:val="en-US" w:eastAsia="zh-CN" w:bidi="ar-SA"/>
    </w:rPr>
  </w:style>
  <w:style w:type="paragraph" w:customStyle="1" w:styleId="147">
    <w:name w:val="条文脚注"/>
    <w:basedOn w:val="36"/>
    <w:qFormat/>
    <w:uiPriority w:val="0"/>
    <w:pPr>
      <w:ind w:left="780" w:leftChars="200" w:hanging="360" w:hangingChars="200"/>
      <w:jc w:val="both"/>
    </w:pPr>
    <w:rPr>
      <w:rFonts w:ascii="宋体"/>
    </w:rPr>
  </w:style>
  <w:style w:type="paragraph" w:customStyle="1" w:styleId="148">
    <w:name w:val="图表脚注"/>
    <w:next w:val="67"/>
    <w:qFormat/>
    <w:uiPriority w:val="99"/>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50">
    <w:name w:val="无标题条"/>
    <w:next w:val="67"/>
    <w:qFormat/>
    <w:uiPriority w:val="99"/>
    <w:pPr>
      <w:jc w:val="both"/>
    </w:pPr>
    <w:rPr>
      <w:rFonts w:ascii="Times New Roman" w:hAnsi="Times New Roman" w:eastAsia="宋体" w:cs="Times New Roman"/>
      <w:kern w:val="0"/>
      <w:sz w:val="21"/>
      <w:szCs w:val="20"/>
      <w:lang w:val="en-US" w:eastAsia="zh-CN" w:bidi="ar-SA"/>
    </w:rPr>
  </w:style>
  <w:style w:type="paragraph" w:customStyle="1" w:styleId="151">
    <w:name w:val="正文表标题"/>
    <w:next w:val="67"/>
    <w:qFormat/>
    <w:uiPriority w:val="0"/>
    <w:pPr>
      <w:numPr>
        <w:ilvl w:val="0"/>
        <w:numId w:val="9"/>
      </w:numPr>
      <w:jc w:val="center"/>
    </w:pPr>
    <w:rPr>
      <w:rFonts w:ascii="黑体" w:hAnsi="Times New Roman" w:eastAsia="黑体" w:cs="Times New Roman"/>
      <w:kern w:val="0"/>
      <w:sz w:val="21"/>
      <w:szCs w:val="20"/>
      <w:lang w:val="en-US" w:eastAsia="zh-CN" w:bidi="ar-SA"/>
    </w:rPr>
  </w:style>
  <w:style w:type="paragraph" w:customStyle="1" w:styleId="152">
    <w:name w:val="正文图标题"/>
    <w:next w:val="67"/>
    <w:qFormat/>
    <w:uiPriority w:val="0"/>
    <w:pPr>
      <w:numPr>
        <w:ilvl w:val="0"/>
        <w:numId w:val="10"/>
      </w:numPr>
      <w:jc w:val="center"/>
    </w:pPr>
    <w:rPr>
      <w:rFonts w:ascii="黑体" w:hAnsi="Times New Roman" w:eastAsia="黑体" w:cs="Times New Roman"/>
      <w:kern w:val="0"/>
      <w:sz w:val="21"/>
      <w:szCs w:val="20"/>
      <w:lang w:val="en-US" w:eastAsia="zh-CN" w:bidi="ar-SA"/>
    </w:rPr>
  </w:style>
  <w:style w:type="paragraph" w:customStyle="1" w:styleId="153">
    <w:name w:val="注："/>
    <w:next w:val="67"/>
    <w:qFormat/>
    <w:uiPriority w:val="0"/>
    <w:pPr>
      <w:widowControl w:val="0"/>
      <w:numPr>
        <w:ilvl w:val="0"/>
        <w:numId w:val="11"/>
      </w:numPr>
      <w:autoSpaceDE w:val="0"/>
      <w:autoSpaceDN w:val="0"/>
      <w:jc w:val="both"/>
    </w:pPr>
    <w:rPr>
      <w:rFonts w:ascii="宋体" w:hAnsi="Times New Roman" w:eastAsia="宋体" w:cs="Times New Roman"/>
      <w:kern w:val="0"/>
      <w:sz w:val="18"/>
      <w:szCs w:val="20"/>
      <w:lang w:val="en-US" w:eastAsia="zh-CN" w:bidi="ar-SA"/>
    </w:rPr>
  </w:style>
  <w:style w:type="paragraph" w:customStyle="1" w:styleId="154">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kern w:val="0"/>
      <w:sz w:val="18"/>
      <w:szCs w:val="20"/>
      <w:lang w:val="en-US" w:eastAsia="zh-CN" w:bidi="ar-SA"/>
    </w:rPr>
  </w:style>
  <w:style w:type="paragraph" w:customStyle="1" w:styleId="155">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lang w:eastAsia="en-US"/>
    </w:rPr>
  </w:style>
  <w:style w:type="paragraph" w:customStyle="1" w:styleId="156">
    <w:name w:val="_Style 133"/>
    <w:qFormat/>
    <w:uiPriority w:val="0"/>
    <w:rPr>
      <w:rFonts w:ascii="Calibri" w:hAnsi="Calibri" w:eastAsia="宋体" w:cs="Times New Roman"/>
      <w:kern w:val="0"/>
      <w:sz w:val="20"/>
      <w:szCs w:val="20"/>
      <w:lang w:val="en-US" w:eastAsia="zh-CN" w:bidi="ar-SA"/>
    </w:rPr>
  </w:style>
  <w:style w:type="character" w:customStyle="1" w:styleId="157">
    <w:name w:val="EmailStyle74"/>
    <w:qFormat/>
    <w:uiPriority w:val="0"/>
    <w:rPr>
      <w:rFonts w:ascii="Arial" w:hAnsi="Arial" w:eastAsia="宋体"/>
      <w:color w:val="auto"/>
      <w:sz w:val="20"/>
    </w:rPr>
  </w:style>
  <w:style w:type="character" w:customStyle="1" w:styleId="158">
    <w:name w:val="EmailStyle75"/>
    <w:qFormat/>
    <w:uiPriority w:val="0"/>
    <w:rPr>
      <w:rFonts w:ascii="Arial" w:hAnsi="Arial" w:eastAsia="宋体"/>
      <w:color w:val="auto"/>
      <w:sz w:val="20"/>
    </w:rPr>
  </w:style>
  <w:style w:type="paragraph" w:customStyle="1" w:styleId="159">
    <w:name w:val="公式编号"/>
    <w:basedOn w:val="67"/>
    <w:qFormat/>
    <w:uiPriority w:val="99"/>
    <w:pPr>
      <w:tabs>
        <w:tab w:val="clear" w:pos="4201"/>
        <w:tab w:val="clear" w:pos="9298"/>
      </w:tabs>
      <w:ind w:right="893" w:rightChars="425" w:firstLine="0" w:firstLineChars="0"/>
      <w:jc w:val="right"/>
    </w:pPr>
    <w:rPr>
      <w:rFonts w:ascii="Times New Roman"/>
      <w:szCs w:val="21"/>
    </w:rPr>
  </w:style>
  <w:style w:type="paragraph" w:customStyle="1" w:styleId="160">
    <w:name w:val="表格内容"/>
    <w:basedOn w:val="67"/>
    <w:qFormat/>
    <w:uiPriority w:val="99"/>
    <w:pPr>
      <w:tabs>
        <w:tab w:val="clear" w:pos="4201"/>
        <w:tab w:val="clear" w:pos="9298"/>
      </w:tabs>
      <w:ind w:firstLine="0" w:firstLineChars="0"/>
      <w:jc w:val="center"/>
    </w:pPr>
    <w:rPr>
      <w:rFonts w:ascii="Times New Roman"/>
      <w:sz w:val="18"/>
      <w:szCs w:val="18"/>
    </w:rPr>
  </w:style>
  <w:style w:type="paragraph" w:customStyle="1" w:styleId="161">
    <w:name w:val="附录条文"/>
    <w:basedOn w:val="1"/>
    <w:qFormat/>
    <w:uiPriority w:val="99"/>
    <w:pPr>
      <w:spacing w:line="300" w:lineRule="auto"/>
      <w:ind w:firstLine="425"/>
      <w:jc w:val="left"/>
    </w:pPr>
    <w:rPr>
      <w:rFonts w:ascii="Times New Roman" w:hAnsi="Times New Roman" w:eastAsia="宋体" w:cs="Times New Roman"/>
      <w:kern w:val="0"/>
      <w:szCs w:val="21"/>
    </w:rPr>
  </w:style>
  <w:style w:type="character" w:customStyle="1" w:styleId="162">
    <w:name w:val="无间隔 Char"/>
    <w:link w:val="163"/>
    <w:qFormat/>
    <w:uiPriority w:val="1"/>
    <w:rPr>
      <w:sz w:val="22"/>
    </w:rPr>
  </w:style>
  <w:style w:type="paragraph" w:customStyle="1" w:styleId="163">
    <w:name w:val="无间隔1"/>
    <w:link w:val="162"/>
    <w:qFormat/>
    <w:uiPriority w:val="1"/>
    <w:rPr>
      <w:rFonts w:asciiTheme="minorHAnsi" w:hAnsiTheme="minorHAnsi" w:eastAsiaTheme="minorEastAsia" w:cstheme="minorBidi"/>
      <w:kern w:val="2"/>
      <w:sz w:val="22"/>
      <w:szCs w:val="22"/>
      <w:lang w:val="en-US" w:eastAsia="zh-CN" w:bidi="ar-SA"/>
    </w:rPr>
  </w:style>
  <w:style w:type="character" w:customStyle="1" w:styleId="164">
    <w:name w:val="段 Char Char"/>
    <w:qFormat/>
    <w:uiPriority w:val="0"/>
    <w:rPr>
      <w:rFonts w:ascii="宋体"/>
      <w:sz w:val="21"/>
      <w:lang w:val="en-US" w:eastAsia="zh-CN" w:bidi="ar-SA"/>
    </w:rPr>
  </w:style>
  <w:style w:type="paragraph" w:customStyle="1" w:styleId="165">
    <w:name w:val="列出段落2"/>
    <w:basedOn w:val="1"/>
    <w:qFormat/>
    <w:uiPriority w:val="34"/>
    <w:pPr>
      <w:ind w:firstLine="420" w:firstLineChars="200"/>
    </w:pPr>
    <w:rPr>
      <w:rFonts w:ascii="Calibri" w:hAnsi="Calibri" w:eastAsia="宋体" w:cs="Times New Roman"/>
      <w:szCs w:val="21"/>
    </w:rPr>
  </w:style>
  <w:style w:type="paragraph" w:customStyle="1" w:styleId="166">
    <w:name w:val="列表段落1"/>
    <w:basedOn w:val="1"/>
    <w:unhideWhenUsed/>
    <w:qFormat/>
    <w:uiPriority w:val="34"/>
    <w:pPr>
      <w:ind w:firstLine="420" w:firstLineChars="200"/>
    </w:pPr>
    <w:rPr>
      <w:rFonts w:ascii="Calibri" w:hAnsi="Calibri" w:eastAsia="宋体" w:cs="Times New Roman"/>
      <w:szCs w:val="21"/>
    </w:rPr>
  </w:style>
  <w:style w:type="paragraph" w:customStyle="1" w:styleId="167">
    <w:name w:val="列项——（一级）"/>
    <w:qFormat/>
    <w:uiPriority w:val="0"/>
    <w:pPr>
      <w:widowControl w:val="0"/>
      <w:numPr>
        <w:ilvl w:val="0"/>
        <w:numId w:val="13"/>
      </w:numPr>
      <w:jc w:val="both"/>
    </w:pPr>
    <w:rPr>
      <w:rFonts w:ascii="宋体" w:hAnsi="Times New Roman" w:eastAsia="宋体" w:cs="Times New Roman"/>
      <w:kern w:val="0"/>
      <w:sz w:val="21"/>
      <w:szCs w:val="20"/>
      <w:lang w:val="en-US" w:eastAsia="zh-CN" w:bidi="ar-SA"/>
    </w:rPr>
  </w:style>
  <w:style w:type="paragraph" w:customStyle="1" w:styleId="168">
    <w:name w:val="列项●（二级）"/>
    <w:qFormat/>
    <w:uiPriority w:val="0"/>
    <w:pPr>
      <w:numPr>
        <w:ilvl w:val="1"/>
        <w:numId w:val="13"/>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69">
    <w:name w:val="列项◆（三级）"/>
    <w:basedOn w:val="1"/>
    <w:qFormat/>
    <w:uiPriority w:val="0"/>
    <w:pPr>
      <w:numPr>
        <w:ilvl w:val="2"/>
        <w:numId w:val="13"/>
      </w:numPr>
    </w:pPr>
    <w:rPr>
      <w:rFonts w:ascii="宋体" w:hAnsi="Times New Roman" w:eastAsia="宋体" w:cs="Times New Roman"/>
      <w:szCs w:val="21"/>
    </w:rPr>
  </w:style>
  <w:style w:type="paragraph" w:customStyle="1" w:styleId="170">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71">
    <w:name w:val="示例×："/>
    <w:basedOn w:val="92"/>
    <w:qFormat/>
    <w:uiPriority w:val="0"/>
    <w:pPr>
      <w:numPr>
        <w:ilvl w:val="0"/>
        <w:numId w:val="14"/>
      </w:numPr>
      <w:spacing w:beforeLines="0" w:afterLines="0"/>
      <w:outlineLvl w:val="9"/>
    </w:pPr>
    <w:rPr>
      <w:rFonts w:ascii="宋体" w:eastAsia="宋体"/>
      <w:sz w:val="18"/>
      <w:szCs w:val="18"/>
    </w:rPr>
  </w:style>
  <w:style w:type="paragraph" w:customStyle="1" w:styleId="172">
    <w:name w:val="二级无"/>
    <w:basedOn w:val="93"/>
    <w:qFormat/>
    <w:uiPriority w:val="0"/>
    <w:pPr>
      <w:tabs>
        <w:tab w:val="left" w:pos="0"/>
      </w:tabs>
      <w:spacing w:beforeLines="0" w:afterLines="0"/>
      <w:ind w:left="1679" w:hanging="1"/>
    </w:pPr>
    <w:rPr>
      <w:rFonts w:ascii="宋体" w:eastAsia="宋体"/>
    </w:rPr>
  </w:style>
  <w:style w:type="paragraph" w:customStyle="1" w:styleId="173">
    <w:name w:val="注：（正文）"/>
    <w:basedOn w:val="153"/>
    <w:next w:val="67"/>
    <w:qFormat/>
    <w:uiPriority w:val="0"/>
    <w:pPr>
      <w:numPr>
        <w:numId w:val="0"/>
      </w:numPr>
      <w:tabs>
        <w:tab w:val="clear" w:pos="1140"/>
      </w:tabs>
      <w:ind w:left="737" w:hanging="317"/>
    </w:pPr>
    <w:rPr>
      <w:szCs w:val="18"/>
    </w:rPr>
  </w:style>
  <w:style w:type="paragraph" w:customStyle="1" w:styleId="174">
    <w:name w:val="注×：（正文）"/>
    <w:qFormat/>
    <w:uiPriority w:val="0"/>
    <w:pPr>
      <w:numPr>
        <w:ilvl w:val="0"/>
        <w:numId w:val="15"/>
      </w:numPr>
      <w:jc w:val="both"/>
    </w:pPr>
    <w:rPr>
      <w:rFonts w:ascii="宋体" w:hAnsi="Times New Roman" w:eastAsia="宋体" w:cs="Times New Roman"/>
      <w:kern w:val="0"/>
      <w:sz w:val="18"/>
      <w:szCs w:val="18"/>
      <w:lang w:val="en-US" w:eastAsia="zh-CN" w:bidi="ar-SA"/>
    </w:rPr>
  </w:style>
  <w:style w:type="paragraph" w:customStyle="1" w:styleId="175">
    <w:name w:val="参考文献"/>
    <w:basedOn w:val="1"/>
    <w:next w:val="6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76">
    <w:name w:val="附录标题"/>
    <w:basedOn w:val="67"/>
    <w:next w:val="67"/>
    <w:qFormat/>
    <w:uiPriority w:val="0"/>
    <w:pPr>
      <w:ind w:firstLine="0" w:firstLineChars="0"/>
      <w:jc w:val="center"/>
    </w:pPr>
    <w:rPr>
      <w:rFonts w:ascii="黑体" w:eastAsia="黑体"/>
    </w:rPr>
  </w:style>
  <w:style w:type="paragraph" w:customStyle="1" w:styleId="177">
    <w:name w:val="附录二级无"/>
    <w:basedOn w:val="100"/>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78">
    <w:name w:val="附录公式"/>
    <w:basedOn w:val="67"/>
    <w:next w:val="67"/>
    <w:link w:val="179"/>
    <w:qFormat/>
    <w:uiPriority w:val="0"/>
  </w:style>
  <w:style w:type="character" w:customStyle="1" w:styleId="179">
    <w:name w:val="附录公式 Char"/>
    <w:basedOn w:val="68"/>
    <w:link w:val="178"/>
    <w:qFormat/>
    <w:uiPriority w:val="0"/>
    <w:rPr>
      <w:rFonts w:ascii="宋体" w:hAnsi="Times New Roman" w:eastAsia="宋体" w:cs="Times New Roman"/>
      <w:kern w:val="0"/>
      <w:szCs w:val="20"/>
    </w:rPr>
  </w:style>
  <w:style w:type="paragraph" w:customStyle="1" w:styleId="180">
    <w:name w:val="附录公式编号制表符"/>
    <w:basedOn w:val="1"/>
    <w:next w:val="6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81">
    <w:name w:val="附录三级无"/>
    <w:basedOn w:val="101"/>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2">
    <w:name w:val="附录数字编号列项（二级）"/>
    <w:qFormat/>
    <w:uiPriority w:val="0"/>
    <w:pPr>
      <w:numPr>
        <w:ilvl w:val="1"/>
        <w:numId w:val="16"/>
      </w:numPr>
    </w:pPr>
    <w:rPr>
      <w:rFonts w:ascii="宋体" w:hAnsi="Times New Roman" w:eastAsia="宋体" w:cs="Times New Roman"/>
      <w:kern w:val="0"/>
      <w:sz w:val="21"/>
      <w:szCs w:val="20"/>
      <w:lang w:val="en-US" w:eastAsia="zh-CN" w:bidi="ar-SA"/>
    </w:rPr>
  </w:style>
  <w:style w:type="paragraph" w:customStyle="1" w:styleId="183">
    <w:name w:val="附录四级无"/>
    <w:basedOn w:val="102"/>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4">
    <w:name w:val="附录五级无"/>
    <w:basedOn w:val="105"/>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5">
    <w:name w:val="附录一级无"/>
    <w:basedOn w:val="107"/>
    <w:qFormat/>
    <w:uiPriority w:val="0"/>
    <w:pPr>
      <w:numPr>
        <w:ilvl w:val="0"/>
        <w:numId w:val="0"/>
      </w:numPr>
      <w:tabs>
        <w:tab w:val="left" w:pos="180"/>
        <w:tab w:val="clear" w:pos="360"/>
      </w:tabs>
      <w:spacing w:beforeLines="0" w:afterLines="0"/>
      <w:ind w:left="1172" w:hanging="629"/>
    </w:pPr>
    <w:rPr>
      <w:rFonts w:ascii="宋体" w:eastAsia="宋体"/>
      <w:szCs w:val="21"/>
    </w:rPr>
  </w:style>
  <w:style w:type="paragraph" w:customStyle="1" w:styleId="186">
    <w:name w:val="附录字母编号列项（一级）"/>
    <w:qFormat/>
    <w:uiPriority w:val="0"/>
    <w:pPr>
      <w:numPr>
        <w:ilvl w:val="0"/>
        <w:numId w:val="16"/>
      </w:numPr>
    </w:pPr>
    <w:rPr>
      <w:rFonts w:ascii="宋体" w:hAnsi="Times New Roman" w:eastAsia="宋体" w:cs="Times New Roman"/>
      <w:kern w:val="0"/>
      <w:sz w:val="21"/>
      <w:szCs w:val="20"/>
      <w:lang w:val="en-US" w:eastAsia="zh-CN" w:bidi="ar-SA"/>
    </w:rPr>
  </w:style>
  <w:style w:type="paragraph" w:customStyle="1" w:styleId="18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88">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89">
    <w:name w:val="其他标准标志"/>
    <w:basedOn w:val="124"/>
    <w:qFormat/>
    <w:uiPriority w:val="0"/>
    <w:pPr>
      <w:framePr w:w="6101" w:h="1389" w:hRule="exact" w:hSpace="181" w:vSpace="181" w:wrap="around" w:vAnchor="page" w:hAnchor="page" w:x="4673" w:y="942"/>
      <w:spacing w:line="0" w:lineRule="atLeast"/>
    </w:pPr>
    <w:rPr>
      <w:szCs w:val="96"/>
    </w:rPr>
  </w:style>
  <w:style w:type="paragraph" w:customStyle="1" w:styleId="190">
    <w:name w:val="三级无"/>
    <w:basedOn w:val="94"/>
    <w:qFormat/>
    <w:uiPriority w:val="0"/>
    <w:pPr>
      <w:tabs>
        <w:tab w:val="left" w:pos="2100"/>
      </w:tabs>
      <w:spacing w:beforeLines="0" w:afterLines="0"/>
      <w:ind w:left="2099" w:hanging="419"/>
    </w:pPr>
    <w:rPr>
      <w:rFonts w:ascii="宋体" w:eastAsia="宋体"/>
    </w:rPr>
  </w:style>
  <w:style w:type="paragraph" w:customStyle="1" w:styleId="191">
    <w:name w:val="示例后文字"/>
    <w:basedOn w:val="67"/>
    <w:next w:val="67"/>
    <w:qFormat/>
    <w:uiPriority w:val="0"/>
    <w:pPr>
      <w:ind w:firstLine="360"/>
    </w:pPr>
    <w:rPr>
      <w:sz w:val="18"/>
    </w:rPr>
  </w:style>
  <w:style w:type="paragraph" w:customStyle="1" w:styleId="192">
    <w:name w:val="首示例"/>
    <w:next w:val="67"/>
    <w:link w:val="193"/>
    <w:qFormat/>
    <w:uiPriority w:val="0"/>
    <w:pPr>
      <w:numPr>
        <w:ilvl w:val="0"/>
        <w:numId w:val="17"/>
      </w:numPr>
      <w:tabs>
        <w:tab w:val="left" w:pos="360"/>
      </w:tabs>
      <w:ind w:firstLine="0"/>
    </w:pPr>
    <w:rPr>
      <w:rFonts w:ascii="宋体" w:hAnsi="宋体" w:eastAsia="宋体" w:cs="Times New Roman"/>
      <w:kern w:val="2"/>
      <w:sz w:val="18"/>
      <w:szCs w:val="18"/>
      <w:lang w:val="en-US" w:eastAsia="zh-CN" w:bidi="ar-SA"/>
    </w:rPr>
  </w:style>
  <w:style w:type="character" w:customStyle="1" w:styleId="193">
    <w:name w:val="首示例 Char"/>
    <w:basedOn w:val="47"/>
    <w:link w:val="192"/>
    <w:qFormat/>
    <w:uiPriority w:val="0"/>
    <w:rPr>
      <w:rFonts w:ascii="宋体" w:hAnsi="宋体" w:eastAsia="宋体" w:cs="Times New Roman"/>
      <w:sz w:val="18"/>
      <w:szCs w:val="18"/>
    </w:rPr>
  </w:style>
  <w:style w:type="paragraph" w:customStyle="1" w:styleId="194">
    <w:name w:val="四级无"/>
    <w:basedOn w:val="95"/>
    <w:qFormat/>
    <w:uiPriority w:val="0"/>
    <w:pPr>
      <w:tabs>
        <w:tab w:val="left" w:pos="2520"/>
      </w:tabs>
      <w:spacing w:beforeLines="0" w:afterLines="0"/>
      <w:ind w:left="2519" w:hanging="419"/>
    </w:pPr>
    <w:rPr>
      <w:rFonts w:ascii="宋体" w:eastAsia="宋体"/>
    </w:rPr>
  </w:style>
  <w:style w:type="paragraph" w:customStyle="1" w:styleId="195">
    <w:name w:val="图标脚注说明"/>
    <w:basedOn w:val="67"/>
    <w:qFormat/>
    <w:uiPriority w:val="0"/>
    <w:pPr>
      <w:ind w:left="840" w:hanging="420" w:firstLineChars="0"/>
    </w:pPr>
    <w:rPr>
      <w:sz w:val="18"/>
      <w:szCs w:val="18"/>
    </w:rPr>
  </w:style>
  <w:style w:type="paragraph" w:customStyle="1" w:styleId="196">
    <w:name w:val="图表脚注说明"/>
    <w:basedOn w:val="1"/>
    <w:qFormat/>
    <w:uiPriority w:val="0"/>
    <w:pPr>
      <w:numPr>
        <w:ilvl w:val="0"/>
        <w:numId w:val="18"/>
      </w:numPr>
    </w:pPr>
    <w:rPr>
      <w:rFonts w:ascii="宋体" w:hAnsi="Times New Roman" w:eastAsia="宋体" w:cs="Times New Roman"/>
      <w:sz w:val="18"/>
      <w:szCs w:val="18"/>
    </w:rPr>
  </w:style>
  <w:style w:type="paragraph" w:customStyle="1" w:styleId="197">
    <w:name w:val="图的脚注"/>
    <w:next w:val="67"/>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98">
    <w:name w:val="五级无"/>
    <w:basedOn w:val="96"/>
    <w:qFormat/>
    <w:uiPriority w:val="0"/>
    <w:pPr>
      <w:tabs>
        <w:tab w:val="left" w:pos="2940"/>
      </w:tabs>
      <w:spacing w:beforeLines="0" w:afterLines="0"/>
      <w:ind w:left="2939" w:hanging="419"/>
    </w:pPr>
    <w:rPr>
      <w:rFonts w:ascii="宋体" w:eastAsia="宋体"/>
    </w:rPr>
  </w:style>
  <w:style w:type="paragraph" w:customStyle="1" w:styleId="199">
    <w:name w:val="一级无"/>
    <w:basedOn w:val="91"/>
    <w:qFormat/>
    <w:uiPriority w:val="0"/>
    <w:pPr>
      <w:tabs>
        <w:tab w:val="left" w:pos="1260"/>
      </w:tabs>
      <w:spacing w:beforeLines="0" w:afterLines="0"/>
      <w:ind w:hanging="419"/>
    </w:pPr>
    <w:rPr>
      <w:rFonts w:ascii="宋体" w:eastAsia="宋体"/>
    </w:rPr>
  </w:style>
  <w:style w:type="paragraph" w:customStyle="1" w:styleId="200">
    <w:name w:val="正文公式编号制表符"/>
    <w:basedOn w:val="67"/>
    <w:next w:val="67"/>
    <w:qFormat/>
    <w:uiPriority w:val="0"/>
    <w:pPr>
      <w:ind w:firstLine="0" w:firstLineChars="0"/>
    </w:pPr>
  </w:style>
  <w:style w:type="paragraph" w:customStyle="1" w:styleId="201">
    <w:name w:val="其他发布日期"/>
    <w:basedOn w:val="131"/>
    <w:qFormat/>
    <w:uiPriority w:val="0"/>
    <w:pPr>
      <w:framePr w:w="3997" w:h="471" w:hRule="exact" w:hSpace="0" w:vSpace="181" w:wrap="around" w:vAnchor="page" w:hAnchor="text" w:x="1419" w:y="14097"/>
    </w:pPr>
  </w:style>
  <w:style w:type="paragraph" w:customStyle="1" w:styleId="202">
    <w:name w:val="其他实施日期"/>
    <w:basedOn w:val="145"/>
    <w:qFormat/>
    <w:uiPriority w:val="0"/>
    <w:pPr>
      <w:framePr w:w="3997" w:h="471" w:hRule="exact" w:vSpace="181" w:wrap="around" w:vAnchor="page" w:hAnchor="text" w:x="7089" w:y="14097"/>
    </w:pPr>
  </w:style>
  <w:style w:type="paragraph" w:customStyle="1" w:styleId="203">
    <w:name w:val="封面标准名称2"/>
    <w:basedOn w:val="121"/>
    <w:qFormat/>
    <w:uiPriority w:val="0"/>
    <w:pPr>
      <w:framePr w:w="9639" w:h="6917" w:hRule="exact" w:wrap="around" w:vAnchor="page" w:hAnchor="page" w:xAlign="center" w:y="4469" w:anchorLock="1"/>
      <w:spacing w:beforeLines="630"/>
    </w:pPr>
  </w:style>
  <w:style w:type="paragraph" w:customStyle="1" w:styleId="204">
    <w:name w:val="封面标准英文名称2"/>
    <w:basedOn w:val="137"/>
    <w:qFormat/>
    <w:uiPriority w:val="0"/>
    <w:pPr>
      <w:framePr w:w="9639" w:h="6917" w:hRule="exact" w:wrap="around" w:vAnchor="page" w:hAnchor="page" w:xAlign="center" w:y="4469" w:anchorLock="1"/>
      <w:textAlignment w:val="center"/>
    </w:pPr>
    <w:rPr>
      <w:rFonts w:eastAsia="黑体"/>
      <w:szCs w:val="28"/>
    </w:rPr>
  </w:style>
  <w:style w:type="paragraph" w:customStyle="1" w:styleId="205">
    <w:name w:val="封面一致性程度标识2"/>
    <w:basedOn w:val="138"/>
    <w:qFormat/>
    <w:uiPriority w:val="0"/>
    <w:pPr>
      <w:framePr w:w="9639" w:h="6917" w:hRule="exact" w:wrap="around" w:vAnchor="page" w:hAnchor="page" w:xAlign="center" w:y="4469" w:anchorLock="1"/>
      <w:widowControl w:val="0"/>
      <w:textAlignment w:val="center"/>
    </w:pPr>
    <w:rPr>
      <w:szCs w:val="28"/>
    </w:rPr>
  </w:style>
  <w:style w:type="paragraph" w:customStyle="1" w:styleId="206">
    <w:name w:val="封面标准文稿类别2"/>
    <w:basedOn w:val="136"/>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07">
    <w:name w:val="封面标准文稿编辑信息2"/>
    <w:basedOn w:val="135"/>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20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09">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paragraph" w:customStyle="1" w:styleId="210">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1">
    <w:name w:val="c-icon"/>
    <w:basedOn w:val="47"/>
    <w:qFormat/>
    <w:uiPriority w:val="0"/>
  </w:style>
  <w:style w:type="character" w:customStyle="1" w:styleId="212">
    <w:name w:val="op_dict3_lineone_result_tip"/>
    <w:basedOn w:val="47"/>
    <w:qFormat/>
    <w:uiPriority w:val="0"/>
    <w:rPr>
      <w:color w:val="999999"/>
    </w:rPr>
  </w:style>
  <w:style w:type="character" w:customStyle="1" w:styleId="213">
    <w:name w:val="c-icon14"/>
    <w:basedOn w:val="47"/>
    <w:qFormat/>
    <w:uiPriority w:val="0"/>
  </w:style>
  <w:style w:type="table" w:customStyle="1" w:styleId="214">
    <w:name w:val="网格型11"/>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
    <w:basedOn w:val="4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列表段落 字符"/>
    <w:basedOn w:val="47"/>
    <w:link w:val="65"/>
    <w:qFormat/>
    <w:uiPriority w:val="34"/>
  </w:style>
  <w:style w:type="character" w:styleId="217">
    <w:name w:val="Placeholder Text"/>
    <w:basedOn w:val="47"/>
    <w:semiHidden/>
    <w:uiPriority w:val="99"/>
    <w:rPr>
      <w:color w:val="808080"/>
    </w:rPr>
  </w:style>
  <w:style w:type="character" w:customStyle="1" w:styleId="218">
    <w:name w:val="题注 字符"/>
    <w:link w:val="18"/>
    <w:uiPriority w:val="35"/>
    <w:rPr>
      <w:rFonts w:ascii="Arial" w:hAnsi="Arial" w:eastAsia="黑体" w:cs="Arial"/>
      <w:sz w:val="20"/>
      <w:szCs w:val="20"/>
    </w:rPr>
  </w:style>
  <w:style w:type="character" w:customStyle="1" w:styleId="219">
    <w:name w:val="bjh-p"/>
    <w:basedOn w:val="47"/>
    <w:uiPriority w:val="0"/>
  </w:style>
  <w:style w:type="table" w:customStyle="1" w:styleId="220">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221">
    <w:name w:val="正文文本 字符"/>
    <w:basedOn w:val="47"/>
    <w:link w:val="23"/>
    <w:uiPriority w:val="1"/>
    <w:rPr>
      <w:rFonts w:ascii="宋体" w:hAnsi="宋体" w:eastAsia="宋体"/>
      <w:kern w:val="0"/>
      <w:szCs w:val="21"/>
      <w:lang w:eastAsia="en-US"/>
    </w:rPr>
  </w:style>
  <w:style w:type="table" w:customStyle="1" w:styleId="222">
    <w:name w:val="网格型3"/>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3">
    <w:name w:val="文档结构图 Char"/>
    <w:uiPriority w:val="0"/>
    <w:rPr>
      <w:rFonts w:ascii="宋体" w:hAnsi="宋体"/>
      <w:kern w:val="2"/>
      <w:sz w:val="18"/>
      <w:szCs w:val="18"/>
    </w:rPr>
  </w:style>
  <w:style w:type="character" w:customStyle="1" w:styleId="224">
    <w:name w:val="一级条标题 Char"/>
    <w:link w:val="91"/>
    <w:uiPriority w:val="0"/>
    <w:rPr>
      <w:rFonts w:ascii="黑体" w:hAnsi="Times New Roman" w:eastAsia="黑体" w:cs="Times New Roman"/>
      <w:kern w:val="0"/>
      <w:szCs w:val="21"/>
    </w:rPr>
  </w:style>
  <w:style w:type="paragraph" w:customStyle="1" w:styleId="225">
    <w:name w:val="CM14"/>
    <w:basedOn w:val="69"/>
    <w:next w:val="69"/>
    <w:unhideWhenUsed/>
    <w:uiPriority w:val="99"/>
    <w:pPr>
      <w:spacing w:line="358" w:lineRule="atLeast"/>
    </w:pPr>
    <w:rPr>
      <w:rFonts w:hint="eastAsia"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5FCE4-A66A-483E-919A-2A4BF0141F20}">
  <ds:schemaRefs/>
</ds:datastoreItem>
</file>

<file path=docProps/app.xml><?xml version="1.0" encoding="utf-8"?>
<Properties xmlns="http://schemas.openxmlformats.org/officeDocument/2006/extended-properties" xmlns:vt="http://schemas.openxmlformats.org/officeDocument/2006/docPropsVTypes">
  <Template>Normal.dotm</Template>
  <Pages>8</Pages>
  <Words>928</Words>
  <Characters>5293</Characters>
  <Lines>44</Lines>
  <Paragraphs>12</Paragraphs>
  <TotalTime>8</TotalTime>
  <ScaleCrop>false</ScaleCrop>
  <LinksUpToDate>false</LinksUpToDate>
  <CharactersWithSpaces>6209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2021-07-20T09:34:00Z</dcterms:created>
  <dc:creator>LF</dc:creator>
  <cp:lastModifiedBy>果C的味道</cp:lastModifiedBy>
  <cp:lastPrinted>2021-07-26T09:56:00Z</cp:lastPrinted>
  <dcterms:modified xsi:type="dcterms:W3CDTF">2021-09-13T06:11:47Z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E2B7FC6F43134A1686A215BE4D83A8DE</vt:lpwstr>
  </property>
</Properties>
</file>