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rPr>
          <w:rFonts w:ascii="Times New Roman"/>
          <w:szCs w:val="20"/>
        </w:rPr>
      </w:pPr>
      <w:bookmarkStart w:id="0" w:name="_Toc873628"/>
      <w:bookmarkStart w:id="1" w:name="_Toc509826185"/>
      <w:bookmarkStart w:id="2" w:name="_Toc530051741"/>
      <w:bookmarkStart w:id="3" w:name="_Toc525046548"/>
      <w:bookmarkStart w:id="4" w:name="_Toc415043548"/>
      <w:bookmarkStart w:id="5" w:name="_Toc13964"/>
      <w:bookmarkStart w:id="6" w:name="_Toc415043487"/>
      <w:bookmarkStart w:id="7" w:name="_Toc385602845"/>
      <w:r>
        <mc:AlternateContent>
          <mc:Choice Requires="wps">
            <w:drawing>
              <wp:anchor distT="0" distB="0" distL="114300" distR="114300" simplePos="0" relativeHeight="251659264" behindDoc="0" locked="0" layoutInCell="1" allowOverlap="1">
                <wp:simplePos x="0" y="0"/>
                <wp:positionH relativeFrom="column">
                  <wp:posOffset>3922395</wp:posOffset>
                </wp:positionH>
                <wp:positionV relativeFrom="paragraph">
                  <wp:posOffset>198120</wp:posOffset>
                </wp:positionV>
                <wp:extent cx="2011045" cy="891540"/>
                <wp:effectExtent l="0" t="0" r="8255" b="3810"/>
                <wp:wrapNone/>
                <wp:docPr id="25" name="Text Box 396"/>
                <wp:cNvGraphicFramePr/>
                <a:graphic xmlns:a="http://schemas.openxmlformats.org/drawingml/2006/main">
                  <a:graphicData uri="http://schemas.microsoft.com/office/word/2010/wordprocessingShape">
                    <wps:wsp>
                      <wps:cNvSpPr txBox="1">
                        <a:spLocks noChangeArrowheads="1"/>
                      </wps:cNvSpPr>
                      <wps:spPr bwMode="auto">
                        <a:xfrm>
                          <a:off x="0" y="0"/>
                          <a:ext cx="2011045" cy="891540"/>
                        </a:xfrm>
                        <a:prstGeom prst="rect">
                          <a:avLst/>
                        </a:prstGeom>
                        <a:solidFill>
                          <a:srgbClr val="FFFFFF"/>
                        </a:solidFill>
                        <a:ln>
                          <a:noFill/>
                        </a:ln>
                      </wps:spPr>
                      <wps:txbx>
                        <w:txbxContent>
                          <w:p>
                            <w:pPr>
                              <w:pStyle w:val="70"/>
                              <w:rPr>
                                <w:spacing w:val="-20"/>
                                <w:w w:val="90"/>
                              </w:rPr>
                            </w:pPr>
                            <w:r>
                              <w:rPr>
                                <w:spacing w:val="-20"/>
                                <w:w w:val="90"/>
                              </w:rPr>
                              <w:t>XXX</w:t>
                            </w:r>
                          </w:p>
                        </w:txbxContent>
                      </wps:txbx>
                      <wps:bodyPr rot="0" vert="horz" wrap="square" lIns="91440" tIns="45720" rIns="91440" bIns="45720" anchor="t" anchorCtr="0" upright="1">
                        <a:noAutofit/>
                      </wps:bodyPr>
                    </wps:wsp>
                  </a:graphicData>
                </a:graphic>
              </wp:anchor>
            </w:drawing>
          </mc:Choice>
          <mc:Fallback>
            <w:pict>
              <v:shape id="Text Box 396" o:spid="_x0000_s1026" o:spt="202" type="#_x0000_t202" style="position:absolute;left:0pt;margin-left:308.85pt;margin-top:15.6pt;height:70.2pt;width:158.35pt;z-index:251659264;mso-width-relative:page;mso-height-relative:page;" fillcolor="#FFFFFF" filled="t" stroked="f" coordsize="21600,21600" o:gfxdata="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saBCPYAAAA&#10;CgEAAA8AAAAAAAAAAQAgAAAAIgAAAGRycy9kb3ducmV2LnhtbFBLAQIUABQAAAAIAIdO4kDOkDSB&#10;HQIAAEAEAAAOAAAAAAAAAAEAIAAAACcBAABkcnMvZTJvRG9jLnhtbFBLBQYAAAAABgAGAFkBAAC2&#10;BQAAAAA=&#10;">
                <v:fill on="t" focussize="0,0"/>
                <v:stroke on="f"/>
                <v:imagedata o:title=""/>
                <o:lock v:ext="edit" aspectratio="f"/>
                <v:textbox>
                  <w:txbxContent>
                    <w:p>
                      <w:pPr>
                        <w:pStyle w:val="70"/>
                        <w:rPr>
                          <w:spacing w:val="-20"/>
                          <w:w w:val="90"/>
                        </w:rPr>
                      </w:pPr>
                      <w:r>
                        <w:rPr>
                          <w:spacing w:val="-20"/>
                          <w:w w:val="90"/>
                        </w:rPr>
                        <w:t>XXX</w:t>
                      </w:r>
                    </w:p>
                  </w:txbxContent>
                </v:textbox>
              </v:shape>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3175</wp:posOffset>
                </wp:positionH>
                <wp:positionV relativeFrom="margin">
                  <wp:posOffset>9035415</wp:posOffset>
                </wp:positionV>
                <wp:extent cx="5977890" cy="688975"/>
                <wp:effectExtent l="0" t="0" r="3810" b="9525"/>
                <wp:wrapNone/>
                <wp:docPr id="26"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5977890" cy="688975"/>
                        </a:xfrm>
                        <a:prstGeom prst="rect">
                          <a:avLst/>
                        </a:prstGeom>
                        <a:solidFill>
                          <a:srgbClr val="FFFFFF"/>
                        </a:solidFill>
                        <a:ln>
                          <a:noFill/>
                        </a:ln>
                      </wps:spPr>
                      <wps:txbx>
                        <w:txbxContent>
                          <w:p>
                            <w:pPr>
                              <w:pStyle w:val="47"/>
                              <w:rPr>
                                <w:rStyle w:val="34"/>
                                <w:sz w:val="30"/>
                                <w:szCs w:val="30"/>
                              </w:rPr>
                            </w:pPr>
                            <w:r>
                              <w:rPr>
                                <w:rFonts w:hint="eastAsia"/>
                                <w:sz w:val="30"/>
                                <w:szCs w:val="30"/>
                              </w:rPr>
                              <w:t>山东省电线电缆行业协会</w:t>
                            </w:r>
                            <w:r>
                              <w:rPr>
                                <w:rStyle w:val="34"/>
                                <w:rFonts w:hint="eastAsia"/>
                                <w:sz w:val="30"/>
                                <w:szCs w:val="30"/>
                              </w:rPr>
                              <w:t xml:space="preserve">          </w:t>
                            </w:r>
                          </w:p>
                          <w:p>
                            <w:pPr>
                              <w:pStyle w:val="47"/>
                            </w:pPr>
                            <w:r>
                              <w:rPr>
                                <w:rFonts w:hint="eastAsia"/>
                                <w:sz w:val="30"/>
                                <w:szCs w:val="30"/>
                              </w:rPr>
                              <w:t xml:space="preserve">          中国技术经济学会</w:t>
                            </w:r>
                            <w:r>
                              <w:rPr>
                                <w:rStyle w:val="34"/>
                                <w:rFonts w:hint="eastAsia"/>
                              </w:rPr>
                              <w:t xml:space="preserve">     发布</w:t>
                            </w:r>
                          </w:p>
                        </w:txbxContent>
                      </wps:txbx>
                      <wps:bodyPr rot="0" vert="horz" wrap="square" lIns="0" tIns="0" rIns="0" bIns="0" anchor="t" anchorCtr="0" upright="1">
                        <a:noAutofit/>
                      </wps:bodyPr>
                    </wps:wsp>
                  </a:graphicData>
                </a:graphic>
              </wp:anchor>
            </w:drawing>
          </mc:Choice>
          <mc:Fallback>
            <w:pict>
              <v:shape id="文本框 21" o:spid="_x0000_s1026" o:spt="202" type="#_x0000_t202" style="position:absolute;left:0pt;margin-left:0.25pt;margin-top:711.45pt;height:54.25pt;width:470.7pt;mso-position-horizontal-relative:margin;mso-position-vertical-relative:margin;z-index:251661312;mso-width-relative:page;mso-height-relative:page;" fillcolor="#FFFFFF" filled="t" stroked="f" coordsize="21600,21600" o:gfxdata="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b6&#10;iTbZAAAACgEAAA8AAAAAAAAAAQAgAAAAIgAAAGRycy9kb3ducmV2LnhtbFBLAQIUABQAAAAIAIdO&#10;4kDaJvnnIgIAADAEAAAOAAAAAAAAAAEAIAAAACgBAABkcnMvZTJvRG9jLnhtbFBLBQYAAAAABgAG&#10;AFkBAAC8BQAAAAA=&#10;">
                <v:fill on="t" focussize="0,0"/>
                <v:stroke on="f"/>
                <v:imagedata o:title=""/>
                <o:lock v:ext="edit" aspectratio="f"/>
                <v:textbox inset="0mm,0mm,0mm,0mm">
                  <w:txbxContent>
                    <w:p>
                      <w:pPr>
                        <w:pStyle w:val="47"/>
                        <w:rPr>
                          <w:rStyle w:val="34"/>
                          <w:sz w:val="30"/>
                          <w:szCs w:val="30"/>
                        </w:rPr>
                      </w:pPr>
                      <w:r>
                        <w:rPr>
                          <w:rFonts w:hint="eastAsia"/>
                          <w:sz w:val="30"/>
                          <w:szCs w:val="30"/>
                        </w:rPr>
                        <w:t>山东省电线电缆行业协会</w:t>
                      </w:r>
                      <w:r>
                        <w:rPr>
                          <w:rStyle w:val="34"/>
                          <w:rFonts w:hint="eastAsia"/>
                          <w:sz w:val="30"/>
                          <w:szCs w:val="30"/>
                        </w:rPr>
                        <w:t xml:space="preserve">          </w:t>
                      </w:r>
                    </w:p>
                    <w:p>
                      <w:pPr>
                        <w:pStyle w:val="47"/>
                      </w:pPr>
                      <w:r>
                        <w:rPr>
                          <w:rFonts w:hint="eastAsia"/>
                          <w:sz w:val="30"/>
                          <w:szCs w:val="30"/>
                        </w:rPr>
                        <w:t xml:space="preserve">          中国技术经济学会</w:t>
                      </w:r>
                      <w:r>
                        <w:rPr>
                          <w:rStyle w:val="34"/>
                          <w:rFonts w:hint="eastAsia"/>
                        </w:rPr>
                        <w:t xml:space="preserve">     发布</w:t>
                      </w:r>
                    </w:p>
                  </w:txbxContent>
                </v:textbox>
                <w10:anchorlock/>
              </v:shape>
            </w:pict>
          </mc:Fallback>
        </mc:AlternateContent>
      </w:r>
      <w:r>
        <w:rPr>
          <w:rFonts w:ascii="Times New Roman"/>
          <w:szCs w:val="20"/>
        </w:rPr>
        <w:t>ICS XXX</w:t>
      </w:r>
    </w:p>
    <w:p>
      <w:pPr>
        <w:pStyle w:val="35"/>
        <w:rPr>
          <w:rFonts w:ascii="Times New Roman"/>
          <w:szCs w:val="20"/>
        </w:rPr>
      </w:pPr>
      <w:r>
        <w:rPr>
          <w:rFonts w:hint="eastAsia" w:ascii="Times New Roman"/>
          <w:szCs w:val="20"/>
        </w:rPr>
        <w:t>CCS</w:t>
      </w:r>
      <w:r>
        <w:rPr>
          <w:rFonts w:ascii="Times New Roman"/>
          <w:szCs w:val="20"/>
        </w:rPr>
        <w:t xml:space="preserve"> XX</w:t>
      </w:r>
    </w:p>
    <w:p>
      <w:pPr>
        <w:rPr>
          <w:sz w:val="18"/>
          <w:szCs w:val="18"/>
        </w:rPr>
      </w:pPr>
    </w:p>
    <w:p>
      <w:pPr>
        <w:rPr>
          <w:sz w:val="18"/>
          <w:szCs w:val="18"/>
        </w:rPr>
      </w:pPr>
    </w:p>
    <w:p>
      <w:pPr>
        <w:rPr>
          <w:sz w:val="18"/>
          <w:szCs w:val="18"/>
        </w:rPr>
      </w:pPr>
    </w:p>
    <w:p>
      <w:pPr>
        <w:jc w:val="distribute"/>
        <w:rPr>
          <w:rFonts w:ascii="黑体" w:hAnsi="黑体" w:eastAsia="黑体"/>
          <w:sz w:val="52"/>
          <w:szCs w:val="52"/>
        </w:rPr>
      </w:pPr>
      <w:r>
        <w:rPr>
          <w:rFonts w:hint="eastAsia" w:ascii="黑体" w:hAnsi="黑体" w:eastAsia="黑体"/>
          <w:sz w:val="52"/>
          <w:szCs w:val="52"/>
        </w:rPr>
        <w:t>团体标准</w:t>
      </w:r>
    </w:p>
    <w:p>
      <w:pPr>
        <w:pStyle w:val="33"/>
        <w:ind w:right="-2" w:firstLine="0" w:firstLineChars="0"/>
        <w:jc w:val="right"/>
        <w:rPr>
          <w:rFonts w:ascii="Times New Roman" w:hAnsi="Times New Roman" w:eastAsia="宋体" w:cs="Times New Roman"/>
          <w:kern w:val="0"/>
          <w:sz w:val="28"/>
          <w:szCs w:val="20"/>
        </w:rPr>
      </w:pPr>
      <w:r>
        <w:rPr>
          <w:rFonts w:ascii="Times New Roman" w:hAnsi="Times New Roman" w:eastAsia="宋体" w:cs="Times New Roman"/>
          <w:kern w:val="0"/>
          <w:sz w:val="28"/>
          <w:szCs w:val="20"/>
        </w:rPr>
        <w:t>T</w:t>
      </w:r>
      <w:r>
        <w:rPr>
          <w:rFonts w:hint="eastAsia" w:ascii="Times New Roman" w:hAnsi="Times New Roman" w:eastAsia="宋体" w:cs="Times New Roman"/>
          <w:kern w:val="0"/>
          <w:sz w:val="28"/>
          <w:szCs w:val="20"/>
        </w:rPr>
        <w:t>/CBMF</w:t>
      </w:r>
      <w:r>
        <w:rPr>
          <w:rFonts w:ascii="Times New Roman" w:hAnsi="Times New Roman" w:eastAsia="宋体" w:cs="Times New Roman"/>
          <w:kern w:val="0"/>
          <w:sz w:val="28"/>
          <w:szCs w:val="20"/>
        </w:rPr>
        <w:t xml:space="preserve"> XX-</w:t>
      </w:r>
      <w:r>
        <w:rPr>
          <w:rFonts w:hint="eastAsia" w:ascii="Times New Roman" w:hAnsi="Times New Roman" w:eastAsia="宋体" w:cs="Times New Roman"/>
          <w:kern w:val="0"/>
          <w:sz w:val="28"/>
          <w:szCs w:val="20"/>
        </w:rPr>
        <w:t>XXXX</w:t>
      </w:r>
    </w:p>
    <w:p>
      <w:pPr>
        <w:pStyle w:val="33"/>
        <w:ind w:right="-2" w:firstLine="0" w:firstLineChars="0"/>
        <w:jc w:val="right"/>
        <w:rPr>
          <w:rFonts w:ascii="Times New Roman" w:hAnsi="Times New Roman" w:eastAsia="宋体" w:cs="Times New Roman"/>
          <w:kern w:val="0"/>
          <w:sz w:val="28"/>
          <w:szCs w:val="20"/>
        </w:rPr>
      </w:pPr>
      <w:r>
        <w:rPr>
          <w:rFonts w:hint="eastAsia" w:ascii="Times New Roman" w:hAnsi="Times New Roman" w:eastAsia="宋体" w:cs="Times New Roman"/>
          <w:kern w:val="0"/>
          <w:sz w:val="28"/>
          <w:szCs w:val="20"/>
        </w:rPr>
        <w:t>T/CSTE XX-XXXX</w:t>
      </w:r>
    </w:p>
    <w:p>
      <w:pPr>
        <w:pStyle w:val="33"/>
        <w:ind w:right="420" w:rightChars="200" w:firstLine="0" w:firstLineChars="0"/>
        <w:jc w:val="right"/>
        <w:rPr>
          <w:rFonts w:ascii="Times New Roman" w:eastAsia="黑体"/>
          <w:b/>
          <w:sz w:val="24"/>
          <w:szCs w:val="24"/>
        </w:rPr>
      </w:pPr>
      <w:r>
        <mc:AlternateContent>
          <mc:Choice Requires="wps">
            <w:drawing>
              <wp:anchor distT="0" distB="0" distL="114300" distR="114300" simplePos="0" relativeHeight="251660288" behindDoc="0" locked="0" layoutInCell="1" allowOverlap="1">
                <wp:simplePos x="0" y="0"/>
                <wp:positionH relativeFrom="column">
                  <wp:posOffset>-74930</wp:posOffset>
                </wp:positionH>
                <wp:positionV relativeFrom="paragraph">
                  <wp:posOffset>216535</wp:posOffset>
                </wp:positionV>
                <wp:extent cx="6121400" cy="0"/>
                <wp:effectExtent l="0" t="0" r="12700" b="19050"/>
                <wp:wrapNone/>
                <wp:docPr id="24"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直接连接符 22" o:spid="_x0000_s1026" o:spt="20" style="position:absolute;left:0pt;margin-left:-5.9pt;margin-top:17.05pt;height:0pt;width:482pt;z-index:251660288;mso-width-relative:page;mso-height-relative:page;" filled="f" stroked="t" coordsize="21600,21600" o:gfxdata="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A4i3C2AAA&#10;AAkBAAAPAAAAAAAAAAEAIAAAACIAAABkcnMvZG93bnJldi54bWxQSwECFAAUAAAACACHTuJApLyL&#10;F+UBAACtAwAADgAAAAAAAAABACAAAAAnAQAAZHJzL2Uyb0RvYy54bWxQSwUGAAAAAAYABgBZAQAA&#10;fgUAAAAA&#10;">
                <v:fill on="f" focussize="0,0"/>
                <v:stroke weight="1pt" color="#080000" joinstyle="round"/>
                <v:imagedata o:title=""/>
                <o:lock v:ext="edit" aspectratio="f"/>
              </v:line>
            </w:pict>
          </mc:Fallback>
        </mc:AlternateContent>
      </w:r>
    </w:p>
    <w:p>
      <w:pPr>
        <w:pStyle w:val="33"/>
        <w:ind w:firstLine="0" w:firstLineChars="0"/>
        <w:jc w:val="center"/>
        <w:rPr>
          <w:rFonts w:ascii="Times New Roman" w:eastAsia="黑体"/>
          <w:sz w:val="44"/>
          <w:szCs w:val="44"/>
        </w:rPr>
      </w:pPr>
    </w:p>
    <w:p>
      <w:pPr>
        <w:pStyle w:val="33"/>
        <w:ind w:firstLine="0" w:firstLineChars="0"/>
        <w:jc w:val="center"/>
        <w:rPr>
          <w:rFonts w:ascii="Times New Roman" w:eastAsia="黑体"/>
          <w:sz w:val="44"/>
          <w:szCs w:val="44"/>
        </w:rPr>
      </w:pPr>
    </w:p>
    <w:p>
      <w:pPr>
        <w:pStyle w:val="33"/>
        <w:ind w:firstLine="1043"/>
        <w:jc w:val="center"/>
        <w:rPr>
          <w:rFonts w:ascii="黑体" w:hAnsi="Times New Roman" w:eastAsia="黑体" w:cs="Times New Roman"/>
          <w:b/>
          <w:spacing w:val="40"/>
          <w:kern w:val="0"/>
          <w:sz w:val="44"/>
          <w:szCs w:val="44"/>
        </w:rPr>
      </w:pPr>
      <w:r>
        <w:rPr>
          <w:rFonts w:ascii="黑体" w:hAnsi="Times New Roman" w:eastAsia="黑体" w:cs="Times New Roman"/>
          <w:b/>
          <w:spacing w:val="40"/>
          <w:kern w:val="0"/>
          <w:sz w:val="44"/>
          <w:szCs w:val="44"/>
        </w:rPr>
        <w:t>“领跑者”标准</w:t>
      </w:r>
      <w:r>
        <w:rPr>
          <w:rFonts w:hint="eastAsia" w:ascii="黑体" w:hAnsi="Times New Roman" w:eastAsia="黑体" w:cs="Times New Roman"/>
          <w:b/>
          <w:spacing w:val="40"/>
          <w:kern w:val="0"/>
          <w:sz w:val="44"/>
          <w:szCs w:val="44"/>
        </w:rPr>
        <w:t>评价要求</w:t>
      </w:r>
    </w:p>
    <w:p>
      <w:pPr>
        <w:pStyle w:val="33"/>
        <w:ind w:firstLine="1043"/>
        <w:jc w:val="center"/>
        <w:rPr>
          <w:rFonts w:ascii="黑体" w:hAnsi="Times New Roman" w:eastAsia="黑体" w:cs="Times New Roman"/>
          <w:b/>
          <w:spacing w:val="40"/>
          <w:kern w:val="0"/>
          <w:sz w:val="44"/>
          <w:szCs w:val="44"/>
          <w:highlight w:val="none"/>
        </w:rPr>
      </w:pPr>
      <w:r>
        <w:rPr>
          <w:rFonts w:hint="eastAsia" w:ascii="黑体" w:hAnsi="Times New Roman" w:eastAsia="黑体" w:cs="Times New Roman"/>
          <w:b/>
          <w:spacing w:val="40"/>
          <w:kern w:val="0"/>
          <w:sz w:val="44"/>
          <w:szCs w:val="44"/>
          <w:highlight w:val="none"/>
        </w:rPr>
        <w:t>矿用电缆</w:t>
      </w:r>
    </w:p>
    <w:p>
      <w:pPr>
        <w:spacing w:before="156" w:beforeLines="50" w:line="360" w:lineRule="exact"/>
        <w:jc w:val="center"/>
        <w:rPr>
          <w:rFonts w:hint="default" w:ascii="Times New Roman" w:hAnsi="Times New Roman" w:eastAsia="黑体"/>
          <w:color w:val="000000" w:themeColor="text1"/>
          <w:kern w:val="0"/>
          <w:sz w:val="28"/>
          <w:szCs w:val="28"/>
          <w:shd w:val="clear" w:color="auto" w:fill="FFFFFF"/>
          <w:lang w:val="en-US" w:eastAsia="zh-CN"/>
          <w14:textFill>
            <w14:solidFill>
              <w14:schemeClr w14:val="tx1"/>
            </w14:solidFill>
          </w14:textFill>
        </w:rPr>
      </w:pPr>
      <w:r>
        <w:rPr>
          <w:rFonts w:ascii="TimesNewRoman" w:hAnsi="TimesNewRoman" w:cs="TimesNewRoman"/>
          <w:kern w:val="0"/>
          <w:sz w:val="28"/>
          <w:szCs w:val="28"/>
        </w:rPr>
        <w:t>Assessment requirements for enterprise forerunner standards</w:t>
      </w:r>
      <w:r>
        <w:rPr>
          <w:rFonts w:hint="eastAsia" w:ascii="Times New Roman" w:hAnsi="Times New Roman" w:eastAsia="黑体" w:cs="Times New Roman"/>
          <w:color w:val="000000" w:themeColor="text1"/>
          <w:kern w:val="0"/>
          <w:sz w:val="28"/>
          <w:szCs w:val="28"/>
          <w:shd w:val="clear" w:color="auto" w:fill="FFFFFF"/>
          <w14:textFill>
            <w14:solidFill>
              <w14:schemeClr w14:val="tx1"/>
            </w14:solidFill>
          </w14:textFill>
        </w:rPr>
        <w:t>—</w:t>
      </w:r>
      <w:r>
        <w:rPr>
          <w:rFonts w:hint="eastAsia" w:ascii="Times New Roman" w:hAnsi="Times New Roman" w:eastAsia="黑体" w:cs="Times New Roman"/>
          <w:color w:val="000000" w:themeColor="text1"/>
          <w:kern w:val="0"/>
          <w:sz w:val="28"/>
          <w:szCs w:val="28"/>
          <w:shd w:val="clear" w:color="auto" w:fill="FFFFFF"/>
          <w:lang w:val="en-US" w:eastAsia="zh-CN"/>
          <w14:textFill>
            <w14:solidFill>
              <w14:schemeClr w14:val="tx1"/>
            </w14:solidFill>
          </w14:textFill>
        </w:rPr>
        <w:t>Mine cable</w:t>
      </w:r>
    </w:p>
    <w:p>
      <w:pPr>
        <w:pStyle w:val="33"/>
        <w:ind w:firstLine="0" w:firstLineChars="0"/>
        <w:rPr>
          <w:rFonts w:ascii="Times New Roman" w:hAnsi="Times New Roman" w:eastAsia="黑体" w:cs="Times New Roman"/>
          <w:kern w:val="0"/>
          <w:sz w:val="36"/>
          <w:szCs w:val="20"/>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jc w:val="center"/>
        <w:rPr>
          <w:rFonts w:ascii="Times New Roman"/>
          <w:b/>
          <w:bCs/>
          <w:sz w:val="40"/>
          <w:szCs w:val="40"/>
        </w:rPr>
      </w:pPr>
      <w:r>
        <w:rPr>
          <w:rFonts w:hint="eastAsia" w:ascii="Times New Roman"/>
          <w:b/>
          <w:bCs/>
          <w:sz w:val="40"/>
          <w:szCs w:val="40"/>
        </w:rPr>
        <w:t>（</w:t>
      </w:r>
      <w:r>
        <w:rPr>
          <w:rFonts w:hint="eastAsia" w:ascii="Times New Roman"/>
          <w:b/>
          <w:bCs/>
          <w:sz w:val="40"/>
          <w:szCs w:val="40"/>
          <w:lang w:val="en-US" w:eastAsia="zh-CN"/>
        </w:rPr>
        <w:t>征求意见稿</w:t>
      </w:r>
      <w:r>
        <w:rPr>
          <w:rFonts w:hint="eastAsia" w:ascii="Times New Roman"/>
          <w:b/>
          <w:bCs/>
          <w:sz w:val="40"/>
          <w:szCs w:val="40"/>
        </w:rPr>
        <w:t>）</w:t>
      </w:r>
    </w:p>
    <w:p>
      <w:pPr>
        <w:pStyle w:val="33"/>
        <w:ind w:firstLine="0" w:firstLineChars="0"/>
        <w:rPr>
          <w:rFonts w:ascii="Times New Roman"/>
          <w:sz w:val="18"/>
          <w:szCs w:val="18"/>
        </w:rPr>
      </w:pPr>
    </w:p>
    <w:p>
      <w:pPr>
        <w:pStyle w:val="44"/>
      </w:pPr>
      <w:bookmarkStart w:id="64" w:name="_GoBack"/>
      <w:bookmarkEnd w:id="64"/>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p>
    <w:p>
      <w:pPr>
        <w:pStyle w:val="33"/>
        <w:ind w:firstLine="0" w:firstLineChars="0"/>
        <w:rPr>
          <w:rFonts w:ascii="Times New Roman"/>
          <w:sz w:val="18"/>
          <w:szCs w:val="18"/>
        </w:rPr>
      </w:pPr>
      <w:r>
        <mc:AlternateContent>
          <mc:Choice Requires="wps">
            <w:drawing>
              <wp:anchor distT="0" distB="0" distL="114300" distR="114300" simplePos="0" relativeHeight="251662336" behindDoc="0" locked="1" layoutInCell="1" allowOverlap="1">
                <wp:simplePos x="0" y="0"/>
                <wp:positionH relativeFrom="margin">
                  <wp:align>right</wp:align>
                </wp:positionH>
                <wp:positionV relativeFrom="margin">
                  <wp:posOffset>8518525</wp:posOffset>
                </wp:positionV>
                <wp:extent cx="1685925" cy="312420"/>
                <wp:effectExtent l="0" t="0" r="9525" b="0"/>
                <wp:wrapNone/>
                <wp:docPr id="23"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685925" cy="312420"/>
                        </a:xfrm>
                        <a:prstGeom prst="rect">
                          <a:avLst/>
                        </a:prstGeom>
                        <a:solidFill>
                          <a:srgbClr val="FFFFFF"/>
                        </a:solidFill>
                        <a:ln>
                          <a:noFill/>
                        </a:ln>
                      </wps:spPr>
                      <wps:txbx>
                        <w:txbxContent>
                          <w:p>
                            <w:pPr>
                              <w:pStyle w:val="71"/>
                            </w:pPr>
                            <w:r>
                              <w:t>2021</w:t>
                            </w:r>
                            <w:r>
                              <w:rPr>
                                <w:rFonts w:hint="eastAsia"/>
                              </w:rPr>
                              <w:t>-</w:t>
                            </w:r>
                            <w:r>
                              <w:t>XX</w:t>
                            </w:r>
                            <w:r>
                              <w:rPr>
                                <w:rFonts w:hint="eastAsia"/>
                              </w:rPr>
                              <w:t>-</w:t>
                            </w:r>
                            <w:r>
                              <w:t>XX</w:t>
                            </w:r>
                            <w:r>
                              <w:rPr>
                                <w:rFonts w:hint="eastAsia"/>
                              </w:rPr>
                              <w:t>实施</w:t>
                            </w:r>
                          </w:p>
                        </w:txbxContent>
                      </wps:txbx>
                      <wps:bodyPr rot="0" vert="horz" wrap="square" lIns="0" tIns="0" rIns="0" bIns="0" anchor="t" anchorCtr="0" upright="1">
                        <a:noAutofit/>
                      </wps:bodyPr>
                    </wps:wsp>
                  </a:graphicData>
                </a:graphic>
              </wp:anchor>
            </w:drawing>
          </mc:Choice>
          <mc:Fallback>
            <w:pict>
              <v:shape id="文本框 19" o:spid="_x0000_s1026" o:spt="202" type="#_x0000_t202" style="position:absolute;left:0pt;margin-top:670.75pt;height:24.6pt;width:132.75pt;mso-position-horizontal:right;mso-position-horizontal-relative:margin;mso-position-vertical-relative:margin;z-index:251662336;mso-width-relative:page;mso-height-relative:page;" fillcolor="#FFFFFF" filled="t" stroked="f" coordsize="21600,21600" o:gfxdata="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AYP&#10;OijYAAAACgEAAA8AAAAAAAAAAQAgAAAAIgAAAGRycy9kb3ducmV2LnhtbFBLAQIUABQAAAAIAIdO&#10;4kCPIobaIwIAADAEAAAOAAAAAAAAAAEAIAAAACcBAABkcnMvZTJvRG9jLnhtbFBLBQYAAAAABgAG&#10;AFkBAAC8BQAAAAA=&#10;">
                <v:fill on="t" focussize="0,0"/>
                <v:stroke on="f"/>
                <v:imagedata o:title=""/>
                <o:lock v:ext="edit" aspectratio="f"/>
                <v:textbox inset="0mm,0mm,0mm,0mm">
                  <w:txbxContent>
                    <w:p>
                      <w:pPr>
                        <w:pStyle w:val="71"/>
                      </w:pPr>
                      <w:r>
                        <w:t>2021</w:t>
                      </w:r>
                      <w:r>
                        <w:rPr>
                          <w:rFonts w:hint="eastAsia"/>
                        </w:rPr>
                        <w:t>-</w:t>
                      </w:r>
                      <w:r>
                        <w:t>XX</w:t>
                      </w:r>
                      <w:r>
                        <w:rPr>
                          <w:rFonts w:hint="eastAsia"/>
                        </w:rPr>
                        <w:t>-</w:t>
                      </w:r>
                      <w:r>
                        <w:t>XX</w:t>
                      </w:r>
                      <w:r>
                        <w:rPr>
                          <w:rFonts w:hint="eastAsia"/>
                        </w:rPr>
                        <w:t>实施</w:t>
                      </w:r>
                    </w:p>
                  </w:txbxContent>
                </v:textbox>
                <w10:anchorlock/>
              </v:shape>
            </w:pict>
          </mc:Fallback>
        </mc:AlternateContent>
      </w:r>
    </w:p>
    <w:p>
      <w:pPr>
        <w:pStyle w:val="33"/>
        <w:ind w:firstLine="0" w:firstLineChars="0"/>
        <w:rPr>
          <w:rFonts w:ascii="Times New Roman"/>
          <w:sz w:val="18"/>
          <w:szCs w:val="18"/>
        </w:rPr>
      </w:pPr>
    </w:p>
    <w:p>
      <w:pPr>
        <w:pStyle w:val="33"/>
        <w:ind w:firstLine="0" w:firstLineChars="0"/>
        <w:rPr>
          <w:rFonts w:ascii="Times New Roman"/>
          <w:sz w:val="18"/>
          <w:szCs w:val="18"/>
        </w:rPr>
        <w:sectPr>
          <w:footerReference r:id="rId3" w:type="default"/>
          <w:pgSz w:w="11906" w:h="16838"/>
          <w:pgMar w:top="567" w:right="1134" w:bottom="1134" w:left="1418" w:header="1418" w:footer="1134" w:gutter="0"/>
          <w:pgNumType w:start="1"/>
          <w:cols w:space="720" w:num="1"/>
          <w:formProt w:val="0"/>
          <w:docGrid w:type="lines" w:linePitch="312" w:charSpace="0"/>
        </w:sectPr>
      </w:pPr>
      <w:r>
        <mc:AlternateContent>
          <mc:Choice Requires="wps">
            <w:drawing>
              <wp:anchor distT="0" distB="0" distL="114300" distR="114300" simplePos="0" relativeHeight="251662336" behindDoc="0" locked="1" layoutInCell="1" allowOverlap="1">
                <wp:simplePos x="0" y="0"/>
                <wp:positionH relativeFrom="margin">
                  <wp:posOffset>-26035</wp:posOffset>
                </wp:positionH>
                <wp:positionV relativeFrom="margin">
                  <wp:posOffset>8590915</wp:posOffset>
                </wp:positionV>
                <wp:extent cx="2019300" cy="312420"/>
                <wp:effectExtent l="0" t="0" r="0" b="0"/>
                <wp:wrapNone/>
                <wp:docPr id="22"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pPr>
                              <w:pStyle w:val="71"/>
                            </w:pPr>
                            <w:r>
                              <w:t>2021</w:t>
                            </w:r>
                            <w:r>
                              <w:rPr>
                                <w:rFonts w:hint="eastAsia"/>
                              </w:rPr>
                              <w:t>-</w:t>
                            </w:r>
                            <w:r>
                              <w:t>XX</w:t>
                            </w:r>
                            <w:r>
                              <w:rPr>
                                <w:rFonts w:hint="eastAsia"/>
                              </w:rPr>
                              <w:t>-</w:t>
                            </w:r>
                            <w:r>
                              <w:t>XX</w:t>
                            </w:r>
                            <w:r>
                              <w:rPr>
                                <w:rFonts w:hint="eastAsia"/>
                              </w:rPr>
                              <w:t>发布</w:t>
                            </w:r>
                          </w:p>
                        </w:txbxContent>
                      </wps:txbx>
                      <wps:bodyPr rot="0" vert="horz" wrap="square" lIns="0" tIns="0" rIns="0" bIns="0" anchor="t" anchorCtr="0" upright="1">
                        <a:noAutofit/>
                      </wps:bodyPr>
                    </wps:wsp>
                  </a:graphicData>
                </a:graphic>
              </wp:anchor>
            </w:drawing>
          </mc:Choice>
          <mc:Fallback>
            <w:pict>
              <v:shape id="文本框 19" o:spid="_x0000_s1026" o:spt="202" type="#_x0000_t202" style="position:absolute;left:0pt;margin-left:-2.05pt;margin-top:676.45pt;height:24.6pt;width:159pt;mso-position-horizontal-relative:margin;mso-position-vertical-relative:margin;z-index:251662336;mso-width-relative:page;mso-height-relative:page;" fillcolor="#FFFFFF" filled="t" stroked="f" coordsize="21600,21600" o:gfxdata="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CUf&#10;jF3aAAAADAEAAA8AAAAAAAAAAQAgAAAAIgAAAGRycy9kb3ducmV2LnhtbFBLAQIUABQAAAAIAIdO&#10;4kDGgv+nIQIAADAEAAAOAAAAAAAAAAEAIAAAACkBAABkcnMvZTJvRG9jLnhtbFBLBQYAAAAABgAG&#10;AFkBAAC8BQAAAAA=&#10;">
                <v:fill on="t" focussize="0,0"/>
                <v:stroke on="f"/>
                <v:imagedata o:title=""/>
                <o:lock v:ext="edit" aspectratio="f"/>
                <v:textbox inset="0mm,0mm,0mm,0mm">
                  <w:txbxContent>
                    <w:p>
                      <w:pPr>
                        <w:pStyle w:val="71"/>
                      </w:pPr>
                      <w:r>
                        <w:t>2021</w:t>
                      </w:r>
                      <w:r>
                        <w:rPr>
                          <w:rFonts w:hint="eastAsia"/>
                        </w:rPr>
                        <w:t>-</w:t>
                      </w:r>
                      <w:r>
                        <w:t>XX</w:t>
                      </w:r>
                      <w:r>
                        <w:rPr>
                          <w:rFonts w:hint="eastAsia"/>
                        </w:rPr>
                        <w:t>-</w:t>
                      </w:r>
                      <w:r>
                        <w:t>XX</w:t>
                      </w:r>
                      <w:r>
                        <w:rPr>
                          <w:rFonts w:hint="eastAsia"/>
                        </w:rPr>
                        <w:t>发布</w:t>
                      </w:r>
                    </w:p>
                  </w:txbxContent>
                </v:textbox>
                <w10:anchorlock/>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5080</wp:posOffset>
                </wp:positionH>
                <wp:positionV relativeFrom="paragraph">
                  <wp:posOffset>1465580</wp:posOffset>
                </wp:positionV>
                <wp:extent cx="5902960" cy="0"/>
                <wp:effectExtent l="0" t="0" r="21590" b="19050"/>
                <wp:wrapNone/>
                <wp:docPr id="21" name="AutoShape 38"/>
                <wp:cNvGraphicFramePr/>
                <a:graphic xmlns:a="http://schemas.openxmlformats.org/drawingml/2006/main">
                  <a:graphicData uri="http://schemas.microsoft.com/office/word/2010/wordprocessingShape">
                    <wps:wsp>
                      <wps:cNvCnPr>
                        <a:cxnSpLocks noChangeShapeType="1"/>
                      </wps:cNvCnPr>
                      <wps:spPr bwMode="auto">
                        <a:xfrm>
                          <a:off x="0" y="0"/>
                          <a:ext cx="5902960" cy="0"/>
                        </a:xfrm>
                        <a:prstGeom prst="straightConnector1">
                          <a:avLst/>
                        </a:prstGeom>
                        <a:noFill/>
                        <a:ln w="9525">
                          <a:solidFill>
                            <a:srgbClr val="000000"/>
                          </a:solidFill>
                          <a:round/>
                        </a:ln>
                      </wps:spPr>
                      <wps:bodyPr/>
                    </wps:wsp>
                  </a:graphicData>
                </a:graphic>
              </wp:anchor>
            </w:drawing>
          </mc:Choice>
          <mc:Fallback>
            <w:pict>
              <v:shape id="AutoShape 38" o:spid="_x0000_s1026" o:spt="32" type="#_x0000_t32" style="position:absolute;left:0pt;margin-left:0.4pt;margin-top:115.4pt;height:0pt;width:464.8pt;z-index:251663360;mso-width-relative:page;mso-height-relative:page;" filled="f" stroked="t" coordsize="21600,21600" o:gfxdata="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zwS/w1QAAAAgBAAAPAAAAAAAAAAEAIAAA&#10;ACIAAABkcnMvZG93bnJldi54bWxQSwECFAAUAAAACACHTuJAsqjQJ9YBAAC0AwAADgAAAAAAAAAB&#10;ACAAAAAkAQAAZHJzL2Uyb0RvYy54bWxQSwUGAAAAAAYABgBZAQAAbAUAAAAA&#10;">
                <v:fill on="f" focussize="0,0"/>
                <v:stroke color="#000000" joinstyle="round"/>
                <v:imagedata o:title=""/>
                <o:lock v:ext="edit" aspectratio="f"/>
              </v:shape>
            </w:pict>
          </mc:Fallback>
        </mc:AlternateContent>
      </w:r>
    </w:p>
    <w:bookmarkEnd w:id="0"/>
    <w:bookmarkEnd w:id="1"/>
    <w:bookmarkEnd w:id="2"/>
    <w:bookmarkEnd w:id="3"/>
    <w:p>
      <w:pPr>
        <w:pStyle w:val="42"/>
      </w:pPr>
      <w:bookmarkStart w:id="8" w:name="_Toc65687976"/>
      <w:bookmarkStart w:id="9" w:name="_Toc415043894"/>
      <w:r>
        <w:rPr>
          <w:rFonts w:hint="eastAsia"/>
        </w:rPr>
        <w:t>前</w:t>
      </w:r>
      <w:bookmarkStart w:id="10" w:name="BKQY"/>
      <w:r>
        <w:rPr>
          <w:rFonts w:hint="eastAsia"/>
        </w:rPr>
        <w:t>  言</w:t>
      </w:r>
      <w:bookmarkEnd w:id="4"/>
      <w:bookmarkEnd w:id="5"/>
      <w:bookmarkEnd w:id="6"/>
      <w:bookmarkEnd w:id="7"/>
      <w:bookmarkEnd w:id="8"/>
      <w:bookmarkEnd w:id="9"/>
      <w:bookmarkEnd w:id="10"/>
    </w:p>
    <w:p>
      <w:pPr>
        <w:autoSpaceDE w:val="0"/>
        <w:autoSpaceDN w:val="0"/>
        <w:adjustRightInd w:val="0"/>
        <w:spacing w:line="276" w:lineRule="auto"/>
        <w:ind w:firstLine="420" w:firstLineChars="200"/>
        <w:rPr>
          <w:rFonts w:ascii="宋体" w:hAnsi="宋体" w:eastAsia="宋体" w:cs="Times New Roman"/>
          <w:color w:val="000000"/>
          <w:kern w:val="0"/>
        </w:rPr>
      </w:pPr>
      <w:r>
        <w:rPr>
          <w:rFonts w:hint="eastAsia" w:ascii="宋体" w:hAnsi="宋体" w:eastAsia="宋体" w:cs="Times New Roman"/>
          <w:color w:val="000000"/>
          <w:kern w:val="0"/>
        </w:rPr>
        <w:t>本文件按照GB/T 1.1—2020《标准化工作导则  第1部分：标准化文件的结构和起草规则》和T/CAQP 015—2020、 T/ESF 0001—2020 《“领跑者”标准编制通则》的规定起草。</w:t>
      </w:r>
    </w:p>
    <w:p>
      <w:pPr>
        <w:autoSpaceDE w:val="0"/>
        <w:autoSpaceDN w:val="0"/>
        <w:adjustRightInd w:val="0"/>
        <w:spacing w:line="276" w:lineRule="auto"/>
        <w:ind w:firstLine="420" w:firstLineChars="200"/>
        <w:rPr>
          <w:rFonts w:ascii="宋体" w:hAnsi="宋体" w:eastAsia="宋体" w:cs="Times New Roman"/>
          <w:color w:val="000000"/>
          <w:kern w:val="0"/>
        </w:rPr>
      </w:pPr>
      <w:r>
        <w:rPr>
          <w:rFonts w:ascii="宋体" w:hAnsi="宋体" w:eastAsia="宋体" w:cs="Times New Roman"/>
          <w:color w:val="000000"/>
          <w:kern w:val="0"/>
        </w:rPr>
        <w:t>请注意本文件的某些内容可能涉及专利。本文件的发布机构不承担识别专利的责任。</w:t>
      </w:r>
    </w:p>
    <w:p>
      <w:pPr>
        <w:spacing w:line="360" w:lineRule="auto"/>
        <w:ind w:firstLine="420" w:firstLineChars="200"/>
        <w:rPr>
          <w:rFonts w:cs="宋体"/>
        </w:rPr>
      </w:pPr>
      <w:r>
        <w:rPr>
          <w:rFonts w:cs="宋体"/>
        </w:rPr>
        <w:t>本</w:t>
      </w:r>
      <w:r>
        <w:rPr>
          <w:rFonts w:hint="eastAsia" w:cs="宋体"/>
        </w:rPr>
        <w:t>文件</w:t>
      </w:r>
      <w:r>
        <w:rPr>
          <w:rFonts w:cs="宋体"/>
        </w:rPr>
        <w:t>由</w:t>
      </w:r>
      <w:r>
        <w:rPr>
          <w:rFonts w:hint="eastAsia" w:cs="宋体"/>
        </w:rPr>
        <w:t>山东省电线电缆行业协会与企业标准“领跑者”工作委员会联合提出</w:t>
      </w:r>
    </w:p>
    <w:p>
      <w:pPr>
        <w:spacing w:line="360" w:lineRule="auto"/>
        <w:ind w:firstLine="420" w:firstLineChars="200"/>
        <w:rPr>
          <w:rFonts w:cs="宋体"/>
        </w:rPr>
      </w:pPr>
      <w:r>
        <w:rPr>
          <w:rFonts w:hint="eastAsia" w:cs="宋体"/>
        </w:rPr>
        <w:t>本文件由山东省电线电缆行业协会与中国技术经济学会归口。</w:t>
      </w:r>
    </w:p>
    <w:p>
      <w:pPr>
        <w:spacing w:line="360" w:lineRule="auto"/>
        <w:ind w:firstLine="420" w:firstLineChars="200"/>
        <w:rPr>
          <w:rFonts w:hint="default" w:cs="宋体" w:eastAsiaTheme="minorEastAsia"/>
          <w:highlight w:val="none"/>
          <w:lang w:val="en-US" w:eastAsia="zh-CN"/>
        </w:rPr>
      </w:pPr>
      <w:r>
        <w:rPr>
          <w:rFonts w:hint="eastAsia" w:cs="宋体"/>
        </w:rPr>
        <w:t>本文件起草单位</w:t>
      </w:r>
      <w:r>
        <w:rPr>
          <w:rFonts w:cs="宋体"/>
        </w:rPr>
        <w:t>：</w:t>
      </w:r>
      <w:r>
        <w:rPr>
          <w:rFonts w:hint="eastAsia" w:cs="宋体"/>
          <w:highlight w:val="none"/>
        </w:rPr>
        <w:t>青岛汉缆股份有限公司</w:t>
      </w:r>
      <w:r>
        <w:rPr>
          <w:rFonts w:hint="eastAsia" w:cs="宋体"/>
          <w:highlight w:val="none"/>
          <w:lang w:eastAsia="zh-CN"/>
        </w:rPr>
        <w:t>、</w:t>
      </w:r>
      <w:r>
        <w:rPr>
          <w:rFonts w:hint="eastAsia" w:cs="宋体"/>
          <w:highlight w:val="none"/>
          <w:lang w:val="en-US" w:eastAsia="zh-CN"/>
        </w:rPr>
        <w:t>山东省电线电缆行业协会等。</w:t>
      </w:r>
    </w:p>
    <w:p>
      <w:pPr>
        <w:spacing w:line="360" w:lineRule="auto"/>
        <w:ind w:firstLine="420" w:firstLineChars="200"/>
        <w:rPr>
          <w:rFonts w:hint="default" w:cs="宋体" w:eastAsiaTheme="minorEastAsia"/>
          <w:highlight w:val="none"/>
          <w:lang w:val="en-US" w:eastAsia="zh-CN"/>
        </w:rPr>
      </w:pPr>
      <w:r>
        <w:rPr>
          <w:rFonts w:hint="eastAsia" w:cs="宋体"/>
          <w:highlight w:val="none"/>
        </w:rPr>
        <w:t xml:space="preserve">本文件主要起草人：宋喜全 王长春 </w:t>
      </w:r>
      <w:r>
        <w:rPr>
          <w:rFonts w:hint="eastAsia" w:cs="宋体"/>
          <w:highlight w:val="none"/>
          <w:lang w:eastAsia="zh-CN"/>
        </w:rPr>
        <w:t>、</w:t>
      </w:r>
      <w:r>
        <w:rPr>
          <w:rFonts w:hint="eastAsia" w:cs="宋体"/>
          <w:highlight w:val="none"/>
          <w:lang w:val="en-US" w:eastAsia="zh-CN"/>
        </w:rPr>
        <w:t>翟建飞等。</w:t>
      </w:r>
    </w:p>
    <w:p>
      <w:pPr>
        <w:pStyle w:val="33"/>
      </w:pPr>
    </w:p>
    <w:p>
      <w:pPr>
        <w:pStyle w:val="42"/>
      </w:pPr>
      <w:bookmarkStart w:id="11" w:name="_Toc65687977"/>
      <w:r>
        <w:rPr>
          <w:rFonts w:hint="eastAsia"/>
        </w:rPr>
        <w:t>引</w:t>
      </w:r>
      <w:r>
        <w:rPr>
          <w:rFonts w:hint="eastAsia" w:ascii="MS Mincho" w:hAnsi="MS Mincho" w:eastAsia="MS Mincho" w:cs="MS Mincho"/>
        </w:rPr>
        <w:t>  </w:t>
      </w:r>
      <w:r>
        <w:rPr>
          <w:rFonts w:hint="eastAsia"/>
        </w:rPr>
        <w:t>言</w:t>
      </w:r>
      <w:bookmarkEnd w:id="11"/>
    </w:p>
    <w:p>
      <w:pPr>
        <w:pStyle w:val="33"/>
        <w:spacing w:line="360" w:lineRule="auto"/>
        <w:rPr>
          <w:rFonts w:ascii="Times New Roman" w:hAnsi="Times New Roman" w:cs="Times New Roman"/>
          <w:highlight w:val="none"/>
        </w:rPr>
      </w:pPr>
      <w:r>
        <w:rPr>
          <w:rFonts w:hint="eastAsia" w:ascii="Times New Roman" w:hAnsi="Times New Roman" w:cs="Times New Roman"/>
          <w:highlight w:val="none"/>
        </w:rPr>
        <w:t>矿用电缆主要是针对煤矿井下使用的电缆，执行的标准是煤炭行业标准MT 818，自1999年第一次制定，经过2009年进行修订，现在执行的还是MT 818-2009煤矿用电缆标准。近年来随着国内煤炭事业的发展，煤矿机械化、智能化改造已全面展开，对电缆的性能要求不断提高，尤其井下的使用环境对电缆外护套的性能要求更高。为了更好的满足使用环境要求，提高电缆的护套性能是有必要的，因此需要对煤矿用电缆的性能指标进行提升。</w:t>
      </w:r>
    </w:p>
    <w:p>
      <w:pPr>
        <w:pStyle w:val="33"/>
        <w:spacing w:line="360" w:lineRule="auto"/>
        <w:rPr>
          <w:rFonts w:ascii="Times New Roman" w:hAnsi="Times New Roman" w:cs="Times New Roman"/>
        </w:rPr>
      </w:pPr>
    </w:p>
    <w:p>
      <w:pPr>
        <w:pStyle w:val="58"/>
        <w:outlineLvl w:val="9"/>
        <w:rPr>
          <w:highlight w:val="none"/>
        </w:rPr>
      </w:pPr>
      <w:r>
        <w:rPr>
          <w:rFonts w:hint="eastAsia"/>
        </w:rPr>
        <w:t xml:space="preserve">“领跑者”标准评价要求 </w:t>
      </w:r>
      <w:r>
        <w:rPr>
          <w:rFonts w:hint="eastAsia"/>
          <w:highlight w:val="none"/>
        </w:rPr>
        <w:t>矿用电缆</w:t>
      </w:r>
    </w:p>
    <w:p>
      <w:pPr>
        <w:pStyle w:val="2"/>
        <w:spacing w:before="0" w:after="0"/>
        <w:rPr>
          <w:rFonts w:ascii="黑体" w:hAnsi="黑体" w:eastAsia="黑体"/>
          <w:b w:val="0"/>
          <w:sz w:val="24"/>
          <w:szCs w:val="24"/>
          <w:highlight w:val="none"/>
        </w:rPr>
      </w:pPr>
      <w:bookmarkStart w:id="12" w:name="_Toc65687978"/>
      <w:bookmarkStart w:id="13" w:name="_Toc385601798"/>
      <w:bookmarkStart w:id="14" w:name="_Toc23920"/>
      <w:bookmarkStart w:id="15" w:name="_Toc415043895"/>
      <w:bookmarkStart w:id="16" w:name="_Toc415043549"/>
      <w:bookmarkStart w:id="17" w:name="_Toc385602847"/>
      <w:bookmarkStart w:id="18" w:name="_Toc415043488"/>
      <w:r>
        <w:rPr>
          <w:rFonts w:hint="eastAsia" w:ascii="黑体" w:hAnsi="黑体" w:eastAsia="黑体"/>
          <w:b w:val="0"/>
          <w:sz w:val="24"/>
          <w:szCs w:val="24"/>
          <w:highlight w:val="none"/>
        </w:rPr>
        <w:t>1 范围</w:t>
      </w:r>
      <w:bookmarkEnd w:id="12"/>
      <w:bookmarkEnd w:id="13"/>
      <w:bookmarkEnd w:id="14"/>
      <w:bookmarkEnd w:id="15"/>
      <w:bookmarkEnd w:id="16"/>
      <w:bookmarkEnd w:id="17"/>
      <w:bookmarkEnd w:id="18"/>
    </w:p>
    <w:p>
      <w:pPr>
        <w:spacing w:line="300" w:lineRule="auto"/>
        <w:ind w:firstLine="420" w:firstLineChars="200"/>
        <w:rPr>
          <w:highlight w:val="none"/>
        </w:rPr>
      </w:pPr>
      <w:r>
        <w:rPr>
          <w:rFonts w:hint="eastAsia"/>
          <w:highlight w:val="none"/>
        </w:rPr>
        <w:t>本文件规定了矿用电缆“领跑者”标准评价的术语和定义、评价指标体系、评价方法及等级划分。</w:t>
      </w:r>
    </w:p>
    <w:p>
      <w:pPr>
        <w:spacing w:line="300" w:lineRule="auto"/>
        <w:ind w:firstLine="420" w:firstLineChars="200"/>
      </w:pPr>
      <w:r>
        <w:rPr>
          <w:rFonts w:hint="eastAsia"/>
          <w:highlight w:val="none"/>
        </w:rPr>
        <w:t>本文件适用于</w:t>
      </w:r>
      <w:bookmarkStart w:id="19" w:name="_Hlk42777362"/>
      <w:r>
        <w:rPr>
          <w:rFonts w:hint="eastAsia"/>
          <w:highlight w:val="none"/>
        </w:rPr>
        <w:t>矿用电缆的企业标准水平评价。企业在制定企业标准时可参照</w:t>
      </w:r>
      <w:r>
        <w:rPr>
          <w:rFonts w:hint="eastAsia"/>
        </w:rPr>
        <w:t>使用，相关机构在制定企业标准“领跑者”评估方案时可参照使用。</w:t>
      </w:r>
      <w:bookmarkEnd w:id="19"/>
    </w:p>
    <w:p>
      <w:pPr>
        <w:pStyle w:val="2"/>
        <w:spacing w:before="0" w:after="0"/>
        <w:rPr>
          <w:rFonts w:ascii="黑体" w:hAnsi="黑体" w:eastAsia="黑体"/>
          <w:b w:val="0"/>
          <w:sz w:val="24"/>
          <w:szCs w:val="24"/>
        </w:rPr>
      </w:pPr>
      <w:bookmarkStart w:id="20" w:name="_Toc415043896"/>
      <w:bookmarkStart w:id="21" w:name="_Toc415043489"/>
      <w:bookmarkStart w:id="22" w:name="_Toc385601799"/>
      <w:bookmarkStart w:id="23" w:name="_Toc415043550"/>
      <w:bookmarkStart w:id="24" w:name="_Toc65687979"/>
      <w:bookmarkStart w:id="25" w:name="_Toc385602848"/>
      <w:bookmarkStart w:id="26" w:name="_Toc17469"/>
      <w:r>
        <w:rPr>
          <w:rFonts w:hint="eastAsia" w:ascii="黑体" w:hAnsi="黑体" w:eastAsia="黑体"/>
          <w:b w:val="0"/>
          <w:sz w:val="24"/>
          <w:szCs w:val="24"/>
        </w:rPr>
        <w:t>2 规范性引用文件</w:t>
      </w:r>
      <w:bookmarkEnd w:id="20"/>
      <w:bookmarkEnd w:id="21"/>
      <w:bookmarkEnd w:id="22"/>
      <w:bookmarkEnd w:id="23"/>
      <w:bookmarkEnd w:id="24"/>
      <w:bookmarkEnd w:id="25"/>
      <w:bookmarkEnd w:id="26"/>
    </w:p>
    <w:p>
      <w:pPr>
        <w:spacing w:line="300" w:lineRule="auto"/>
        <w:ind w:firstLine="420" w:firstLineChars="200"/>
      </w:pPr>
      <w:r>
        <w:rPr>
          <w:rFonts w:hint="eastAsia"/>
        </w:rPr>
        <w:t>下列文件中的内容通过文中的规范性引用而构成本文件必不可少的条款。其中，注日期的引用文件，仅该日期对应的版本适用于本文件；凡是不注日期的引用文件，其最新版本（包括所有的修改单）适用于本文件。</w:t>
      </w:r>
    </w:p>
    <w:p>
      <w:pPr>
        <w:spacing w:line="300" w:lineRule="auto"/>
        <w:ind w:firstLine="420" w:firstLineChars="200"/>
        <w:rPr>
          <w:rFonts w:ascii="Times New Roman" w:hAnsi="Times New Roman" w:cs="Times New Roman"/>
        </w:rPr>
      </w:pPr>
      <w:r>
        <w:rPr>
          <w:rFonts w:hint="eastAsia" w:ascii="Times New Roman" w:hAnsi="Times New Roman" w:cs="Times New Roman"/>
        </w:rPr>
        <w:t>G</w:t>
      </w:r>
      <w:r>
        <w:rPr>
          <w:rFonts w:ascii="Times New Roman" w:hAnsi="Times New Roman" w:cs="Times New Roman"/>
        </w:rPr>
        <w:t xml:space="preserve">B/T 2900.10 </w:t>
      </w:r>
      <w:r>
        <w:rPr>
          <w:rFonts w:hint="eastAsia" w:ascii="Times New Roman" w:hAnsi="Times New Roman" w:cs="Times New Roman"/>
        </w:rPr>
        <w:t xml:space="preserve"> 电工术语 电缆</w:t>
      </w:r>
    </w:p>
    <w:p>
      <w:pPr>
        <w:spacing w:line="300" w:lineRule="auto"/>
        <w:ind w:firstLine="420" w:firstLineChars="200"/>
        <w:rPr>
          <w:rFonts w:ascii="Times New Roman" w:hAnsi="Times New Roman" w:cs="Times New Roman"/>
        </w:rPr>
      </w:pPr>
      <w:r>
        <w:rPr>
          <w:rFonts w:hint="eastAsia" w:ascii="Times New Roman" w:hAnsi="Times New Roman" w:cs="Times New Roman"/>
        </w:rPr>
        <w:t>GB/T 2951.11  电缆绝缘和护套材料通用试验方法  第11部分：通用试验方法  厚度和外形尺寸测量—机械性能试验</w:t>
      </w:r>
    </w:p>
    <w:p>
      <w:pPr>
        <w:spacing w:line="300" w:lineRule="auto"/>
        <w:ind w:firstLine="420" w:firstLineChars="200"/>
        <w:rPr>
          <w:rFonts w:ascii="Times New Roman" w:hAnsi="Times New Roman" w:cs="Times New Roman"/>
        </w:rPr>
      </w:pPr>
      <w:r>
        <w:rPr>
          <w:rFonts w:ascii="Times New Roman" w:hAnsi="Times New Roman" w:cs="Times New Roman"/>
        </w:rPr>
        <w:t>GB</w:t>
      </w:r>
      <w:r>
        <w:rPr>
          <w:rFonts w:hint="eastAsia" w:ascii="Times New Roman" w:hAnsi="Times New Roman" w:cs="Times New Roman"/>
        </w:rPr>
        <w:t>/</w:t>
      </w:r>
      <w:r>
        <w:rPr>
          <w:rFonts w:ascii="Times New Roman" w:hAnsi="Times New Roman" w:cs="Times New Roman"/>
        </w:rPr>
        <w:t>T 2951</w:t>
      </w:r>
      <w:r>
        <w:rPr>
          <w:rFonts w:hint="eastAsia" w:ascii="Times New Roman" w:hAnsi="Times New Roman" w:cs="Times New Roman"/>
        </w:rPr>
        <w:t>.1</w:t>
      </w:r>
      <w:r>
        <w:rPr>
          <w:rFonts w:ascii="Times New Roman" w:hAnsi="Times New Roman" w:cs="Times New Roman"/>
        </w:rPr>
        <w:t xml:space="preserve">2 </w:t>
      </w:r>
      <w:r>
        <w:rPr>
          <w:rFonts w:hint="eastAsia" w:ascii="Times New Roman" w:hAnsi="Times New Roman" w:cs="Times New Roman"/>
        </w:rPr>
        <w:t xml:space="preserve"> 电缆绝缘和护套材料通用试验方法</w:t>
      </w:r>
      <w:r>
        <w:rPr>
          <w:rFonts w:ascii="Times New Roman" w:hAnsi="Times New Roman" w:cs="Times New Roman"/>
        </w:rPr>
        <w:t xml:space="preserve">  </w:t>
      </w:r>
      <w:r>
        <w:rPr>
          <w:rFonts w:hint="eastAsia" w:ascii="Times New Roman" w:hAnsi="Times New Roman" w:cs="Times New Roman"/>
        </w:rPr>
        <w:t>第12部分：通用试验方法</w:t>
      </w:r>
      <w:r>
        <w:rPr>
          <w:rFonts w:ascii="Times New Roman" w:hAnsi="Times New Roman" w:cs="Times New Roman"/>
        </w:rPr>
        <w:t xml:space="preserve">  </w:t>
      </w:r>
      <w:r>
        <w:rPr>
          <w:rFonts w:hint="eastAsia" w:ascii="Times New Roman" w:hAnsi="Times New Roman" w:cs="Times New Roman"/>
        </w:rPr>
        <w:t>热老化试验方法</w:t>
      </w:r>
    </w:p>
    <w:p>
      <w:pPr>
        <w:spacing w:line="300" w:lineRule="auto"/>
        <w:ind w:firstLine="420" w:firstLineChars="200"/>
        <w:rPr>
          <w:rFonts w:ascii="Times New Roman" w:hAnsi="Times New Roman" w:cs="Times New Roman"/>
        </w:rPr>
      </w:pPr>
      <w:r>
        <w:rPr>
          <w:rFonts w:ascii="Times New Roman" w:hAnsi="Times New Roman" w:cs="Times New Roman"/>
        </w:rPr>
        <w:t>GB</w:t>
      </w:r>
      <w:r>
        <w:rPr>
          <w:rFonts w:hint="eastAsia" w:ascii="Times New Roman" w:hAnsi="Times New Roman" w:cs="Times New Roman"/>
        </w:rPr>
        <w:t>/</w:t>
      </w:r>
      <w:r>
        <w:rPr>
          <w:rFonts w:ascii="Times New Roman" w:hAnsi="Times New Roman" w:cs="Times New Roman"/>
        </w:rPr>
        <w:t>T 2951</w:t>
      </w:r>
      <w:r>
        <w:rPr>
          <w:rFonts w:hint="eastAsia" w:ascii="Times New Roman" w:hAnsi="Times New Roman" w:cs="Times New Roman"/>
        </w:rPr>
        <w:t>.21</w:t>
      </w:r>
      <w:r>
        <w:rPr>
          <w:rFonts w:ascii="Times New Roman" w:hAnsi="Times New Roman" w:cs="Times New Roman"/>
        </w:rPr>
        <w:t xml:space="preserve">  </w:t>
      </w:r>
      <w:r>
        <w:rPr>
          <w:rFonts w:hint="eastAsia" w:ascii="Times New Roman" w:hAnsi="Times New Roman" w:cs="Times New Roman"/>
        </w:rPr>
        <w:t>电缆绝缘和护套材料通用试验方法</w:t>
      </w:r>
      <w:r>
        <w:rPr>
          <w:rFonts w:ascii="Times New Roman" w:hAnsi="Times New Roman" w:cs="Times New Roman"/>
        </w:rPr>
        <w:t xml:space="preserve">  </w:t>
      </w:r>
      <w:r>
        <w:rPr>
          <w:rFonts w:hint="eastAsia" w:ascii="Times New Roman" w:hAnsi="Times New Roman" w:cs="Times New Roman"/>
        </w:rPr>
        <w:t>第</w:t>
      </w:r>
      <w:r>
        <w:rPr>
          <w:rFonts w:ascii="Times New Roman" w:hAnsi="Times New Roman" w:cs="Times New Roman"/>
        </w:rPr>
        <w:t>2</w:t>
      </w:r>
      <w:r>
        <w:rPr>
          <w:rFonts w:hint="eastAsia" w:ascii="Times New Roman" w:hAnsi="Times New Roman" w:cs="Times New Roman"/>
        </w:rPr>
        <w:t>1部分：弹性体混合料专用试验方法</w:t>
      </w:r>
      <w:r>
        <w:rPr>
          <w:rFonts w:ascii="Times New Roman" w:hAnsi="Times New Roman" w:cs="Times New Roman"/>
        </w:rPr>
        <w:t xml:space="preserve"> </w:t>
      </w:r>
      <w:r>
        <w:rPr>
          <w:rFonts w:hint="eastAsia" w:ascii="Times New Roman" w:hAnsi="Times New Roman" w:cs="Times New Roman"/>
        </w:rPr>
        <w:t xml:space="preserve"> 耐臭氧试验  热延伸试验  浸矿物油试验</w:t>
      </w:r>
    </w:p>
    <w:p>
      <w:pPr>
        <w:spacing w:line="300" w:lineRule="auto"/>
        <w:ind w:firstLine="420" w:firstLineChars="200"/>
        <w:rPr>
          <w:rFonts w:ascii="Times New Roman" w:hAnsi="Times New Roman" w:cs="Times New Roman"/>
        </w:rPr>
      </w:pPr>
      <w:r>
        <w:rPr>
          <w:rFonts w:ascii="Times New Roman" w:hAnsi="Times New Roman" w:cs="Times New Roman"/>
        </w:rPr>
        <w:t>GB</w:t>
      </w:r>
      <w:r>
        <w:rPr>
          <w:rFonts w:hint="eastAsia" w:ascii="Times New Roman" w:hAnsi="Times New Roman" w:cs="Times New Roman"/>
        </w:rPr>
        <w:t>/</w:t>
      </w:r>
      <w:r>
        <w:rPr>
          <w:rFonts w:ascii="Times New Roman" w:hAnsi="Times New Roman" w:cs="Times New Roman"/>
        </w:rPr>
        <w:t>T 3048</w:t>
      </w:r>
      <w:r>
        <w:rPr>
          <w:rFonts w:hint="eastAsia" w:ascii="Times New Roman" w:hAnsi="Times New Roman" w:cs="Times New Roman"/>
        </w:rPr>
        <w:t>.</w:t>
      </w:r>
      <w:r>
        <w:rPr>
          <w:rFonts w:ascii="Times New Roman" w:hAnsi="Times New Roman" w:cs="Times New Roman"/>
        </w:rPr>
        <w:t xml:space="preserve">4  </w:t>
      </w:r>
      <w:r>
        <w:rPr>
          <w:rFonts w:hint="eastAsia" w:ascii="Times New Roman" w:hAnsi="Times New Roman" w:cs="Times New Roman"/>
        </w:rPr>
        <w:t xml:space="preserve"> 电线电缆电性能试验方法</w:t>
      </w:r>
      <w:r>
        <w:rPr>
          <w:rFonts w:ascii="Times New Roman" w:hAnsi="Times New Roman" w:cs="Times New Roman"/>
        </w:rPr>
        <w:t xml:space="preserve">  </w:t>
      </w:r>
      <w:r>
        <w:rPr>
          <w:rFonts w:hint="eastAsia" w:ascii="Times New Roman" w:hAnsi="Times New Roman" w:cs="Times New Roman"/>
        </w:rPr>
        <w:t>导体直流电阻试验</w:t>
      </w:r>
    </w:p>
    <w:p>
      <w:pPr>
        <w:spacing w:line="300" w:lineRule="auto"/>
        <w:ind w:firstLine="420" w:firstLineChars="200"/>
        <w:rPr>
          <w:rFonts w:ascii="Times New Roman" w:hAnsi="Times New Roman" w:cs="Times New Roman"/>
        </w:rPr>
      </w:pPr>
      <w:r>
        <w:rPr>
          <w:rFonts w:ascii="Times New Roman" w:hAnsi="Times New Roman" w:cs="Times New Roman"/>
        </w:rPr>
        <w:t>GB</w:t>
      </w:r>
      <w:r>
        <w:rPr>
          <w:rFonts w:hint="eastAsia" w:ascii="Times New Roman" w:hAnsi="Times New Roman" w:cs="Times New Roman"/>
        </w:rPr>
        <w:t>/</w:t>
      </w:r>
      <w:r>
        <w:rPr>
          <w:rFonts w:ascii="Times New Roman" w:hAnsi="Times New Roman" w:cs="Times New Roman"/>
        </w:rPr>
        <w:t>T 3048</w:t>
      </w:r>
      <w:r>
        <w:rPr>
          <w:rFonts w:hint="eastAsia" w:ascii="Times New Roman" w:hAnsi="Times New Roman" w:cs="Times New Roman"/>
        </w:rPr>
        <w:t>.</w:t>
      </w:r>
      <w:r>
        <w:rPr>
          <w:rFonts w:ascii="Times New Roman" w:hAnsi="Times New Roman" w:cs="Times New Roman"/>
        </w:rPr>
        <w:t xml:space="preserve">5 </w:t>
      </w:r>
      <w:r>
        <w:rPr>
          <w:rFonts w:hint="eastAsia" w:ascii="Times New Roman" w:hAnsi="Times New Roman" w:cs="Times New Roman"/>
        </w:rPr>
        <w:t xml:space="preserve">  电线电缆电性能试验方法</w:t>
      </w:r>
      <w:r>
        <w:rPr>
          <w:rFonts w:ascii="Times New Roman" w:hAnsi="Times New Roman" w:cs="Times New Roman"/>
        </w:rPr>
        <w:t xml:space="preserve">  </w:t>
      </w:r>
      <w:r>
        <w:rPr>
          <w:rFonts w:hint="eastAsia" w:ascii="Times New Roman" w:hAnsi="Times New Roman" w:cs="Times New Roman"/>
        </w:rPr>
        <w:t>绝缘电阻试验</w:t>
      </w:r>
    </w:p>
    <w:p>
      <w:pPr>
        <w:spacing w:line="300" w:lineRule="auto"/>
        <w:ind w:firstLine="420" w:firstLineChars="200"/>
        <w:rPr>
          <w:rFonts w:ascii="Times New Roman" w:hAnsi="Times New Roman" w:cs="Times New Roman"/>
        </w:rPr>
      </w:pPr>
      <w:r>
        <w:rPr>
          <w:rFonts w:hint="eastAsia" w:ascii="Times New Roman" w:hAnsi="Times New Roman" w:cs="Times New Roman"/>
        </w:rPr>
        <w:t>GB/T 3048.8</w:t>
      </w:r>
      <w:r>
        <w:rPr>
          <w:rFonts w:ascii="Times New Roman" w:hAnsi="Times New Roman" w:cs="Times New Roman"/>
        </w:rPr>
        <w:t xml:space="preserve"> </w:t>
      </w:r>
      <w:r>
        <w:rPr>
          <w:rFonts w:hint="eastAsia" w:ascii="Times New Roman" w:hAnsi="Times New Roman" w:cs="Times New Roman"/>
        </w:rPr>
        <w:t xml:space="preserve">  电线电缆电性能试验方法</w:t>
      </w:r>
      <w:r>
        <w:rPr>
          <w:rFonts w:ascii="Times New Roman" w:hAnsi="Times New Roman" w:cs="Times New Roman"/>
        </w:rPr>
        <w:t xml:space="preserve"> </w:t>
      </w:r>
      <w:r>
        <w:rPr>
          <w:rFonts w:hint="eastAsia" w:ascii="Times New Roman" w:hAnsi="Times New Roman" w:cs="Times New Roman"/>
        </w:rPr>
        <w:t>交流电压试验</w:t>
      </w:r>
    </w:p>
    <w:p>
      <w:pPr>
        <w:spacing w:line="300" w:lineRule="auto"/>
        <w:ind w:firstLine="420" w:firstLineChars="200"/>
        <w:rPr>
          <w:rFonts w:ascii="Times New Roman" w:hAnsi="Times New Roman" w:cs="Times New Roman"/>
        </w:rPr>
      </w:pPr>
      <w:r>
        <w:rPr>
          <w:rFonts w:ascii="Times New Roman" w:hAnsi="Times New Roman" w:cs="Times New Roman"/>
        </w:rPr>
        <w:t>GB</w:t>
      </w:r>
      <w:r>
        <w:rPr>
          <w:rFonts w:hint="eastAsia" w:ascii="Times New Roman" w:hAnsi="Times New Roman" w:cs="Times New Roman"/>
        </w:rPr>
        <w:t>/T</w:t>
      </w:r>
      <w:r>
        <w:rPr>
          <w:rFonts w:ascii="Times New Roman" w:hAnsi="Times New Roman" w:cs="Times New Roman"/>
        </w:rPr>
        <w:t xml:space="preserve"> 3953</w:t>
      </w:r>
      <w:r>
        <w:rPr>
          <w:rFonts w:hint="eastAsia" w:ascii="Times New Roman" w:hAnsi="Times New Roman" w:cs="Times New Roman"/>
        </w:rPr>
        <w:t xml:space="preserve">    电工圆铜线</w:t>
      </w:r>
    </w:p>
    <w:p>
      <w:pPr>
        <w:spacing w:line="300" w:lineRule="auto"/>
        <w:ind w:firstLine="420" w:firstLineChars="200"/>
        <w:rPr>
          <w:rFonts w:ascii="Times New Roman" w:hAnsi="Times New Roman" w:cs="Times New Roman"/>
        </w:rPr>
      </w:pPr>
      <w:r>
        <w:rPr>
          <w:rFonts w:ascii="Times New Roman" w:hAnsi="Times New Roman" w:cs="Times New Roman"/>
        </w:rPr>
        <w:t>GB</w:t>
      </w:r>
      <w:r>
        <w:rPr>
          <w:rFonts w:hint="eastAsia" w:ascii="Times New Roman" w:hAnsi="Times New Roman" w:cs="Times New Roman"/>
        </w:rPr>
        <w:t>/T</w:t>
      </w:r>
      <w:r>
        <w:rPr>
          <w:rFonts w:ascii="Times New Roman" w:hAnsi="Times New Roman" w:cs="Times New Roman"/>
        </w:rPr>
        <w:t xml:space="preserve"> 3956  </w:t>
      </w:r>
      <w:r>
        <w:rPr>
          <w:rFonts w:hint="eastAsia" w:ascii="Times New Roman" w:hAnsi="Times New Roman" w:cs="Times New Roman"/>
        </w:rPr>
        <w:t xml:space="preserve">  电缆的导体</w:t>
      </w:r>
    </w:p>
    <w:p>
      <w:pPr>
        <w:spacing w:line="300" w:lineRule="auto"/>
        <w:ind w:firstLine="420" w:firstLineChars="200"/>
        <w:rPr>
          <w:rFonts w:ascii="Times New Roman" w:hAnsi="Times New Roman" w:cs="Times New Roman"/>
        </w:rPr>
      </w:pPr>
      <w:r>
        <w:rPr>
          <w:rFonts w:ascii="Times New Roman" w:hAnsi="Times New Roman" w:cs="Times New Roman"/>
        </w:rPr>
        <w:t>GB</w:t>
      </w:r>
      <w:r>
        <w:rPr>
          <w:rFonts w:hint="eastAsia" w:ascii="Times New Roman" w:hAnsi="Times New Roman" w:cs="Times New Roman"/>
        </w:rPr>
        <w:t>/T</w:t>
      </w:r>
      <w:r>
        <w:rPr>
          <w:rFonts w:ascii="Times New Roman" w:hAnsi="Times New Roman" w:cs="Times New Roman"/>
        </w:rPr>
        <w:t xml:space="preserve"> 4909</w:t>
      </w:r>
      <w:r>
        <w:rPr>
          <w:rFonts w:hint="eastAsia" w:ascii="Times New Roman" w:hAnsi="Times New Roman" w:cs="Times New Roman"/>
        </w:rPr>
        <w:t xml:space="preserve">.2 </w:t>
      </w:r>
      <w:r>
        <w:rPr>
          <w:rFonts w:ascii="Times New Roman" w:hAnsi="Times New Roman" w:cs="Times New Roman"/>
        </w:rPr>
        <w:t xml:space="preserve"> </w:t>
      </w:r>
      <w:r>
        <w:rPr>
          <w:rFonts w:hint="eastAsia" w:ascii="Times New Roman" w:hAnsi="Times New Roman" w:cs="Times New Roman"/>
        </w:rPr>
        <w:t xml:space="preserve"> 裸电线试验方法 尺寸测量</w:t>
      </w:r>
    </w:p>
    <w:p>
      <w:pPr>
        <w:spacing w:line="300" w:lineRule="auto"/>
        <w:ind w:firstLine="420" w:firstLineChars="200"/>
        <w:rPr>
          <w:rFonts w:ascii="Times New Roman" w:hAnsi="Times New Roman" w:cs="Times New Roman"/>
        </w:rPr>
      </w:pPr>
      <w:r>
        <w:rPr>
          <w:rFonts w:ascii="Times New Roman" w:hAnsi="Times New Roman" w:cs="Times New Roman"/>
        </w:rPr>
        <w:t>GB</w:t>
      </w:r>
      <w:r>
        <w:rPr>
          <w:rFonts w:hint="eastAsia" w:ascii="Times New Roman" w:hAnsi="Times New Roman" w:cs="Times New Roman"/>
        </w:rPr>
        <w:t>/T</w:t>
      </w:r>
      <w:r>
        <w:rPr>
          <w:rFonts w:ascii="Times New Roman" w:hAnsi="Times New Roman" w:cs="Times New Roman"/>
        </w:rPr>
        <w:t xml:space="preserve"> 6995</w:t>
      </w:r>
      <w:r>
        <w:rPr>
          <w:rFonts w:hint="eastAsia" w:ascii="Times New Roman" w:hAnsi="Times New Roman" w:cs="Times New Roman"/>
        </w:rPr>
        <w:t xml:space="preserve">    电线电缆识别标志</w:t>
      </w:r>
    </w:p>
    <w:p>
      <w:pPr>
        <w:spacing w:line="300" w:lineRule="auto"/>
        <w:ind w:firstLine="420" w:firstLineChars="200"/>
        <w:rPr>
          <w:rFonts w:ascii="Times New Roman" w:hAnsi="Times New Roman" w:cs="Times New Roman"/>
        </w:rPr>
      </w:pPr>
      <w:r>
        <w:rPr>
          <w:rFonts w:hint="eastAsia" w:ascii="Times New Roman" w:hAnsi="Times New Roman" w:cs="Times New Roman"/>
        </w:rPr>
        <w:t>AQ 1043      矿用产品安全标志标识</w:t>
      </w:r>
    </w:p>
    <w:p>
      <w:pPr>
        <w:spacing w:line="300" w:lineRule="auto"/>
        <w:ind w:firstLine="420" w:firstLineChars="200"/>
        <w:rPr>
          <w:rFonts w:ascii="Times New Roman" w:hAnsi="Times New Roman" w:cs="Times New Roman"/>
        </w:rPr>
      </w:pPr>
      <w:r>
        <w:rPr>
          <w:rFonts w:ascii="Times New Roman" w:hAnsi="Times New Roman" w:cs="Times New Roman"/>
        </w:rPr>
        <w:t>JB</w:t>
      </w:r>
      <w:r>
        <w:rPr>
          <w:rFonts w:hint="eastAsia" w:ascii="Times New Roman" w:hAnsi="Times New Roman" w:cs="Times New Roman"/>
        </w:rPr>
        <w:t>/</w:t>
      </w:r>
      <w:r>
        <w:rPr>
          <w:rFonts w:ascii="Times New Roman" w:hAnsi="Times New Roman" w:cs="Times New Roman"/>
        </w:rPr>
        <w:t>T 8137</w:t>
      </w:r>
      <w:r>
        <w:rPr>
          <w:rFonts w:hint="eastAsia" w:ascii="Times New Roman" w:hAnsi="Times New Roman" w:cs="Times New Roman"/>
        </w:rPr>
        <w:t xml:space="preserve">     电线电缆交货盘</w:t>
      </w:r>
    </w:p>
    <w:p>
      <w:pPr>
        <w:spacing w:line="300" w:lineRule="auto"/>
        <w:ind w:firstLine="420" w:firstLineChars="200"/>
        <w:rPr>
          <w:rFonts w:ascii="Times New Roman" w:hAnsi="Times New Roman" w:cs="Times New Roman"/>
        </w:rPr>
      </w:pPr>
      <w:r>
        <w:rPr>
          <w:rFonts w:ascii="Times New Roman" w:hAnsi="Times New Roman" w:cs="Times New Roman"/>
        </w:rPr>
        <w:t>MT</w:t>
      </w:r>
      <w:r>
        <w:rPr>
          <w:rFonts w:hint="eastAsia" w:ascii="Times New Roman" w:hAnsi="Times New Roman" w:cs="Times New Roman"/>
        </w:rPr>
        <w:t>/T</w:t>
      </w:r>
      <w:r>
        <w:rPr>
          <w:rFonts w:ascii="Times New Roman" w:hAnsi="Times New Roman" w:cs="Times New Roman"/>
        </w:rPr>
        <w:t xml:space="preserve"> 386</w:t>
      </w:r>
      <w:r>
        <w:rPr>
          <w:rFonts w:hint="eastAsia" w:ascii="Times New Roman" w:hAnsi="Times New Roman" w:cs="Times New Roman"/>
        </w:rPr>
        <w:t xml:space="preserve"> </w:t>
      </w:r>
      <w:r>
        <w:rPr>
          <w:rFonts w:ascii="Times New Roman" w:hAnsi="Times New Roman" w:cs="Times New Roman"/>
        </w:rPr>
        <w:t xml:space="preserve"> </w:t>
      </w:r>
      <w:r>
        <w:rPr>
          <w:rFonts w:hint="eastAsia" w:ascii="Times New Roman" w:hAnsi="Times New Roman" w:cs="Times New Roman"/>
        </w:rPr>
        <w:t xml:space="preserve">   煤矿用阻燃电缆阻燃性的试验方法和判定规则</w:t>
      </w:r>
    </w:p>
    <w:p>
      <w:pPr>
        <w:spacing w:line="300" w:lineRule="auto"/>
        <w:ind w:firstLine="420" w:firstLineChars="200"/>
        <w:rPr>
          <w:rFonts w:ascii="Times New Roman" w:hAnsi="Times New Roman" w:cs="Times New Roman"/>
        </w:rPr>
      </w:pPr>
      <w:r>
        <w:rPr>
          <w:rFonts w:ascii="Times New Roman" w:hAnsi="Times New Roman" w:cs="Times New Roman"/>
        </w:rPr>
        <w:t>MT/T</w:t>
      </w:r>
      <w:r>
        <w:rPr>
          <w:rFonts w:hint="eastAsia" w:ascii="Times New Roman" w:hAnsi="Times New Roman" w:cs="Times New Roman"/>
        </w:rPr>
        <w:t xml:space="preserve"> 775     采煤机用拖曳式电缆夹技术条件</w:t>
      </w:r>
    </w:p>
    <w:p>
      <w:pPr>
        <w:spacing w:line="300" w:lineRule="auto"/>
        <w:ind w:firstLine="420" w:firstLineChars="200"/>
        <w:rPr>
          <w:rFonts w:ascii="Times New Roman" w:hAnsi="Times New Roman" w:cs="Times New Roman"/>
        </w:rPr>
      </w:pPr>
      <w:r>
        <w:rPr>
          <w:rFonts w:ascii="Times New Roman" w:hAnsi="Times New Roman" w:cs="Times New Roman"/>
        </w:rPr>
        <w:t>MT 818</w:t>
      </w:r>
      <w:r>
        <w:rPr>
          <w:rFonts w:hint="eastAsia" w:ascii="Times New Roman" w:hAnsi="Times New Roman" w:cs="Times New Roman"/>
        </w:rPr>
        <w:t>.1</w:t>
      </w:r>
      <w:r>
        <w:rPr>
          <w:rFonts w:hint="eastAsia" w:ascii="宋体" w:hAnsi="宋体" w:eastAsia="宋体" w:cs="宋体"/>
        </w:rPr>
        <w:t>～</w:t>
      </w:r>
      <w:r>
        <w:rPr>
          <w:rFonts w:hint="eastAsia" w:ascii="Times New Roman" w:hAnsi="Times New Roman" w:cs="Times New Roman"/>
        </w:rPr>
        <w:t>10—2009</w:t>
      </w:r>
      <w:r>
        <w:rPr>
          <w:rFonts w:ascii="Times New Roman" w:hAnsi="Times New Roman" w:cs="Times New Roman"/>
        </w:rPr>
        <w:t xml:space="preserve">  </w:t>
      </w:r>
      <w:r>
        <w:rPr>
          <w:rFonts w:hint="eastAsia" w:ascii="Times New Roman" w:hAnsi="Times New Roman" w:cs="Times New Roman"/>
        </w:rPr>
        <w:t xml:space="preserve">煤矿用电缆  </w:t>
      </w:r>
    </w:p>
    <w:p>
      <w:pPr>
        <w:spacing w:line="300" w:lineRule="auto"/>
        <w:ind w:firstLine="420" w:firstLineChars="200"/>
        <w:rPr>
          <w:rFonts w:ascii="Times New Roman" w:hAnsi="Times New Roman" w:cs="Times New Roman"/>
        </w:rPr>
      </w:pPr>
      <w:r>
        <w:rPr>
          <w:rFonts w:hint="eastAsia" w:ascii="Times New Roman" w:hAnsi="Times New Roman" w:cs="Times New Roman"/>
        </w:rPr>
        <w:t>《煤矿安全规程》（国家安全生产监督管理总局，2006年）</w:t>
      </w:r>
    </w:p>
    <w:p>
      <w:pPr>
        <w:spacing w:line="300" w:lineRule="auto"/>
        <w:ind w:firstLine="420" w:firstLineChars="200"/>
        <w:rPr>
          <w:rFonts w:ascii="Times New Roman" w:hAnsi="Times New Roman" w:cs="Times New Roman"/>
        </w:rPr>
      </w:pPr>
    </w:p>
    <w:p>
      <w:pPr>
        <w:pStyle w:val="2"/>
        <w:spacing w:before="0" w:after="0"/>
        <w:rPr>
          <w:rFonts w:ascii="黑体" w:hAnsi="黑体" w:eastAsia="黑体"/>
          <w:b w:val="0"/>
          <w:sz w:val="24"/>
          <w:szCs w:val="24"/>
        </w:rPr>
      </w:pPr>
      <w:bookmarkStart w:id="27" w:name="_Toc385601800"/>
      <w:bookmarkEnd w:id="27"/>
      <w:bookmarkStart w:id="28" w:name="_Toc415043551"/>
      <w:bookmarkStart w:id="29" w:name="_Toc415043490"/>
      <w:bookmarkStart w:id="30" w:name="_Toc415043897"/>
      <w:bookmarkStart w:id="31" w:name="_Toc65687980"/>
      <w:bookmarkStart w:id="32" w:name="_Toc385602849"/>
      <w:bookmarkStart w:id="33" w:name="_Toc19706"/>
      <w:r>
        <w:rPr>
          <w:rFonts w:hint="eastAsia" w:ascii="黑体" w:hAnsi="黑体" w:eastAsia="黑体"/>
          <w:b w:val="0"/>
          <w:sz w:val="24"/>
          <w:szCs w:val="24"/>
        </w:rPr>
        <w:t>3 术语和定义</w:t>
      </w:r>
      <w:bookmarkEnd w:id="28"/>
      <w:bookmarkEnd w:id="29"/>
      <w:bookmarkEnd w:id="30"/>
      <w:bookmarkEnd w:id="31"/>
      <w:bookmarkEnd w:id="32"/>
      <w:bookmarkEnd w:id="33"/>
    </w:p>
    <w:p>
      <w:pPr>
        <w:spacing w:line="300" w:lineRule="auto"/>
        <w:ind w:firstLine="420" w:firstLineChars="200"/>
        <w:rPr>
          <w:color w:val="000000" w:themeColor="text1"/>
          <w:highlight w:val="none"/>
          <w14:textFill>
            <w14:solidFill>
              <w14:schemeClr w14:val="tx1"/>
            </w14:solidFill>
          </w14:textFill>
        </w:rPr>
      </w:pPr>
      <w:bookmarkStart w:id="34" w:name="_Toc415043898"/>
      <w:bookmarkEnd w:id="34"/>
      <w:bookmarkStart w:id="35" w:name="_Toc415043491"/>
      <w:bookmarkEnd w:id="35"/>
      <w:bookmarkStart w:id="36" w:name="_Toc415043552"/>
      <w:bookmarkEnd w:id="36"/>
      <w:bookmarkStart w:id="37" w:name="_Toc362172291"/>
      <w:bookmarkStart w:id="38" w:name="_Toc361323765"/>
      <w:bookmarkStart w:id="39" w:name="_Toc361997824"/>
      <w:bookmarkStart w:id="40" w:name="_Toc362005232"/>
      <w:bookmarkStart w:id="41" w:name="_Toc362007003"/>
      <w:r>
        <w:rPr>
          <w:rFonts w:hint="eastAsia"/>
          <w:highlight w:val="none"/>
        </w:rPr>
        <w:t>引用文件</w:t>
      </w:r>
      <w:r>
        <w:rPr>
          <w:rFonts w:hint="eastAsia" w:ascii="Times New Roman" w:hAnsi="Times New Roman" w:cs="Times New Roman"/>
          <w:kern w:val="0"/>
          <w:highlight w:val="none"/>
        </w:rPr>
        <w:t>界定的以及</w:t>
      </w:r>
      <w:r>
        <w:rPr>
          <w:rFonts w:hint="eastAsia" w:ascii="Times New Roman"/>
          <w:highlight w:val="none"/>
        </w:rPr>
        <w:t>下列术语和定义适用于本</w:t>
      </w:r>
      <w:r>
        <w:rPr>
          <w:rFonts w:hint="eastAsia"/>
          <w:highlight w:val="none"/>
        </w:rPr>
        <w:t>文件</w:t>
      </w:r>
      <w:r>
        <w:rPr>
          <w:rFonts w:hint="eastAsia" w:ascii="Times New Roman"/>
          <w:highlight w:val="none"/>
        </w:rPr>
        <w:t>。</w:t>
      </w:r>
    </w:p>
    <w:bookmarkEnd w:id="37"/>
    <w:bookmarkEnd w:id="38"/>
    <w:bookmarkEnd w:id="39"/>
    <w:bookmarkEnd w:id="40"/>
    <w:bookmarkEnd w:id="41"/>
    <w:p>
      <w:pPr>
        <w:pStyle w:val="2"/>
        <w:spacing w:before="0" w:after="0"/>
        <w:rPr>
          <w:rFonts w:ascii="黑体" w:hAnsi="黑体" w:eastAsia="黑体"/>
          <w:b w:val="0"/>
          <w:sz w:val="24"/>
          <w:szCs w:val="24"/>
          <w:highlight w:val="none"/>
        </w:rPr>
      </w:pPr>
      <w:bookmarkStart w:id="42" w:name="_Toc415043492"/>
      <w:bookmarkEnd w:id="42"/>
      <w:bookmarkStart w:id="43" w:name="_Toc415043553"/>
      <w:bookmarkEnd w:id="43"/>
      <w:bookmarkStart w:id="44" w:name="_Toc415043899"/>
      <w:bookmarkEnd w:id="44"/>
      <w:bookmarkStart w:id="45" w:name="_Toc375076815"/>
      <w:bookmarkEnd w:id="45"/>
      <w:bookmarkStart w:id="46" w:name="_Toc65687981"/>
      <w:bookmarkStart w:id="47" w:name="_Toc415043903"/>
      <w:bookmarkStart w:id="48" w:name="_Toc385602850"/>
      <w:bookmarkStart w:id="49" w:name="_Toc25668"/>
      <w:bookmarkStart w:id="50" w:name="_Toc415043557"/>
      <w:bookmarkStart w:id="51" w:name="_Toc528835813"/>
      <w:bookmarkStart w:id="52" w:name="_Toc415043496"/>
      <w:r>
        <w:rPr>
          <w:rFonts w:hint="eastAsia" w:ascii="黑体" w:hAnsi="黑体" w:eastAsia="黑体"/>
          <w:b w:val="0"/>
          <w:sz w:val="24"/>
          <w:szCs w:val="24"/>
          <w:highlight w:val="none"/>
        </w:rPr>
        <w:t>4 评价指标体系</w:t>
      </w:r>
      <w:bookmarkEnd w:id="46"/>
    </w:p>
    <w:p>
      <w:pPr>
        <w:pStyle w:val="80"/>
        <w:spacing w:before="156" w:beforeLines="50" w:after="156" w:afterLines="50"/>
        <w:rPr>
          <w:rFonts w:ascii="黑体" w:hAnsi="黑体" w:eastAsia="黑体" w:cs="Times New Roman"/>
          <w:sz w:val="21"/>
          <w:szCs w:val="21"/>
          <w:highlight w:val="none"/>
          <w:lang w:eastAsia="zh-CN"/>
        </w:rPr>
      </w:pPr>
      <w:bookmarkStart w:id="53" w:name="_Toc65687984"/>
      <w:bookmarkStart w:id="54" w:name="_Toc401669933"/>
      <w:bookmarkStart w:id="55" w:name="_Toc33563757"/>
      <w:bookmarkStart w:id="56" w:name="_Toc35259974"/>
      <w:r>
        <w:rPr>
          <w:rFonts w:ascii="Times New Roman" w:hAnsi="Times New Roman" w:eastAsia="黑体" w:cs="Times New Roman"/>
          <w:sz w:val="21"/>
          <w:szCs w:val="21"/>
          <w:highlight w:val="none"/>
          <w:lang w:eastAsia="zh-CN"/>
        </w:rPr>
        <w:t>4.1</w:t>
      </w:r>
      <w:r>
        <w:rPr>
          <w:rFonts w:hint="eastAsia" w:ascii="黑体" w:hAnsi="黑体" w:eastAsia="黑体" w:cs="Times New Roman"/>
          <w:sz w:val="21"/>
          <w:szCs w:val="21"/>
          <w:highlight w:val="none"/>
          <w:lang w:eastAsia="zh-CN"/>
        </w:rPr>
        <w:t xml:space="preserve"> 基本要求</w:t>
      </w:r>
    </w:p>
    <w:p>
      <w:pPr>
        <w:pStyle w:val="80"/>
        <w:spacing w:line="360" w:lineRule="auto"/>
        <w:rPr>
          <w:rFonts w:ascii="Times New Roman" w:hAnsi="Times New Roman" w:cs="Times New Roman"/>
          <w:sz w:val="21"/>
          <w:szCs w:val="21"/>
          <w:highlight w:val="none"/>
          <w:lang w:eastAsia="zh-CN"/>
        </w:rPr>
      </w:pPr>
      <w:r>
        <w:rPr>
          <w:rFonts w:hint="eastAsia" w:ascii="Times New Roman" w:hAnsi="Times New Roman" w:cs="Times New Roman"/>
          <w:sz w:val="21"/>
          <w:szCs w:val="21"/>
          <w:highlight w:val="none"/>
          <w:lang w:eastAsia="zh-CN"/>
        </w:rPr>
        <w:t xml:space="preserve">4.1.1 </w:t>
      </w:r>
      <w:r>
        <w:rPr>
          <w:rFonts w:hint="eastAsia"/>
          <w:highlight w:val="none"/>
          <w:lang w:eastAsia="zh-CN"/>
        </w:rPr>
        <w:t>产品应为量产产品，矿用电缆</w:t>
      </w:r>
      <w:r>
        <w:rPr>
          <w:rFonts w:hint="eastAsia" w:ascii="Times New Roman" w:hAnsi="Times New Roman" w:cs="Times New Roman"/>
          <w:sz w:val="21"/>
          <w:szCs w:val="21"/>
          <w:highlight w:val="none"/>
          <w:lang w:eastAsia="zh-CN"/>
        </w:rPr>
        <w:t>“领跑者”标准应满足明示执行标准及强制性国家标准的要求。</w:t>
      </w:r>
    </w:p>
    <w:p>
      <w:pPr>
        <w:pStyle w:val="80"/>
        <w:spacing w:line="360" w:lineRule="auto"/>
        <w:rPr>
          <w:rFonts w:ascii="Times New Roman" w:hAnsi="Times New Roman" w:cs="Times New Roman"/>
          <w:sz w:val="21"/>
          <w:szCs w:val="21"/>
          <w:highlight w:val="none"/>
          <w:lang w:eastAsia="zh-CN"/>
        </w:rPr>
      </w:pPr>
      <w:r>
        <w:rPr>
          <w:rFonts w:hint="eastAsia" w:ascii="Times New Roman" w:hAnsi="Times New Roman" w:cs="Times New Roman"/>
          <w:sz w:val="21"/>
          <w:szCs w:val="21"/>
          <w:highlight w:val="none"/>
          <w:lang w:eastAsia="zh-CN"/>
        </w:rPr>
        <w:t>4.1.2 生产企业近三年，无较大环境、安全、质量事故。</w:t>
      </w:r>
    </w:p>
    <w:p>
      <w:pPr>
        <w:pStyle w:val="80"/>
        <w:spacing w:line="360" w:lineRule="auto"/>
        <w:rPr>
          <w:rFonts w:ascii="Times New Roman" w:hAnsi="Times New Roman" w:cs="Times New Roman"/>
          <w:sz w:val="21"/>
          <w:szCs w:val="21"/>
          <w:highlight w:val="none"/>
          <w:lang w:eastAsia="zh-CN"/>
        </w:rPr>
      </w:pPr>
      <w:r>
        <w:rPr>
          <w:rFonts w:hint="eastAsia" w:ascii="Times New Roman" w:hAnsi="Times New Roman" w:cs="Times New Roman"/>
          <w:sz w:val="21"/>
          <w:szCs w:val="21"/>
          <w:highlight w:val="none"/>
          <w:lang w:eastAsia="zh-CN"/>
        </w:rPr>
        <w:t>4.1.3 企业未列入国家信用信息严重失信主体相关名录。</w:t>
      </w:r>
    </w:p>
    <w:p>
      <w:pPr>
        <w:pStyle w:val="80"/>
        <w:spacing w:line="360" w:lineRule="auto"/>
        <w:rPr>
          <w:rFonts w:ascii="Times New Roman" w:hAnsi="Times New Roman" w:cs="Times New Roman"/>
          <w:sz w:val="21"/>
          <w:szCs w:val="21"/>
          <w:highlight w:val="none"/>
          <w:lang w:eastAsia="zh-CN"/>
        </w:rPr>
      </w:pPr>
      <w:r>
        <w:rPr>
          <w:rFonts w:hint="eastAsia" w:ascii="Times New Roman" w:hAnsi="Times New Roman" w:cs="Times New Roman"/>
          <w:sz w:val="21"/>
          <w:szCs w:val="21"/>
          <w:highlight w:val="none"/>
          <w:lang w:eastAsia="zh-CN"/>
        </w:rPr>
        <w:t>4.1.4 企业可根据 GB/T 19001 、GB/T 24001、GB/T 45001 建立并运行相应质量、环境和职</w:t>
      </w:r>
    </w:p>
    <w:p>
      <w:pPr>
        <w:pStyle w:val="80"/>
        <w:spacing w:line="360" w:lineRule="auto"/>
        <w:rPr>
          <w:rFonts w:ascii="Times New Roman" w:hAnsi="Times New Roman"/>
          <w:bCs/>
          <w:highlight w:val="none"/>
          <w:lang w:eastAsia="zh-CN"/>
        </w:rPr>
      </w:pPr>
      <w:r>
        <w:rPr>
          <w:rFonts w:hint="eastAsia" w:ascii="Times New Roman" w:hAnsi="Times New Roman" w:cs="Times New Roman"/>
          <w:sz w:val="21"/>
          <w:szCs w:val="21"/>
          <w:highlight w:val="none"/>
          <w:lang w:eastAsia="zh-CN"/>
        </w:rPr>
        <w:t>业健康安全，同时鼓励企业根据自身运营情况建立更高水平的管理体系。</w:t>
      </w:r>
    </w:p>
    <w:p>
      <w:pPr>
        <w:pStyle w:val="65"/>
        <w:numPr>
          <w:ilvl w:val="1"/>
          <w:numId w:val="3"/>
        </w:numPr>
        <w:spacing w:line="360" w:lineRule="auto"/>
        <w:ind w:firstLineChars="0"/>
        <w:rPr>
          <w:rFonts w:ascii="黑体" w:hAnsi="黑体" w:eastAsia="黑体" w:cs="Times New Roman"/>
          <w:szCs w:val="21"/>
          <w:highlight w:val="none"/>
        </w:rPr>
      </w:pPr>
      <w:r>
        <w:rPr>
          <w:rFonts w:hint="eastAsia" w:ascii="黑体" w:hAnsi="黑体" w:eastAsia="黑体" w:cs="Times New Roman"/>
          <w:szCs w:val="21"/>
          <w:highlight w:val="none"/>
        </w:rPr>
        <w:t>评价指标分类</w:t>
      </w:r>
    </w:p>
    <w:p>
      <w:pPr>
        <w:spacing w:line="360" w:lineRule="auto"/>
        <w:rPr>
          <w:rFonts w:ascii="Times New Roman" w:hAnsi="Times New Roman"/>
          <w:highlight w:val="none"/>
        </w:rPr>
      </w:pPr>
      <w:r>
        <w:rPr>
          <w:rFonts w:hint="eastAsia" w:ascii="Times New Roman" w:hAnsi="Times New Roman"/>
          <w:highlight w:val="none"/>
        </w:rPr>
        <w:t>4.2</w:t>
      </w:r>
      <w:r>
        <w:rPr>
          <w:rFonts w:ascii="Times New Roman" w:hAnsi="Times New Roman"/>
          <w:highlight w:val="none"/>
        </w:rPr>
        <w:t>.</w:t>
      </w:r>
      <w:r>
        <w:rPr>
          <w:rFonts w:hint="eastAsia" w:ascii="Times New Roman" w:hAnsi="Times New Roman"/>
          <w:highlight w:val="none"/>
        </w:rPr>
        <w:t>1</w:t>
      </w:r>
      <w:r>
        <w:rPr>
          <w:rFonts w:ascii="Times New Roman" w:hAnsi="Times New Roman"/>
          <w:highlight w:val="none"/>
        </w:rPr>
        <w:t xml:space="preserve"> </w:t>
      </w:r>
      <w:r>
        <w:rPr>
          <w:rFonts w:hint="eastAsia" w:ascii="Times New Roman" w:hAnsi="Times New Roman"/>
          <w:color w:val="000000" w:themeColor="text1"/>
          <w:highlight w:val="none"/>
          <w14:textFill>
            <w14:solidFill>
              <w14:schemeClr w14:val="tx1"/>
            </w14:solidFill>
          </w14:textFill>
        </w:rPr>
        <w:t>矿用电缆</w:t>
      </w:r>
      <w:r>
        <w:rPr>
          <w:rFonts w:hint="eastAsia"/>
          <w:highlight w:val="none"/>
        </w:rPr>
        <w:t>“领跑者”标准中所包括的指标分为基础指标、核心指标和创新性指标。</w:t>
      </w:r>
    </w:p>
    <w:p>
      <w:pPr>
        <w:spacing w:line="360" w:lineRule="auto"/>
        <w:rPr>
          <w:highlight w:val="none"/>
        </w:rPr>
      </w:pPr>
      <w:r>
        <w:rPr>
          <w:rFonts w:hint="eastAsia"/>
          <w:highlight w:val="none"/>
        </w:rPr>
        <w:t>4</w:t>
      </w:r>
      <w:r>
        <w:rPr>
          <w:highlight w:val="none"/>
        </w:rPr>
        <w:t>.2.1.1</w:t>
      </w:r>
      <w:r>
        <w:rPr>
          <w:rFonts w:hint="eastAsia"/>
          <w:highlight w:val="none"/>
        </w:rPr>
        <w:t>基础指标</w:t>
      </w:r>
    </w:p>
    <w:p>
      <w:pPr>
        <w:pStyle w:val="33"/>
        <w:spacing w:line="360" w:lineRule="auto"/>
        <w:rPr>
          <w:rFonts w:cs="宋体"/>
          <w:szCs w:val="21"/>
          <w:highlight w:val="none"/>
        </w:rPr>
      </w:pPr>
      <w:r>
        <w:rPr>
          <w:rFonts w:hint="eastAsia" w:ascii="Times New Roman" w:hAnsi="Times New Roman"/>
          <w:highlight w:val="none"/>
        </w:rPr>
        <w:t>基础指标包括</w:t>
      </w:r>
      <w:r>
        <w:rPr>
          <w:rFonts w:hint="eastAsia" w:cs="宋体"/>
          <w:szCs w:val="21"/>
          <w:highlight w:val="none"/>
        </w:rPr>
        <w:t>导体直流电阻、</w:t>
      </w:r>
      <w:r>
        <w:rPr>
          <w:rFonts w:hint="eastAsia" w:ascii="Times New Roman" w:hAnsi="Times New Roman"/>
          <w:highlight w:val="none"/>
        </w:rPr>
        <w:t>绝缘电阻、工频电压试验、绝缘吸水试验、表面标志、电缆外径、导体单丝直径、绝缘厚度、护套厚度、单根垂直燃烧试验、负载条件下燃烧试验、成束燃烧试验。</w:t>
      </w:r>
    </w:p>
    <w:p>
      <w:pPr>
        <w:spacing w:line="360" w:lineRule="auto"/>
        <w:rPr>
          <w:highlight w:val="none"/>
        </w:rPr>
      </w:pPr>
      <w:r>
        <w:rPr>
          <w:rFonts w:hint="eastAsia"/>
          <w:highlight w:val="none"/>
        </w:rPr>
        <w:t>4</w:t>
      </w:r>
      <w:r>
        <w:rPr>
          <w:highlight w:val="none"/>
        </w:rPr>
        <w:t>.2.1.2</w:t>
      </w:r>
      <w:r>
        <w:rPr>
          <w:rFonts w:hint="eastAsia"/>
          <w:highlight w:val="none"/>
        </w:rPr>
        <w:t>核心指标</w:t>
      </w:r>
    </w:p>
    <w:p>
      <w:pPr>
        <w:spacing w:line="360" w:lineRule="auto"/>
        <w:ind w:firstLine="420" w:firstLineChars="200"/>
        <w:rPr>
          <w:rFonts w:cs="宋体"/>
          <w:szCs w:val="21"/>
          <w:highlight w:val="none"/>
        </w:rPr>
      </w:pPr>
      <w:r>
        <w:rPr>
          <w:rFonts w:hint="eastAsia" w:ascii="Times New Roman" w:hAnsi="Times New Roman"/>
          <w:highlight w:val="none"/>
        </w:rPr>
        <w:t>核心指标包括过渡电阻，</w:t>
      </w:r>
      <w:r>
        <w:rPr>
          <w:rFonts w:hint="eastAsia" w:cs="宋体"/>
          <w:szCs w:val="21"/>
          <w:highlight w:val="none"/>
        </w:rPr>
        <w:t>护套老化前拉力试验：抗张强度和断裂伸长率。</w:t>
      </w:r>
    </w:p>
    <w:p>
      <w:pPr>
        <w:spacing w:line="360" w:lineRule="auto"/>
        <w:ind w:firstLine="420" w:firstLineChars="200"/>
        <w:rPr>
          <w:rFonts w:ascii="Times New Roman" w:hAnsi="Times New Roman"/>
          <w:highlight w:val="none"/>
        </w:rPr>
      </w:pPr>
      <w:r>
        <w:rPr>
          <w:rFonts w:hint="eastAsia" w:ascii="Times New Roman" w:hAnsi="宋体" w:eastAsia="宋体"/>
          <w:szCs w:val="24"/>
          <w:highlight w:val="none"/>
        </w:rPr>
        <w:t>核心指标分为三个等级，包括先进水平，相当于企标排行榜中5星级水平；平均水平，相当于企标排行榜中4星级水平；基准水平，相当于企标排行榜中3星级水平。</w:t>
      </w:r>
    </w:p>
    <w:p>
      <w:pPr>
        <w:spacing w:line="360" w:lineRule="auto"/>
        <w:rPr>
          <w:highlight w:val="none"/>
        </w:rPr>
      </w:pPr>
      <w:r>
        <w:rPr>
          <w:rFonts w:hint="eastAsia"/>
          <w:highlight w:val="none"/>
        </w:rPr>
        <w:t>4</w:t>
      </w:r>
      <w:r>
        <w:rPr>
          <w:highlight w:val="none"/>
        </w:rPr>
        <w:t>.2.1.3</w:t>
      </w:r>
      <w:r>
        <w:rPr>
          <w:rFonts w:hint="eastAsia"/>
          <w:highlight w:val="none"/>
        </w:rPr>
        <w:t>创新性指标</w:t>
      </w:r>
    </w:p>
    <w:p>
      <w:pPr>
        <w:spacing w:line="360" w:lineRule="auto"/>
        <w:ind w:firstLine="420" w:firstLineChars="200"/>
        <w:rPr>
          <w:rFonts w:ascii="Times New Roman" w:hAnsi="Times New Roman"/>
          <w:highlight w:val="none"/>
        </w:rPr>
      </w:pPr>
      <w:r>
        <w:rPr>
          <w:rFonts w:hint="eastAsia" w:cs="宋体"/>
          <w:szCs w:val="21"/>
          <w:highlight w:val="none"/>
        </w:rPr>
        <w:t>创新性指标包括</w:t>
      </w:r>
      <w:r>
        <w:rPr>
          <w:rFonts w:hint="eastAsia" w:asciiTheme="minorEastAsia" w:hAnsiTheme="minorEastAsia" w:cstheme="majorEastAsia"/>
          <w:bCs/>
          <w:color w:val="000000" w:themeColor="text1"/>
          <w:szCs w:val="21"/>
          <w:highlight w:val="none"/>
          <w14:textFill>
            <w14:solidFill>
              <w14:schemeClr w14:val="tx1"/>
            </w14:solidFill>
          </w14:textFill>
        </w:rPr>
        <w:t>护套200%定伸强度、局部放电试验。</w:t>
      </w:r>
    </w:p>
    <w:p>
      <w:pPr>
        <w:spacing w:line="360" w:lineRule="auto"/>
        <w:ind w:firstLine="420" w:firstLineChars="200"/>
        <w:rPr>
          <w:rFonts w:ascii="Times New Roman" w:hAnsi="Times New Roman"/>
        </w:rPr>
      </w:pPr>
      <w:r>
        <w:rPr>
          <w:rFonts w:hint="eastAsia" w:ascii="Times New Roman" w:hAnsi="宋体" w:eastAsia="宋体"/>
          <w:szCs w:val="24"/>
          <w:highlight w:val="none"/>
        </w:rPr>
        <w:t>创新性指标划分成平均水平和先进水平两个等级，其中</w:t>
      </w:r>
      <w:r>
        <w:rPr>
          <w:rFonts w:hint="eastAsia" w:ascii="Times New Roman" w:hAnsi="宋体" w:eastAsia="宋体"/>
          <w:szCs w:val="24"/>
        </w:rPr>
        <w:t>先进水平相当于企标排行榜中的5星级水平，平均水平相当于企标排行榜中4星级水平；</w:t>
      </w:r>
      <w:r>
        <w:rPr>
          <w:rFonts w:ascii="Times New Roman" w:hAnsi="宋体" w:eastAsia="宋体"/>
          <w:szCs w:val="24"/>
        </w:rPr>
        <w:t>鼓励根据条件成熟情况适时增加与产品性能和消费者关注的相关创新性指标。</w:t>
      </w:r>
    </w:p>
    <w:p>
      <w:pPr>
        <w:pStyle w:val="3"/>
        <w:tabs>
          <w:tab w:val="center" w:pos="4819"/>
        </w:tabs>
        <w:spacing w:before="200" w:after="200" w:line="360" w:lineRule="auto"/>
        <w:rPr>
          <w:rFonts w:ascii="黑体" w:hAnsi="黑体" w:eastAsia="黑体"/>
          <w:b w:val="0"/>
          <w:sz w:val="21"/>
          <w:szCs w:val="21"/>
        </w:rPr>
      </w:pPr>
      <w:r>
        <w:rPr>
          <w:rFonts w:hint="eastAsia" w:ascii="黑体" w:hAnsi="黑体" w:eastAsia="黑体"/>
          <w:b w:val="0"/>
          <w:sz w:val="21"/>
          <w:szCs w:val="21"/>
        </w:rPr>
        <w:t>4</w:t>
      </w:r>
      <w:r>
        <w:rPr>
          <w:rFonts w:ascii="黑体" w:hAnsi="黑体" w:eastAsia="黑体"/>
          <w:b w:val="0"/>
          <w:sz w:val="21"/>
          <w:szCs w:val="21"/>
        </w:rPr>
        <w:t xml:space="preserve">.3 </w:t>
      </w:r>
      <w:r>
        <w:rPr>
          <w:rFonts w:hint="eastAsia" w:ascii="黑体" w:hAnsi="黑体" w:eastAsia="黑体"/>
          <w:b w:val="0"/>
          <w:sz w:val="21"/>
          <w:szCs w:val="21"/>
        </w:rPr>
        <w:t>评价指标要求</w:t>
      </w:r>
      <w:bookmarkEnd w:id="53"/>
    </w:p>
    <w:p>
      <w:pPr>
        <w:spacing w:line="360" w:lineRule="auto"/>
        <w:rPr>
          <w:rFonts w:ascii="Times New Roman" w:hAns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4.3.1矿用电缆“领跑者”标准评价指标体系框架见表1。</w:t>
      </w:r>
    </w:p>
    <w:p>
      <w:pPr>
        <w:spacing w:line="360" w:lineRule="auto"/>
        <w:ind w:firstLine="420" w:firstLineChars="200"/>
        <w:jc w:val="center"/>
        <w:rPr>
          <w:rFonts w:ascii="黑体" w:hAnsi="黑体" w:eastAsia="黑体" w:cs="黑体"/>
          <w:szCs w:val="21"/>
          <w:highlight w:val="none"/>
        </w:rPr>
      </w:pPr>
    </w:p>
    <w:p>
      <w:pPr>
        <w:spacing w:line="360" w:lineRule="auto"/>
        <w:ind w:firstLine="420" w:firstLineChars="200"/>
        <w:jc w:val="center"/>
        <w:rPr>
          <w:rFonts w:ascii="黑体" w:hAnsi="黑体" w:eastAsia="黑体" w:cs="黑体"/>
          <w:szCs w:val="21"/>
          <w:highlight w:val="none"/>
        </w:rPr>
      </w:pPr>
      <w:r>
        <w:rPr>
          <w:rFonts w:hint="eastAsia" w:ascii="黑体" w:hAnsi="黑体" w:eastAsia="黑体" w:cs="黑体"/>
          <w:szCs w:val="21"/>
          <w:highlight w:val="none"/>
        </w:rPr>
        <w:t>表</w:t>
      </w:r>
      <w:r>
        <w:rPr>
          <w:rFonts w:ascii="黑体" w:hAnsi="黑体" w:eastAsia="黑体" w:cs="黑体"/>
          <w:szCs w:val="21"/>
          <w:highlight w:val="none"/>
        </w:rPr>
        <w:t>1</w:t>
      </w:r>
      <w:bookmarkStart w:id="57" w:name="_Hlk42778042"/>
      <w:r>
        <w:rPr>
          <w:rFonts w:hint="eastAsia" w:ascii="黑体" w:hAnsi="黑体" w:eastAsia="黑体" w:cs="黑体"/>
          <w:szCs w:val="21"/>
          <w:highlight w:val="none"/>
        </w:rPr>
        <w:t xml:space="preserve"> 矿用电缆评价指标体系框架</w:t>
      </w:r>
      <w:bookmarkEnd w:id="57"/>
    </w:p>
    <w:tbl>
      <w:tblPr>
        <w:tblStyle w:val="22"/>
        <w:tblW w:w="99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1"/>
        <w:gridCol w:w="804"/>
        <w:gridCol w:w="2189"/>
        <w:gridCol w:w="1400"/>
        <w:gridCol w:w="1196"/>
        <w:gridCol w:w="1203"/>
        <w:gridCol w:w="1116"/>
        <w:gridCol w:w="15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jc w:val="center"/>
        </w:trPr>
        <w:tc>
          <w:tcPr>
            <w:tcW w:w="471" w:type="dxa"/>
            <w:vMerge w:val="restart"/>
            <w:shd w:val="clear" w:color="auto" w:fill="auto"/>
            <w:vAlign w:val="center"/>
          </w:tcPr>
          <w:p>
            <w:pPr>
              <w:rPr>
                <w:rFonts w:asciiTheme="minorEastAsia" w:hAnsiTheme="minorEastAsia" w:cstheme="majorEastAsia"/>
                <w:bCs/>
                <w:color w:val="000000" w:themeColor="text1"/>
                <w:szCs w:val="21"/>
                <w:highlight w:val="none"/>
                <w14:textFill>
                  <w14:solidFill>
                    <w14:schemeClr w14:val="tx1"/>
                  </w14:solidFill>
                </w14:textFill>
              </w:rPr>
            </w:pPr>
            <w:r>
              <w:rPr>
                <w:rFonts w:hint="eastAsia" w:ascii="黑体" w:hAnsi="黑体" w:eastAsia="黑体" w:cs="黑体"/>
                <w:szCs w:val="21"/>
                <w:highlight w:val="none"/>
              </w:rPr>
              <w:br w:type="page"/>
            </w:r>
            <w:bookmarkStart w:id="58" w:name="_Toc35353330"/>
            <w:bookmarkStart w:id="59" w:name="_Toc323891329"/>
            <w:bookmarkStart w:id="60" w:name="_Toc324165077"/>
            <w:bookmarkStart w:id="61" w:name="_Toc353278168"/>
            <w:bookmarkStart w:id="62" w:name="_Toc324165027"/>
            <w:bookmarkStart w:id="63" w:name="_Toc323891250"/>
            <w:r>
              <w:rPr>
                <w:rFonts w:hint="eastAsia" w:asciiTheme="minorEastAsia" w:hAnsiTheme="minorEastAsia" w:cstheme="majorEastAsia"/>
                <w:bCs/>
                <w:color w:val="000000" w:themeColor="text1"/>
                <w:szCs w:val="21"/>
                <w:highlight w:val="none"/>
                <w14:textFill>
                  <w14:solidFill>
                    <w14:schemeClr w14:val="tx1"/>
                  </w14:solidFill>
                </w14:textFill>
              </w:rPr>
              <w:t>序号</w:t>
            </w:r>
          </w:p>
        </w:tc>
        <w:tc>
          <w:tcPr>
            <w:tcW w:w="804" w:type="dxa"/>
            <w:vMerge w:val="restart"/>
            <w:shd w:val="clear" w:color="auto" w:fill="auto"/>
            <w:vAlign w:val="center"/>
          </w:tcPr>
          <w:p>
            <w:pPr>
              <w:pStyle w:val="33"/>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指标类型</w:t>
            </w:r>
          </w:p>
        </w:tc>
        <w:tc>
          <w:tcPr>
            <w:tcW w:w="2189" w:type="dxa"/>
            <w:vMerge w:val="restart"/>
            <w:shd w:val="clear" w:color="auto" w:fill="auto"/>
            <w:vAlign w:val="center"/>
          </w:tcPr>
          <w:p>
            <w:pPr>
              <w:pStyle w:val="33"/>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评价指标</w:t>
            </w:r>
          </w:p>
        </w:tc>
        <w:tc>
          <w:tcPr>
            <w:tcW w:w="1400" w:type="dxa"/>
            <w:vMerge w:val="restart"/>
            <w:shd w:val="clear" w:color="auto" w:fill="auto"/>
            <w:vAlign w:val="center"/>
          </w:tcPr>
          <w:p>
            <w:pPr>
              <w:pStyle w:val="33"/>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asciiTheme="minorEastAsia" w:hAnsiTheme="minorEastAsia" w:cstheme="majorEastAsia"/>
                <w:bCs/>
                <w:color w:val="000000" w:themeColor="text1"/>
                <w:szCs w:val="21"/>
                <w:highlight w:val="none"/>
                <w14:textFill>
                  <w14:solidFill>
                    <w14:schemeClr w14:val="tx1"/>
                  </w14:solidFill>
                </w14:textFill>
              </w:rPr>
              <w:t>指标来源</w:t>
            </w:r>
          </w:p>
          <w:p>
            <w:pPr>
              <w:pStyle w:val="33"/>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3515" w:type="dxa"/>
            <w:gridSpan w:val="3"/>
            <w:tcBorders>
              <w:bottom w:val="single" w:color="auto" w:sz="4" w:space="0"/>
              <w:right w:val="single" w:color="auto" w:sz="4" w:space="0"/>
            </w:tcBorders>
            <w:shd w:val="clear" w:color="auto" w:fill="auto"/>
            <w:vAlign w:val="center"/>
          </w:tcPr>
          <w:p>
            <w:pPr>
              <w:pStyle w:val="33"/>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指标水平分级</w:t>
            </w:r>
          </w:p>
        </w:tc>
        <w:tc>
          <w:tcPr>
            <w:tcW w:w="1582" w:type="dxa"/>
            <w:vMerge w:val="restart"/>
            <w:tcBorders>
              <w:left w:val="single" w:color="auto" w:sz="4" w:space="0"/>
            </w:tcBorders>
            <w:shd w:val="clear" w:color="auto" w:fill="auto"/>
            <w:vAlign w:val="center"/>
          </w:tcPr>
          <w:p>
            <w:pPr>
              <w:pStyle w:val="33"/>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asciiTheme="minorEastAsia" w:hAnsiTheme="minorEastAsia" w:cstheme="majorEastAsia"/>
                <w:bCs/>
                <w:color w:val="000000" w:themeColor="text1"/>
                <w:szCs w:val="21"/>
                <w:highlight w:val="none"/>
                <w14:textFill>
                  <w14:solidFill>
                    <w14:schemeClr w14:val="tx1"/>
                  </w14:solidFill>
                </w14:textFill>
              </w:rPr>
              <w:t>判定依据</w:t>
            </w:r>
            <w:r>
              <w:rPr>
                <w:rFonts w:hint="eastAsia" w:asciiTheme="minorEastAsia" w:hAnsiTheme="minorEastAsia" w:cstheme="majorEastAsia"/>
                <w:bCs/>
                <w:color w:val="000000" w:themeColor="text1"/>
                <w:szCs w:val="21"/>
                <w:highlight w:val="none"/>
                <w14:textFill>
                  <w14:solidFill>
                    <w14:schemeClr w14:val="tx1"/>
                  </w14:solidFill>
                </w14:textFill>
              </w:rPr>
              <w:t>/</w:t>
            </w:r>
            <w:r>
              <w:rPr>
                <w:rFonts w:asciiTheme="minorEastAsia" w:hAnsiTheme="minorEastAsia" w:cstheme="majorEastAsia"/>
                <w:bCs/>
                <w:color w:val="000000" w:themeColor="text1"/>
                <w:szCs w:val="21"/>
                <w:highlight w:val="none"/>
                <w14:textFill>
                  <w14:solidFill>
                    <w14:schemeClr w14:val="tx1"/>
                  </w14:solidFill>
                </w14:textFill>
              </w:rPr>
              <w:t>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471" w:type="dxa"/>
            <w:vMerge w:val="continue"/>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804" w:type="dxa"/>
            <w:vMerge w:val="continue"/>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2189" w:type="dxa"/>
            <w:vMerge w:val="continue"/>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1400" w:type="dxa"/>
            <w:vMerge w:val="continue"/>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1196" w:type="dxa"/>
            <w:tcBorders>
              <w:top w:val="single" w:color="auto" w:sz="4" w:space="0"/>
            </w:tcBorders>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先进水平</w:t>
            </w:r>
          </w:p>
        </w:tc>
        <w:tc>
          <w:tcPr>
            <w:tcW w:w="1203" w:type="dxa"/>
            <w:tcBorders>
              <w:top w:val="single" w:color="auto" w:sz="4" w:space="0"/>
            </w:tcBorders>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平均水平</w:t>
            </w:r>
          </w:p>
        </w:tc>
        <w:tc>
          <w:tcPr>
            <w:tcW w:w="1116" w:type="dxa"/>
            <w:tcBorders>
              <w:top w:val="single" w:color="auto" w:sz="4" w:space="0"/>
              <w:right w:val="single" w:color="auto" w:sz="4" w:space="0"/>
            </w:tcBorders>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基准水平</w:t>
            </w:r>
          </w:p>
        </w:tc>
        <w:tc>
          <w:tcPr>
            <w:tcW w:w="1582" w:type="dxa"/>
            <w:vMerge w:val="continue"/>
            <w:tcBorders>
              <w:left w:val="single" w:color="auto" w:sz="4" w:space="0"/>
            </w:tcBorders>
            <w:shd w:val="clear" w:color="auto" w:fill="auto"/>
          </w:tcPr>
          <w:p>
            <w:pPr>
              <w:pStyle w:val="33"/>
              <w:spacing w:before="156" w:after="156"/>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1" w:type="dxa"/>
            <w:shd w:val="clear" w:color="auto" w:fill="auto"/>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1</w:t>
            </w:r>
          </w:p>
        </w:tc>
        <w:tc>
          <w:tcPr>
            <w:tcW w:w="804" w:type="dxa"/>
            <w:vMerge w:val="restart"/>
            <w:shd w:val="clear" w:color="auto" w:fill="auto"/>
            <w:vAlign w:val="center"/>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基础指标</w:t>
            </w:r>
          </w:p>
        </w:tc>
        <w:tc>
          <w:tcPr>
            <w:tcW w:w="2189" w:type="dxa"/>
            <w:shd w:val="clear" w:color="auto" w:fill="auto"/>
          </w:tcPr>
          <w:p>
            <w:pPr>
              <w:pStyle w:val="33"/>
              <w:spacing w:before="62" w:beforeLines="20" w:after="62" w:afterLines="20"/>
              <w:ind w:firstLine="0" w:firstLineChars="0"/>
              <w:jc w:val="left"/>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导体电阻</w:t>
            </w:r>
          </w:p>
        </w:tc>
        <w:tc>
          <w:tcPr>
            <w:tcW w:w="1400" w:type="dxa"/>
            <w:tcBorders>
              <w:bottom w:val="single" w:color="auto" w:sz="4" w:space="0"/>
            </w:tcBorders>
            <w:shd w:val="clear" w:color="auto" w:fill="auto"/>
          </w:tcPr>
          <w:p>
            <w:pPr>
              <w:pStyle w:val="33"/>
              <w:spacing w:before="62" w:beforeLines="20" w:after="62" w:afterLines="20"/>
              <w:ind w:firstLine="0" w:firstLineChars="0"/>
              <w:jc w:val="center"/>
              <w:rPr>
                <w:rFonts w:eastAsia="宋体"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MT 818-2009</w:t>
            </w:r>
          </w:p>
        </w:tc>
        <w:tc>
          <w:tcPr>
            <w:tcW w:w="3515" w:type="dxa"/>
            <w:gridSpan w:val="3"/>
            <w:vMerge w:val="restart"/>
            <w:tcBorders>
              <w:right w:val="single" w:color="auto" w:sz="4" w:space="0"/>
            </w:tcBorders>
            <w:shd w:val="clear" w:color="auto" w:fill="auto"/>
            <w:vAlign w:val="center"/>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符合标准要求</w:t>
            </w:r>
          </w:p>
        </w:tc>
        <w:tc>
          <w:tcPr>
            <w:tcW w:w="1582" w:type="dxa"/>
            <w:tcBorders>
              <w:left w:val="single" w:color="auto" w:sz="4" w:space="0"/>
              <w:bottom w:val="single" w:color="auto" w:sz="4" w:space="0"/>
            </w:tcBorders>
            <w:shd w:val="clear" w:color="auto" w:fill="auto"/>
            <w:vAlign w:val="center"/>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MT 818-2009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1" w:type="dxa"/>
            <w:shd w:val="clear" w:color="auto" w:fill="auto"/>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2</w:t>
            </w:r>
          </w:p>
        </w:tc>
        <w:tc>
          <w:tcPr>
            <w:tcW w:w="804" w:type="dxa"/>
            <w:vMerge w:val="continue"/>
            <w:shd w:val="clear" w:color="auto" w:fill="auto"/>
            <w:vAlign w:val="center"/>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2189" w:type="dxa"/>
            <w:shd w:val="clear" w:color="auto" w:fill="auto"/>
          </w:tcPr>
          <w:p>
            <w:pPr>
              <w:pStyle w:val="33"/>
              <w:spacing w:before="62" w:beforeLines="20" w:after="62" w:afterLines="20"/>
              <w:ind w:firstLine="0" w:firstLineChars="0"/>
              <w:jc w:val="left"/>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绝缘电阻</w:t>
            </w:r>
          </w:p>
        </w:tc>
        <w:tc>
          <w:tcPr>
            <w:tcW w:w="1400" w:type="dxa"/>
            <w:tcBorders>
              <w:bottom w:val="single" w:color="auto" w:sz="4" w:space="0"/>
            </w:tcBorders>
            <w:shd w:val="clear" w:color="auto" w:fill="auto"/>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MT 818-2009</w:t>
            </w:r>
          </w:p>
        </w:tc>
        <w:tc>
          <w:tcPr>
            <w:tcW w:w="3515" w:type="dxa"/>
            <w:gridSpan w:val="3"/>
            <w:vMerge w:val="continue"/>
            <w:tcBorders>
              <w:right w:val="single" w:color="auto" w:sz="4" w:space="0"/>
            </w:tcBorders>
            <w:shd w:val="clear" w:color="auto" w:fill="auto"/>
            <w:vAlign w:val="center"/>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1582" w:type="dxa"/>
            <w:tcBorders>
              <w:left w:val="single" w:color="auto" w:sz="4" w:space="0"/>
              <w:bottom w:val="single" w:color="auto" w:sz="4" w:space="0"/>
            </w:tcBorders>
            <w:shd w:val="clear" w:color="auto" w:fill="auto"/>
            <w:vAlign w:val="center"/>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MT 818-2009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1" w:type="dxa"/>
            <w:shd w:val="clear" w:color="auto" w:fill="auto"/>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asciiTheme="minorEastAsia" w:hAnsiTheme="minorEastAsia" w:cstheme="majorEastAsia"/>
                <w:bCs/>
                <w:color w:val="000000" w:themeColor="text1"/>
                <w:szCs w:val="21"/>
                <w:highlight w:val="none"/>
                <w14:textFill>
                  <w14:solidFill>
                    <w14:schemeClr w14:val="tx1"/>
                  </w14:solidFill>
                </w14:textFill>
              </w:rPr>
              <w:t>3</w:t>
            </w:r>
          </w:p>
        </w:tc>
        <w:tc>
          <w:tcPr>
            <w:tcW w:w="804" w:type="dxa"/>
            <w:vMerge w:val="continue"/>
            <w:shd w:val="clear" w:color="auto" w:fill="auto"/>
            <w:vAlign w:val="center"/>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2189" w:type="dxa"/>
            <w:shd w:val="clear" w:color="auto" w:fill="auto"/>
          </w:tcPr>
          <w:p>
            <w:pPr>
              <w:pStyle w:val="33"/>
              <w:spacing w:before="62" w:beforeLines="20" w:after="62" w:afterLines="20"/>
              <w:ind w:firstLine="0" w:firstLineChars="0"/>
              <w:jc w:val="left"/>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工频电压试验</w:t>
            </w:r>
          </w:p>
        </w:tc>
        <w:tc>
          <w:tcPr>
            <w:tcW w:w="1400" w:type="dxa"/>
            <w:tcBorders>
              <w:top w:val="single" w:color="auto" w:sz="4" w:space="0"/>
              <w:bottom w:val="single" w:color="auto" w:sz="4" w:space="0"/>
            </w:tcBorders>
            <w:shd w:val="clear" w:color="auto" w:fill="auto"/>
          </w:tcPr>
          <w:p>
            <w:pPr>
              <w:pStyle w:val="33"/>
              <w:spacing w:before="62" w:beforeLines="20" w:after="62" w:afterLines="20"/>
              <w:ind w:firstLine="0" w:firstLineChars="0"/>
              <w:jc w:val="center"/>
              <w:rPr>
                <w:rFonts w:eastAsia="宋体"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MT 818-2009</w:t>
            </w:r>
          </w:p>
        </w:tc>
        <w:tc>
          <w:tcPr>
            <w:tcW w:w="3515" w:type="dxa"/>
            <w:gridSpan w:val="3"/>
            <w:vMerge w:val="continue"/>
            <w:tcBorders>
              <w:right w:val="single" w:color="auto" w:sz="4" w:space="0"/>
            </w:tcBorders>
            <w:shd w:val="clear" w:color="auto" w:fill="auto"/>
            <w:vAlign w:val="center"/>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1582" w:type="dxa"/>
            <w:tcBorders>
              <w:top w:val="single" w:color="auto" w:sz="4" w:space="0"/>
              <w:left w:val="single" w:color="auto" w:sz="4" w:space="0"/>
              <w:bottom w:val="single" w:color="auto" w:sz="4" w:space="0"/>
            </w:tcBorders>
            <w:shd w:val="clear" w:color="auto" w:fill="auto"/>
            <w:vAlign w:val="center"/>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MT 818-2009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1" w:type="dxa"/>
            <w:shd w:val="clear" w:color="auto" w:fill="auto"/>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asciiTheme="minorEastAsia" w:hAnsiTheme="minorEastAsia" w:cstheme="majorEastAsia"/>
                <w:bCs/>
                <w:color w:val="000000" w:themeColor="text1"/>
                <w:szCs w:val="21"/>
                <w:highlight w:val="none"/>
                <w14:textFill>
                  <w14:solidFill>
                    <w14:schemeClr w14:val="tx1"/>
                  </w14:solidFill>
                </w14:textFill>
              </w:rPr>
              <w:t>4</w:t>
            </w:r>
          </w:p>
        </w:tc>
        <w:tc>
          <w:tcPr>
            <w:tcW w:w="804" w:type="dxa"/>
            <w:vMerge w:val="continue"/>
            <w:shd w:val="clear" w:color="auto" w:fill="auto"/>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2189" w:type="dxa"/>
            <w:shd w:val="clear" w:color="auto" w:fill="auto"/>
          </w:tcPr>
          <w:p>
            <w:pPr>
              <w:pStyle w:val="33"/>
              <w:spacing w:before="62" w:beforeLines="20" w:after="62" w:afterLines="20"/>
              <w:ind w:firstLine="0" w:firstLineChars="0"/>
              <w:jc w:val="left"/>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绝缘吸水试验</w:t>
            </w:r>
          </w:p>
        </w:tc>
        <w:tc>
          <w:tcPr>
            <w:tcW w:w="1400" w:type="dxa"/>
            <w:tcBorders>
              <w:top w:val="single" w:color="auto" w:sz="4" w:space="0"/>
              <w:bottom w:val="single" w:color="auto" w:sz="4" w:space="0"/>
            </w:tcBorders>
            <w:shd w:val="clear" w:color="auto" w:fill="auto"/>
          </w:tcPr>
          <w:p>
            <w:pPr>
              <w:pStyle w:val="33"/>
              <w:spacing w:before="62" w:beforeLines="20" w:after="62" w:afterLines="20"/>
              <w:ind w:firstLine="0" w:firstLineChars="0"/>
              <w:jc w:val="center"/>
              <w:rPr>
                <w:rFonts w:eastAsia="宋体"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MT 818-2009</w:t>
            </w:r>
          </w:p>
        </w:tc>
        <w:tc>
          <w:tcPr>
            <w:tcW w:w="3515" w:type="dxa"/>
            <w:gridSpan w:val="3"/>
            <w:vMerge w:val="continue"/>
            <w:tcBorders>
              <w:right w:val="single" w:color="auto" w:sz="4" w:space="0"/>
            </w:tcBorders>
            <w:shd w:val="clear" w:color="auto" w:fill="auto"/>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1582" w:type="dxa"/>
            <w:tcBorders>
              <w:top w:val="single" w:color="auto" w:sz="4" w:space="0"/>
              <w:left w:val="single" w:color="auto" w:sz="4" w:space="0"/>
              <w:bottom w:val="single" w:color="auto" w:sz="4" w:space="0"/>
            </w:tcBorders>
            <w:shd w:val="clear" w:color="auto" w:fill="auto"/>
            <w:vAlign w:val="center"/>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MT 818-2009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1" w:type="dxa"/>
            <w:shd w:val="clear" w:color="auto" w:fill="auto"/>
          </w:tcPr>
          <w:p>
            <w:pPr>
              <w:pStyle w:val="33"/>
              <w:spacing w:before="62" w:beforeLines="20" w:after="62" w:afterLines="20"/>
              <w:ind w:firstLine="0" w:firstLineChars="0"/>
              <w:jc w:val="center"/>
              <w:rPr>
                <w:rFonts w:eastAsia="宋体" w:asciiTheme="minorEastAsia" w:hAnsiTheme="minorEastAsia" w:cstheme="majorEastAsia"/>
                <w:bCs/>
                <w:color w:val="000000" w:themeColor="text1"/>
                <w:szCs w:val="21"/>
                <w:highlight w:val="none"/>
                <w14:textFill>
                  <w14:solidFill>
                    <w14:schemeClr w14:val="tx1"/>
                  </w14:solidFill>
                </w14:textFill>
              </w:rPr>
            </w:pPr>
            <w:r>
              <w:rPr>
                <w:rFonts w:hint="eastAsia" w:eastAsia="宋体" w:asciiTheme="minorEastAsia" w:hAnsiTheme="minorEastAsia" w:cstheme="majorEastAsia"/>
                <w:bCs/>
                <w:color w:val="000000" w:themeColor="text1"/>
                <w:szCs w:val="21"/>
                <w:highlight w:val="none"/>
                <w14:textFill>
                  <w14:solidFill>
                    <w14:schemeClr w14:val="tx1"/>
                  </w14:solidFill>
                </w14:textFill>
              </w:rPr>
              <w:t>5</w:t>
            </w:r>
          </w:p>
        </w:tc>
        <w:tc>
          <w:tcPr>
            <w:tcW w:w="804" w:type="dxa"/>
            <w:vMerge w:val="continue"/>
            <w:shd w:val="clear" w:color="auto" w:fill="auto"/>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2189" w:type="dxa"/>
            <w:shd w:val="clear" w:color="auto" w:fill="auto"/>
          </w:tcPr>
          <w:p>
            <w:pPr>
              <w:pStyle w:val="33"/>
              <w:spacing w:before="62" w:beforeLines="20" w:after="62" w:afterLines="20"/>
              <w:ind w:firstLine="0" w:firstLineChars="0"/>
              <w:jc w:val="left"/>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表面标志</w:t>
            </w:r>
          </w:p>
        </w:tc>
        <w:tc>
          <w:tcPr>
            <w:tcW w:w="1400" w:type="dxa"/>
            <w:tcBorders>
              <w:top w:val="single" w:color="auto" w:sz="4" w:space="0"/>
              <w:bottom w:val="single" w:color="auto" w:sz="4" w:space="0"/>
            </w:tcBorders>
            <w:shd w:val="clear" w:color="auto" w:fill="auto"/>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MT 818-2009</w:t>
            </w:r>
          </w:p>
        </w:tc>
        <w:tc>
          <w:tcPr>
            <w:tcW w:w="3515" w:type="dxa"/>
            <w:gridSpan w:val="3"/>
            <w:vMerge w:val="continue"/>
            <w:tcBorders>
              <w:right w:val="single" w:color="auto" w:sz="4" w:space="0"/>
            </w:tcBorders>
            <w:shd w:val="clear" w:color="auto" w:fill="auto"/>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1582" w:type="dxa"/>
            <w:tcBorders>
              <w:top w:val="single" w:color="auto" w:sz="4" w:space="0"/>
              <w:left w:val="single" w:color="auto" w:sz="4" w:space="0"/>
              <w:bottom w:val="single" w:color="auto" w:sz="4" w:space="0"/>
            </w:tcBorders>
            <w:shd w:val="clear" w:color="auto" w:fill="auto"/>
            <w:vAlign w:val="center"/>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MT 818-2009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1" w:type="dxa"/>
            <w:shd w:val="clear" w:color="auto" w:fill="auto"/>
          </w:tcPr>
          <w:p>
            <w:pPr>
              <w:pStyle w:val="33"/>
              <w:spacing w:before="62" w:beforeLines="20" w:after="62" w:afterLines="20"/>
              <w:ind w:firstLine="0" w:firstLineChars="0"/>
              <w:jc w:val="center"/>
              <w:rPr>
                <w:rFonts w:eastAsia="宋体"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6</w:t>
            </w:r>
          </w:p>
        </w:tc>
        <w:tc>
          <w:tcPr>
            <w:tcW w:w="804" w:type="dxa"/>
            <w:vMerge w:val="continue"/>
            <w:shd w:val="clear" w:color="auto" w:fill="auto"/>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2189" w:type="dxa"/>
            <w:shd w:val="clear" w:color="auto" w:fill="auto"/>
          </w:tcPr>
          <w:p>
            <w:pPr>
              <w:pStyle w:val="33"/>
              <w:spacing w:before="62" w:beforeLines="20" w:after="62" w:afterLines="20"/>
              <w:ind w:firstLine="0" w:firstLineChars="0"/>
              <w:jc w:val="left"/>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电缆外径</w:t>
            </w:r>
          </w:p>
        </w:tc>
        <w:tc>
          <w:tcPr>
            <w:tcW w:w="1400" w:type="dxa"/>
            <w:tcBorders>
              <w:top w:val="single" w:color="auto" w:sz="4" w:space="0"/>
              <w:bottom w:val="single" w:color="auto" w:sz="4" w:space="0"/>
            </w:tcBorders>
            <w:shd w:val="clear" w:color="auto" w:fill="auto"/>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MT 818-2009</w:t>
            </w:r>
          </w:p>
        </w:tc>
        <w:tc>
          <w:tcPr>
            <w:tcW w:w="3515" w:type="dxa"/>
            <w:gridSpan w:val="3"/>
            <w:vMerge w:val="continue"/>
            <w:tcBorders>
              <w:right w:val="single" w:color="auto" w:sz="4" w:space="0"/>
            </w:tcBorders>
            <w:shd w:val="clear" w:color="auto" w:fill="auto"/>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1582" w:type="dxa"/>
            <w:tcBorders>
              <w:top w:val="single" w:color="auto" w:sz="4" w:space="0"/>
              <w:left w:val="single" w:color="auto" w:sz="4" w:space="0"/>
              <w:bottom w:val="single" w:color="auto" w:sz="4" w:space="0"/>
            </w:tcBorders>
            <w:shd w:val="clear" w:color="auto" w:fill="auto"/>
            <w:vAlign w:val="center"/>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MT 818-2009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1" w:type="dxa"/>
            <w:shd w:val="clear" w:color="auto" w:fill="auto"/>
          </w:tcPr>
          <w:p>
            <w:pPr>
              <w:pStyle w:val="33"/>
              <w:spacing w:before="62" w:beforeLines="20" w:after="62" w:afterLines="20"/>
              <w:ind w:firstLine="0" w:firstLineChars="0"/>
              <w:jc w:val="center"/>
              <w:rPr>
                <w:rFonts w:eastAsia="宋体"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7</w:t>
            </w:r>
          </w:p>
        </w:tc>
        <w:tc>
          <w:tcPr>
            <w:tcW w:w="804" w:type="dxa"/>
            <w:vMerge w:val="continue"/>
            <w:shd w:val="clear" w:color="auto" w:fill="auto"/>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2189" w:type="dxa"/>
            <w:shd w:val="clear" w:color="auto" w:fill="auto"/>
          </w:tcPr>
          <w:p>
            <w:pPr>
              <w:pStyle w:val="33"/>
              <w:spacing w:before="62" w:beforeLines="20" w:after="62" w:afterLines="20"/>
              <w:ind w:firstLine="0" w:firstLineChars="0"/>
              <w:jc w:val="left"/>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导体单丝直径</w:t>
            </w:r>
          </w:p>
        </w:tc>
        <w:tc>
          <w:tcPr>
            <w:tcW w:w="1400" w:type="dxa"/>
            <w:tcBorders>
              <w:top w:val="single" w:color="auto" w:sz="4" w:space="0"/>
              <w:bottom w:val="single" w:color="auto" w:sz="4" w:space="0"/>
            </w:tcBorders>
            <w:shd w:val="clear" w:color="auto" w:fill="auto"/>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MT 818-2009</w:t>
            </w:r>
          </w:p>
        </w:tc>
        <w:tc>
          <w:tcPr>
            <w:tcW w:w="3515" w:type="dxa"/>
            <w:gridSpan w:val="3"/>
            <w:vMerge w:val="continue"/>
            <w:tcBorders>
              <w:right w:val="single" w:color="auto" w:sz="4" w:space="0"/>
            </w:tcBorders>
            <w:shd w:val="clear" w:color="auto" w:fill="auto"/>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1582" w:type="dxa"/>
            <w:tcBorders>
              <w:top w:val="single" w:color="auto" w:sz="4" w:space="0"/>
              <w:left w:val="single" w:color="auto" w:sz="4" w:space="0"/>
              <w:bottom w:val="single" w:color="auto" w:sz="4" w:space="0"/>
            </w:tcBorders>
            <w:shd w:val="clear" w:color="auto" w:fill="auto"/>
            <w:vAlign w:val="center"/>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MT 818-2009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1" w:type="dxa"/>
            <w:shd w:val="clear" w:color="auto" w:fill="auto"/>
          </w:tcPr>
          <w:p>
            <w:pPr>
              <w:pStyle w:val="33"/>
              <w:spacing w:before="62" w:beforeLines="20" w:after="62" w:afterLines="20"/>
              <w:ind w:firstLine="0" w:firstLineChars="0"/>
              <w:jc w:val="center"/>
              <w:rPr>
                <w:rFonts w:eastAsia="宋体"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8</w:t>
            </w:r>
          </w:p>
        </w:tc>
        <w:tc>
          <w:tcPr>
            <w:tcW w:w="804" w:type="dxa"/>
            <w:vMerge w:val="continue"/>
            <w:shd w:val="clear" w:color="auto" w:fill="auto"/>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2189" w:type="dxa"/>
            <w:shd w:val="clear" w:color="auto" w:fill="auto"/>
          </w:tcPr>
          <w:p>
            <w:pPr>
              <w:pStyle w:val="33"/>
              <w:spacing w:before="62" w:beforeLines="20" w:after="62" w:afterLines="20"/>
              <w:ind w:firstLine="0" w:firstLineChars="0"/>
              <w:jc w:val="left"/>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绝缘厚度</w:t>
            </w:r>
          </w:p>
        </w:tc>
        <w:tc>
          <w:tcPr>
            <w:tcW w:w="1400" w:type="dxa"/>
            <w:tcBorders>
              <w:top w:val="single" w:color="auto" w:sz="4" w:space="0"/>
              <w:bottom w:val="single" w:color="auto" w:sz="4" w:space="0"/>
            </w:tcBorders>
            <w:shd w:val="clear" w:color="auto" w:fill="auto"/>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MT 818-2009</w:t>
            </w:r>
          </w:p>
        </w:tc>
        <w:tc>
          <w:tcPr>
            <w:tcW w:w="3515" w:type="dxa"/>
            <w:gridSpan w:val="3"/>
            <w:vMerge w:val="continue"/>
            <w:tcBorders>
              <w:right w:val="single" w:color="auto" w:sz="4" w:space="0"/>
            </w:tcBorders>
            <w:shd w:val="clear" w:color="auto" w:fill="auto"/>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1582" w:type="dxa"/>
            <w:tcBorders>
              <w:top w:val="single" w:color="auto" w:sz="4" w:space="0"/>
              <w:left w:val="single" w:color="auto" w:sz="4" w:space="0"/>
              <w:bottom w:val="single" w:color="auto" w:sz="4" w:space="0"/>
            </w:tcBorders>
            <w:shd w:val="clear" w:color="auto" w:fill="auto"/>
            <w:vAlign w:val="center"/>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MT 818-2009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1" w:type="dxa"/>
            <w:shd w:val="clear" w:color="auto" w:fill="auto"/>
          </w:tcPr>
          <w:p>
            <w:pPr>
              <w:pStyle w:val="33"/>
              <w:spacing w:before="62" w:beforeLines="20" w:after="62" w:afterLines="20"/>
              <w:ind w:firstLine="0" w:firstLineChars="0"/>
              <w:jc w:val="center"/>
              <w:rPr>
                <w:rFonts w:eastAsia="宋体"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9</w:t>
            </w:r>
          </w:p>
        </w:tc>
        <w:tc>
          <w:tcPr>
            <w:tcW w:w="804" w:type="dxa"/>
            <w:vMerge w:val="continue"/>
            <w:shd w:val="clear" w:color="auto" w:fill="auto"/>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2189" w:type="dxa"/>
            <w:shd w:val="clear" w:color="auto" w:fill="auto"/>
          </w:tcPr>
          <w:p>
            <w:pPr>
              <w:pStyle w:val="33"/>
              <w:spacing w:before="62" w:beforeLines="20" w:after="62" w:afterLines="20"/>
              <w:ind w:firstLine="0" w:firstLineChars="0"/>
              <w:jc w:val="left"/>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护套厚度</w:t>
            </w:r>
          </w:p>
        </w:tc>
        <w:tc>
          <w:tcPr>
            <w:tcW w:w="1400" w:type="dxa"/>
            <w:tcBorders>
              <w:top w:val="single" w:color="auto" w:sz="4" w:space="0"/>
              <w:bottom w:val="single" w:color="auto" w:sz="4" w:space="0"/>
            </w:tcBorders>
            <w:shd w:val="clear" w:color="auto" w:fill="auto"/>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MT 818-2009</w:t>
            </w:r>
          </w:p>
        </w:tc>
        <w:tc>
          <w:tcPr>
            <w:tcW w:w="3515" w:type="dxa"/>
            <w:gridSpan w:val="3"/>
            <w:vMerge w:val="continue"/>
            <w:tcBorders>
              <w:bottom w:val="single" w:color="auto" w:sz="4" w:space="0"/>
              <w:right w:val="single" w:color="auto" w:sz="4" w:space="0"/>
            </w:tcBorders>
            <w:shd w:val="clear" w:color="auto" w:fill="auto"/>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1582" w:type="dxa"/>
            <w:tcBorders>
              <w:top w:val="single" w:color="auto" w:sz="4" w:space="0"/>
              <w:left w:val="single" w:color="auto" w:sz="4" w:space="0"/>
              <w:bottom w:val="single" w:color="auto" w:sz="4" w:space="0"/>
            </w:tcBorders>
            <w:shd w:val="clear" w:color="auto" w:fill="auto"/>
            <w:vAlign w:val="center"/>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MT 818-2009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71" w:type="dxa"/>
            <w:shd w:val="clear" w:color="auto" w:fill="auto"/>
          </w:tcPr>
          <w:p>
            <w:pPr>
              <w:pStyle w:val="33"/>
              <w:spacing w:before="62" w:beforeLines="20" w:after="62" w:afterLines="20"/>
              <w:ind w:firstLine="0" w:firstLineChars="0"/>
              <w:jc w:val="center"/>
              <w:rPr>
                <w:rFonts w:eastAsia="宋体"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10</w:t>
            </w:r>
          </w:p>
        </w:tc>
        <w:tc>
          <w:tcPr>
            <w:tcW w:w="804" w:type="dxa"/>
            <w:vMerge w:val="continue"/>
            <w:shd w:val="clear" w:color="auto" w:fill="auto"/>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2189" w:type="dxa"/>
            <w:shd w:val="clear" w:color="auto" w:fill="auto"/>
          </w:tcPr>
          <w:p>
            <w:pPr>
              <w:pStyle w:val="33"/>
              <w:spacing w:before="62" w:beforeLines="20" w:after="62" w:afterLines="20"/>
              <w:ind w:firstLine="0" w:firstLineChars="0"/>
              <w:jc w:val="left"/>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单根垂直燃烧试验</w:t>
            </w:r>
          </w:p>
        </w:tc>
        <w:tc>
          <w:tcPr>
            <w:tcW w:w="1400" w:type="dxa"/>
            <w:tcBorders>
              <w:top w:val="single" w:color="auto" w:sz="4" w:space="0"/>
              <w:bottom w:val="single" w:color="auto" w:sz="4" w:space="0"/>
            </w:tcBorders>
            <w:shd w:val="clear" w:color="auto" w:fill="auto"/>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MT 818-2009</w:t>
            </w:r>
          </w:p>
        </w:tc>
        <w:tc>
          <w:tcPr>
            <w:tcW w:w="3515" w:type="dxa"/>
            <w:gridSpan w:val="3"/>
            <w:tcBorders>
              <w:top w:val="single" w:color="auto" w:sz="4" w:space="0"/>
              <w:bottom w:val="single" w:color="auto" w:sz="4" w:space="0"/>
              <w:right w:val="single" w:color="auto" w:sz="4" w:space="0"/>
            </w:tcBorders>
            <w:shd w:val="clear" w:color="auto" w:fill="auto"/>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符合MT/T 386标准规定</w:t>
            </w:r>
          </w:p>
        </w:tc>
        <w:tc>
          <w:tcPr>
            <w:tcW w:w="1582" w:type="dxa"/>
            <w:tcBorders>
              <w:top w:val="single" w:color="auto" w:sz="4" w:space="0"/>
              <w:left w:val="single" w:color="auto" w:sz="4" w:space="0"/>
              <w:bottom w:val="single" w:color="auto" w:sz="4" w:space="0"/>
            </w:tcBorders>
            <w:shd w:val="clear" w:color="auto" w:fill="auto"/>
            <w:vAlign w:val="center"/>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MT/T 386</w:t>
            </w:r>
          </w:p>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GB/T 18380.12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1" w:type="dxa"/>
            <w:shd w:val="clear" w:color="auto" w:fill="auto"/>
          </w:tcPr>
          <w:p>
            <w:pPr>
              <w:pStyle w:val="33"/>
              <w:spacing w:before="62" w:beforeLines="20" w:after="62" w:afterLines="20"/>
              <w:ind w:firstLine="0" w:firstLineChars="0"/>
              <w:jc w:val="center"/>
              <w:rPr>
                <w:rFonts w:eastAsia="宋体"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11</w:t>
            </w:r>
          </w:p>
        </w:tc>
        <w:tc>
          <w:tcPr>
            <w:tcW w:w="804" w:type="dxa"/>
            <w:vMerge w:val="continue"/>
            <w:shd w:val="clear" w:color="auto" w:fill="auto"/>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2189" w:type="dxa"/>
            <w:shd w:val="clear" w:color="auto" w:fill="auto"/>
          </w:tcPr>
          <w:p>
            <w:pPr>
              <w:pStyle w:val="33"/>
              <w:spacing w:before="62" w:beforeLines="20" w:after="62" w:afterLines="20"/>
              <w:ind w:firstLine="0" w:firstLineChars="0"/>
              <w:jc w:val="left"/>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负载条件下燃烧试验</w:t>
            </w:r>
          </w:p>
        </w:tc>
        <w:tc>
          <w:tcPr>
            <w:tcW w:w="1400" w:type="dxa"/>
            <w:tcBorders>
              <w:top w:val="single" w:color="auto" w:sz="4" w:space="0"/>
              <w:bottom w:val="single" w:color="auto" w:sz="4" w:space="0"/>
            </w:tcBorders>
            <w:shd w:val="clear" w:color="auto" w:fill="auto"/>
          </w:tcPr>
          <w:p>
            <w:pPr>
              <w:pStyle w:val="33"/>
              <w:spacing w:before="62" w:beforeLines="20" w:after="62" w:afterLines="20"/>
              <w:ind w:firstLine="0" w:firstLineChars="0"/>
              <w:jc w:val="center"/>
              <w:rPr>
                <w:rFonts w:eastAsia="宋体"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MT 818-2009</w:t>
            </w:r>
          </w:p>
        </w:tc>
        <w:tc>
          <w:tcPr>
            <w:tcW w:w="3515" w:type="dxa"/>
            <w:gridSpan w:val="3"/>
            <w:tcBorders>
              <w:top w:val="single" w:color="auto" w:sz="4" w:space="0"/>
              <w:bottom w:val="single" w:color="auto" w:sz="4" w:space="0"/>
              <w:right w:val="single" w:color="auto" w:sz="4" w:space="0"/>
            </w:tcBorders>
            <w:shd w:val="clear" w:color="auto" w:fill="auto"/>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符合MT/T 386标准规定</w:t>
            </w:r>
          </w:p>
        </w:tc>
        <w:tc>
          <w:tcPr>
            <w:tcW w:w="1582" w:type="dxa"/>
            <w:tcBorders>
              <w:top w:val="single" w:color="auto" w:sz="4" w:space="0"/>
              <w:left w:val="single" w:color="auto" w:sz="4" w:space="0"/>
            </w:tcBorders>
            <w:shd w:val="clear" w:color="auto" w:fill="auto"/>
            <w:vAlign w:val="center"/>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MT/T 386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1" w:type="dxa"/>
            <w:shd w:val="clear" w:color="auto" w:fill="auto"/>
            <w:vAlign w:val="center"/>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12</w:t>
            </w:r>
          </w:p>
        </w:tc>
        <w:tc>
          <w:tcPr>
            <w:tcW w:w="804" w:type="dxa"/>
            <w:vMerge w:val="continue"/>
            <w:shd w:val="clear" w:color="auto" w:fill="auto"/>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2189" w:type="dxa"/>
            <w:shd w:val="clear" w:color="auto" w:fill="auto"/>
          </w:tcPr>
          <w:p>
            <w:pPr>
              <w:pStyle w:val="33"/>
              <w:spacing w:before="62" w:beforeLines="20" w:after="62" w:afterLines="20"/>
              <w:ind w:firstLine="0" w:firstLineChars="0"/>
              <w:jc w:val="left"/>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成束燃烧试验</w:t>
            </w:r>
          </w:p>
        </w:tc>
        <w:tc>
          <w:tcPr>
            <w:tcW w:w="1400" w:type="dxa"/>
            <w:tcBorders>
              <w:top w:val="single" w:color="auto" w:sz="4" w:space="0"/>
            </w:tcBorders>
            <w:shd w:val="clear" w:color="auto" w:fill="auto"/>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MT 818-2009</w:t>
            </w:r>
          </w:p>
        </w:tc>
        <w:tc>
          <w:tcPr>
            <w:tcW w:w="3515" w:type="dxa"/>
            <w:gridSpan w:val="3"/>
            <w:tcBorders>
              <w:top w:val="single" w:color="auto" w:sz="4" w:space="0"/>
              <w:right w:val="single" w:color="auto" w:sz="4" w:space="0"/>
            </w:tcBorders>
            <w:shd w:val="clear" w:color="auto" w:fill="auto"/>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符合MT/T 386标准规定</w:t>
            </w:r>
          </w:p>
        </w:tc>
        <w:tc>
          <w:tcPr>
            <w:tcW w:w="1582" w:type="dxa"/>
            <w:tcBorders>
              <w:top w:val="single" w:color="auto" w:sz="4" w:space="0"/>
              <w:left w:val="single" w:color="auto" w:sz="4" w:space="0"/>
            </w:tcBorders>
            <w:shd w:val="clear" w:color="auto" w:fill="auto"/>
            <w:vAlign w:val="center"/>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MT/T 386</w:t>
            </w:r>
          </w:p>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GB/T 18380.32</w:t>
            </w:r>
          </w:p>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黑体" w:hAnsi="黑体" w:eastAsia="黑体" w:cs="黑体"/>
                <w:bCs/>
                <w:color w:val="000000" w:themeColor="text1"/>
                <w:szCs w:val="21"/>
                <w:highlight w:val="none"/>
                <w14:textFill>
                  <w14:solidFill>
                    <w14:schemeClr w14:val="tx1"/>
                  </w14:solidFill>
                </w14:textFill>
              </w:rPr>
              <w:t>～</w:t>
            </w:r>
            <w:r>
              <w:rPr>
                <w:rFonts w:hint="eastAsia" w:asciiTheme="minorEastAsia" w:hAnsiTheme="minorEastAsia" w:cstheme="majorEastAsia"/>
                <w:bCs/>
                <w:color w:val="000000" w:themeColor="text1"/>
                <w:szCs w:val="21"/>
                <w:highlight w:val="none"/>
                <w14:textFill>
                  <w14:solidFill>
                    <w14:schemeClr w14:val="tx1"/>
                  </w14:solidFill>
                </w14:textFill>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1" w:type="dxa"/>
            <w:shd w:val="clear" w:color="auto" w:fill="auto"/>
            <w:vAlign w:val="center"/>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13</w:t>
            </w:r>
          </w:p>
        </w:tc>
        <w:tc>
          <w:tcPr>
            <w:tcW w:w="804" w:type="dxa"/>
            <w:vMerge w:val="restart"/>
            <w:shd w:val="clear" w:color="auto" w:fill="auto"/>
            <w:vAlign w:val="center"/>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核心指标</w:t>
            </w:r>
          </w:p>
        </w:tc>
        <w:tc>
          <w:tcPr>
            <w:tcW w:w="2189" w:type="dxa"/>
            <w:shd w:val="clear" w:color="auto" w:fill="auto"/>
          </w:tcPr>
          <w:p>
            <w:pPr>
              <w:pStyle w:val="33"/>
              <w:spacing w:before="62" w:beforeLines="20" w:after="62" w:afterLines="20"/>
              <w:ind w:firstLine="0" w:firstLineChars="0"/>
              <w:jc w:val="left"/>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过渡电阻</w:t>
            </w:r>
          </w:p>
        </w:tc>
        <w:tc>
          <w:tcPr>
            <w:tcW w:w="1400" w:type="dxa"/>
            <w:tcBorders>
              <w:top w:val="single" w:color="auto" w:sz="4" w:space="0"/>
            </w:tcBorders>
            <w:shd w:val="clear" w:color="auto" w:fill="auto"/>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MT 818-2009</w:t>
            </w:r>
          </w:p>
        </w:tc>
        <w:tc>
          <w:tcPr>
            <w:tcW w:w="1196" w:type="dxa"/>
            <w:tcBorders>
              <w:right w:val="single" w:color="auto" w:sz="4" w:space="0"/>
            </w:tcBorders>
            <w:shd w:val="clear" w:color="auto" w:fill="auto"/>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hAnsi="宋体" w:eastAsia="宋体" w:cs="宋体"/>
                <w:bCs/>
                <w:color w:val="000000" w:themeColor="text1"/>
                <w:szCs w:val="21"/>
                <w:highlight w:val="none"/>
                <w14:textFill>
                  <w14:solidFill>
                    <w14:schemeClr w14:val="tx1"/>
                  </w14:solidFill>
                </w14:textFill>
              </w:rPr>
              <w:t>＜</w:t>
            </w:r>
            <w:r>
              <w:rPr>
                <w:rFonts w:hint="eastAsia" w:asciiTheme="minorEastAsia" w:hAnsiTheme="minorEastAsia" w:cstheme="majorEastAsia"/>
                <w:bCs/>
                <w:color w:val="000000" w:themeColor="text1"/>
                <w:szCs w:val="21"/>
                <w:highlight w:val="none"/>
                <w14:textFill>
                  <w14:solidFill>
                    <w14:schemeClr w14:val="tx1"/>
                  </w14:solidFill>
                </w14:textFill>
              </w:rPr>
              <w:t>1k</w:t>
            </w:r>
            <w:r>
              <w:rPr>
                <w:rFonts w:hint="eastAsia" w:hAnsi="宋体" w:eastAsia="宋体" w:cs="宋体"/>
                <w:bCs/>
                <w:color w:val="000000" w:themeColor="text1"/>
                <w:szCs w:val="21"/>
                <w:highlight w:val="none"/>
                <w14:textFill>
                  <w14:solidFill>
                    <w14:schemeClr w14:val="tx1"/>
                  </w14:solidFill>
                </w14:textFill>
              </w:rPr>
              <w:t>Ω</w:t>
            </w:r>
          </w:p>
        </w:tc>
        <w:tc>
          <w:tcPr>
            <w:tcW w:w="1203" w:type="dxa"/>
            <w:tcBorders>
              <w:left w:val="single" w:color="auto" w:sz="4" w:space="0"/>
              <w:right w:val="single" w:color="auto" w:sz="4" w:space="0"/>
            </w:tcBorders>
            <w:shd w:val="clear" w:color="auto" w:fill="auto"/>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1k-2k</w:t>
            </w:r>
            <w:r>
              <w:rPr>
                <w:rFonts w:hint="eastAsia" w:hAnsi="宋体" w:eastAsia="宋体" w:cs="宋体"/>
                <w:bCs/>
                <w:color w:val="000000" w:themeColor="text1"/>
                <w:szCs w:val="21"/>
                <w:highlight w:val="none"/>
                <w14:textFill>
                  <w14:solidFill>
                    <w14:schemeClr w14:val="tx1"/>
                  </w14:solidFill>
                </w14:textFill>
              </w:rPr>
              <w:t>Ω</w:t>
            </w:r>
          </w:p>
        </w:tc>
        <w:tc>
          <w:tcPr>
            <w:tcW w:w="1116" w:type="dxa"/>
            <w:tcBorders>
              <w:left w:val="single" w:color="auto" w:sz="4" w:space="0"/>
              <w:right w:val="single" w:color="auto" w:sz="4" w:space="0"/>
            </w:tcBorders>
            <w:shd w:val="clear" w:color="auto" w:fill="auto"/>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2k-3k</w:t>
            </w:r>
            <w:r>
              <w:rPr>
                <w:rFonts w:hint="eastAsia" w:hAnsi="宋体" w:eastAsia="宋体" w:cs="宋体"/>
                <w:bCs/>
                <w:color w:val="000000" w:themeColor="text1"/>
                <w:szCs w:val="21"/>
                <w:highlight w:val="none"/>
                <w14:textFill>
                  <w14:solidFill>
                    <w14:schemeClr w14:val="tx1"/>
                  </w14:solidFill>
                </w14:textFill>
              </w:rPr>
              <w:t>Ω</w:t>
            </w:r>
          </w:p>
        </w:tc>
        <w:tc>
          <w:tcPr>
            <w:tcW w:w="1582" w:type="dxa"/>
            <w:tcBorders>
              <w:top w:val="single" w:color="auto" w:sz="4" w:space="0"/>
              <w:left w:val="single" w:color="auto" w:sz="4" w:space="0"/>
            </w:tcBorders>
            <w:shd w:val="clear" w:color="auto" w:fill="auto"/>
            <w:vAlign w:val="center"/>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MT 818-2009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jc w:val="center"/>
        </w:trPr>
        <w:tc>
          <w:tcPr>
            <w:tcW w:w="471" w:type="dxa"/>
            <w:shd w:val="clear" w:color="auto" w:fill="auto"/>
            <w:vAlign w:val="center"/>
          </w:tcPr>
          <w:p>
            <w:pPr>
              <w:pStyle w:val="33"/>
              <w:spacing w:before="62" w:beforeLines="20" w:after="62" w:afterLines="20"/>
              <w:ind w:firstLine="0" w:firstLineChars="0"/>
              <w:jc w:val="center"/>
              <w:rPr>
                <w:rFonts w:eastAsia="宋体"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14</w:t>
            </w:r>
          </w:p>
        </w:tc>
        <w:tc>
          <w:tcPr>
            <w:tcW w:w="804" w:type="dxa"/>
            <w:vMerge w:val="continue"/>
            <w:shd w:val="clear" w:color="auto" w:fill="auto"/>
            <w:vAlign w:val="center"/>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2189" w:type="dxa"/>
            <w:shd w:val="clear" w:color="auto" w:fill="auto"/>
            <w:vAlign w:val="center"/>
          </w:tcPr>
          <w:p>
            <w:pPr>
              <w:pStyle w:val="33"/>
              <w:spacing w:before="62" w:beforeLines="20" w:after="62" w:afterLines="20"/>
              <w:ind w:firstLine="0" w:firstLineChars="0"/>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护套老化前拉力试验</w:t>
            </w:r>
          </w:p>
          <w:p>
            <w:pPr>
              <w:pStyle w:val="33"/>
              <w:spacing w:before="62" w:beforeLines="20" w:after="62" w:afterLines="20"/>
              <w:ind w:firstLine="0" w:firstLineChars="0"/>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抗张强度</w:t>
            </w:r>
          </w:p>
        </w:tc>
        <w:tc>
          <w:tcPr>
            <w:tcW w:w="1400" w:type="dxa"/>
            <w:shd w:val="clear" w:color="auto" w:fill="auto"/>
            <w:vAlign w:val="center"/>
          </w:tcPr>
          <w:p>
            <w:pPr>
              <w:pStyle w:val="33"/>
              <w:spacing w:before="62" w:beforeLines="20" w:after="62" w:afterLines="20"/>
              <w:ind w:firstLine="0" w:firstLineChars="0"/>
              <w:jc w:val="center"/>
              <w:rPr>
                <w:rFonts w:eastAsia="宋体"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MT 818-2009</w:t>
            </w:r>
          </w:p>
        </w:tc>
        <w:tc>
          <w:tcPr>
            <w:tcW w:w="1196" w:type="dxa"/>
            <w:tcBorders>
              <w:right w:val="single" w:color="auto" w:sz="4" w:space="0"/>
            </w:tcBorders>
            <w:shd w:val="clear" w:color="auto" w:fill="auto"/>
            <w:vAlign w:val="center"/>
          </w:tcPr>
          <w:p>
            <w:pPr>
              <w:pStyle w:val="33"/>
              <w:ind w:left="-105" w:leftChars="-50" w:right="-105" w:rightChars="-50"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hAnsi="宋体" w:eastAsia="宋体" w:cs="宋体"/>
                <w:bCs/>
                <w:color w:val="000000" w:themeColor="text1"/>
                <w:szCs w:val="21"/>
                <w:highlight w:val="none"/>
                <w14:textFill>
                  <w14:solidFill>
                    <w14:schemeClr w14:val="tx1"/>
                  </w14:solidFill>
                </w14:textFill>
              </w:rPr>
              <w:t>＞</w:t>
            </w:r>
            <w:r>
              <w:rPr>
                <w:rFonts w:hint="eastAsia" w:asciiTheme="minorEastAsia" w:hAnsiTheme="minorEastAsia" w:cstheme="majorEastAsia"/>
                <w:bCs/>
                <w:color w:val="000000" w:themeColor="text1"/>
                <w:szCs w:val="21"/>
                <w:highlight w:val="none"/>
                <w14:textFill>
                  <w14:solidFill>
                    <w14:schemeClr w14:val="tx1"/>
                  </w14:solidFill>
                </w14:textFill>
              </w:rPr>
              <w:t>15N/mm</w:t>
            </w:r>
            <w:r>
              <w:rPr>
                <w:rFonts w:hint="eastAsia" w:asciiTheme="minorEastAsia" w:hAnsiTheme="minorEastAsia" w:cstheme="majorEastAsia"/>
                <w:bCs/>
                <w:color w:val="000000" w:themeColor="text1"/>
                <w:szCs w:val="21"/>
                <w:highlight w:val="none"/>
                <w:vertAlign w:val="superscript"/>
                <w14:textFill>
                  <w14:solidFill>
                    <w14:schemeClr w14:val="tx1"/>
                  </w14:solidFill>
                </w14:textFill>
              </w:rPr>
              <w:t>2</w:t>
            </w:r>
          </w:p>
        </w:tc>
        <w:tc>
          <w:tcPr>
            <w:tcW w:w="1203" w:type="dxa"/>
            <w:tcBorders>
              <w:left w:val="single" w:color="auto" w:sz="4" w:space="0"/>
              <w:right w:val="single" w:color="auto" w:sz="4" w:space="0"/>
            </w:tcBorders>
            <w:shd w:val="clear" w:color="auto" w:fill="auto"/>
            <w:vAlign w:val="center"/>
          </w:tcPr>
          <w:p>
            <w:pPr>
              <w:pStyle w:val="33"/>
              <w:ind w:left="-105" w:leftChars="-50" w:right="-105" w:rightChars="-50"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12</w:t>
            </w:r>
            <w:r>
              <w:rPr>
                <w:rFonts w:hint="eastAsia" w:ascii="黑体" w:hAnsi="黑体" w:eastAsia="黑体" w:cs="黑体"/>
                <w:bCs/>
                <w:color w:val="000000" w:themeColor="text1"/>
                <w:szCs w:val="21"/>
                <w:highlight w:val="none"/>
                <w14:textFill>
                  <w14:solidFill>
                    <w14:schemeClr w14:val="tx1"/>
                  </w14:solidFill>
                </w14:textFill>
              </w:rPr>
              <w:t>～</w:t>
            </w:r>
            <w:r>
              <w:rPr>
                <w:rFonts w:hint="eastAsia" w:asciiTheme="minorEastAsia" w:hAnsiTheme="minorEastAsia" w:cstheme="majorEastAsia"/>
                <w:bCs/>
                <w:color w:val="000000" w:themeColor="text1"/>
                <w:szCs w:val="21"/>
                <w:highlight w:val="none"/>
                <w14:textFill>
                  <w14:solidFill>
                    <w14:schemeClr w14:val="tx1"/>
                  </w14:solidFill>
                </w14:textFill>
              </w:rPr>
              <w:t>15N/mm</w:t>
            </w:r>
            <w:r>
              <w:rPr>
                <w:rFonts w:hint="eastAsia" w:asciiTheme="minorEastAsia" w:hAnsiTheme="minorEastAsia" w:cstheme="majorEastAsia"/>
                <w:bCs/>
                <w:color w:val="000000" w:themeColor="text1"/>
                <w:szCs w:val="21"/>
                <w:highlight w:val="none"/>
                <w:vertAlign w:val="superscript"/>
                <w14:textFill>
                  <w14:solidFill>
                    <w14:schemeClr w14:val="tx1"/>
                  </w14:solidFill>
                </w14:textFill>
              </w:rPr>
              <w:t>2</w:t>
            </w:r>
          </w:p>
        </w:tc>
        <w:tc>
          <w:tcPr>
            <w:tcW w:w="1116" w:type="dxa"/>
            <w:tcBorders>
              <w:left w:val="single" w:color="auto" w:sz="4" w:space="0"/>
              <w:right w:val="single" w:color="auto" w:sz="4" w:space="0"/>
            </w:tcBorders>
            <w:shd w:val="clear" w:color="auto" w:fill="auto"/>
            <w:vAlign w:val="center"/>
          </w:tcPr>
          <w:p>
            <w:pPr>
              <w:pStyle w:val="33"/>
              <w:ind w:left="-105" w:leftChars="-50" w:right="-105" w:rightChars="-50"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hAnsi="宋体" w:eastAsia="宋体" w:cs="宋体"/>
                <w:bCs/>
                <w:color w:val="000000" w:themeColor="text1"/>
                <w:szCs w:val="21"/>
                <w:highlight w:val="none"/>
                <w14:textFill>
                  <w14:solidFill>
                    <w14:schemeClr w14:val="tx1"/>
                  </w14:solidFill>
                </w14:textFill>
              </w:rPr>
              <w:t>＜</w:t>
            </w:r>
            <w:r>
              <w:rPr>
                <w:rFonts w:hint="eastAsia" w:asciiTheme="minorEastAsia" w:hAnsiTheme="minorEastAsia" w:cstheme="majorEastAsia"/>
                <w:bCs/>
                <w:color w:val="000000" w:themeColor="text1"/>
                <w:szCs w:val="21"/>
                <w:highlight w:val="none"/>
                <w14:textFill>
                  <w14:solidFill>
                    <w14:schemeClr w14:val="tx1"/>
                  </w14:solidFill>
                </w14:textFill>
              </w:rPr>
              <w:t>12N/mm</w:t>
            </w:r>
            <w:r>
              <w:rPr>
                <w:rFonts w:hint="eastAsia" w:asciiTheme="minorEastAsia" w:hAnsiTheme="minorEastAsia" w:cstheme="majorEastAsia"/>
                <w:bCs/>
                <w:color w:val="000000" w:themeColor="text1"/>
                <w:szCs w:val="21"/>
                <w:highlight w:val="none"/>
                <w:vertAlign w:val="superscript"/>
                <w14:textFill>
                  <w14:solidFill>
                    <w14:schemeClr w14:val="tx1"/>
                  </w14:solidFill>
                </w14:textFill>
              </w:rPr>
              <w:t>2</w:t>
            </w:r>
          </w:p>
        </w:tc>
        <w:tc>
          <w:tcPr>
            <w:tcW w:w="1582" w:type="dxa"/>
            <w:tcBorders>
              <w:left w:val="single" w:color="auto" w:sz="4" w:space="0"/>
            </w:tcBorders>
            <w:shd w:val="clear" w:color="auto" w:fill="auto"/>
            <w:vAlign w:val="center"/>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GB/T 2951.1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471" w:type="dxa"/>
            <w:shd w:val="clear" w:color="auto" w:fill="auto"/>
            <w:vAlign w:val="center"/>
          </w:tcPr>
          <w:p>
            <w:pPr>
              <w:pStyle w:val="33"/>
              <w:spacing w:before="62" w:beforeLines="20" w:after="62" w:afterLines="20"/>
              <w:ind w:firstLine="0" w:firstLineChars="0"/>
              <w:jc w:val="center"/>
              <w:rPr>
                <w:rFonts w:eastAsia="宋体"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15</w:t>
            </w:r>
          </w:p>
        </w:tc>
        <w:tc>
          <w:tcPr>
            <w:tcW w:w="804" w:type="dxa"/>
            <w:vMerge w:val="continue"/>
            <w:shd w:val="clear" w:color="auto" w:fill="auto"/>
            <w:vAlign w:val="center"/>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2189" w:type="dxa"/>
            <w:shd w:val="clear" w:color="auto" w:fill="auto"/>
            <w:vAlign w:val="center"/>
          </w:tcPr>
          <w:p>
            <w:pPr>
              <w:pStyle w:val="33"/>
              <w:spacing w:before="62" w:beforeLines="20" w:after="62" w:afterLines="20"/>
              <w:ind w:firstLine="0" w:firstLineChars="0"/>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护套老化前拉力试验</w:t>
            </w:r>
          </w:p>
          <w:p>
            <w:pPr>
              <w:pStyle w:val="33"/>
              <w:spacing w:before="62" w:beforeLines="20" w:after="62" w:afterLines="20"/>
              <w:ind w:firstLine="0" w:firstLineChars="0"/>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断裂伸长率</w:t>
            </w:r>
          </w:p>
        </w:tc>
        <w:tc>
          <w:tcPr>
            <w:tcW w:w="1400" w:type="dxa"/>
            <w:shd w:val="clear" w:color="auto" w:fill="auto"/>
            <w:vAlign w:val="center"/>
          </w:tcPr>
          <w:p>
            <w:pPr>
              <w:pStyle w:val="33"/>
              <w:spacing w:before="62" w:beforeLines="20" w:after="62" w:afterLines="20"/>
              <w:ind w:firstLine="0" w:firstLineChars="0"/>
              <w:jc w:val="center"/>
              <w:rPr>
                <w:rFonts w:eastAsia="宋体"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MT 818-2009</w:t>
            </w:r>
          </w:p>
        </w:tc>
        <w:tc>
          <w:tcPr>
            <w:tcW w:w="1196" w:type="dxa"/>
            <w:shd w:val="clear" w:color="auto" w:fill="auto"/>
            <w:vAlign w:val="center"/>
          </w:tcPr>
          <w:p>
            <w:pPr>
              <w:pStyle w:val="33"/>
              <w:ind w:left="-105" w:leftChars="-50" w:right="-105" w:rightChars="-50"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hAnsi="宋体" w:eastAsia="宋体" w:cs="宋体"/>
                <w:bCs/>
                <w:color w:val="000000" w:themeColor="text1"/>
                <w:szCs w:val="21"/>
                <w:highlight w:val="none"/>
                <w14:textFill>
                  <w14:solidFill>
                    <w14:schemeClr w14:val="tx1"/>
                  </w14:solidFill>
                </w14:textFill>
              </w:rPr>
              <w:t>＞</w:t>
            </w:r>
            <w:r>
              <w:rPr>
                <w:rFonts w:hint="eastAsia" w:asciiTheme="minorEastAsia" w:hAnsiTheme="minorEastAsia" w:cstheme="majorEastAsia"/>
                <w:bCs/>
                <w:color w:val="000000" w:themeColor="text1"/>
                <w:szCs w:val="21"/>
                <w:highlight w:val="none"/>
                <w14:textFill>
                  <w14:solidFill>
                    <w14:schemeClr w14:val="tx1"/>
                  </w14:solidFill>
                </w14:textFill>
              </w:rPr>
              <w:t>500%</w:t>
            </w:r>
          </w:p>
        </w:tc>
        <w:tc>
          <w:tcPr>
            <w:tcW w:w="1203" w:type="dxa"/>
            <w:shd w:val="clear" w:color="auto" w:fill="auto"/>
            <w:vAlign w:val="center"/>
          </w:tcPr>
          <w:p>
            <w:pPr>
              <w:pStyle w:val="33"/>
              <w:ind w:left="-105" w:leftChars="-50" w:right="-105" w:rightChars="-50"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400～500%</w:t>
            </w:r>
          </w:p>
        </w:tc>
        <w:tc>
          <w:tcPr>
            <w:tcW w:w="1116" w:type="dxa"/>
            <w:tcBorders>
              <w:right w:val="single" w:color="auto" w:sz="4" w:space="0"/>
            </w:tcBorders>
            <w:shd w:val="clear" w:color="auto" w:fill="auto"/>
            <w:vAlign w:val="center"/>
          </w:tcPr>
          <w:p>
            <w:pPr>
              <w:pStyle w:val="33"/>
              <w:ind w:left="-105" w:leftChars="-50" w:right="-105" w:rightChars="-50"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300～400%</w:t>
            </w:r>
          </w:p>
        </w:tc>
        <w:tc>
          <w:tcPr>
            <w:tcW w:w="1582" w:type="dxa"/>
            <w:tcBorders>
              <w:left w:val="single" w:color="auto" w:sz="4" w:space="0"/>
            </w:tcBorders>
            <w:shd w:val="clear" w:color="auto" w:fill="auto"/>
            <w:vAlign w:val="center"/>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GB/T 2951.1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471" w:type="dxa"/>
            <w:shd w:val="clear" w:color="auto" w:fill="auto"/>
            <w:vAlign w:val="center"/>
          </w:tcPr>
          <w:p>
            <w:pPr>
              <w:pStyle w:val="33"/>
              <w:spacing w:before="62" w:beforeLines="20" w:after="62" w:afterLines="20"/>
              <w:ind w:firstLine="0" w:firstLineChars="0"/>
              <w:jc w:val="center"/>
              <w:rPr>
                <w:rFonts w:eastAsia="宋体"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16</w:t>
            </w:r>
          </w:p>
        </w:tc>
        <w:tc>
          <w:tcPr>
            <w:tcW w:w="804" w:type="dxa"/>
            <w:vMerge w:val="restart"/>
            <w:shd w:val="clear" w:color="auto" w:fill="auto"/>
            <w:vAlign w:val="center"/>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创新性指标</w:t>
            </w:r>
          </w:p>
        </w:tc>
        <w:tc>
          <w:tcPr>
            <w:tcW w:w="2189" w:type="dxa"/>
            <w:shd w:val="clear" w:color="auto" w:fill="auto"/>
            <w:vAlign w:val="center"/>
          </w:tcPr>
          <w:p>
            <w:pPr>
              <w:pStyle w:val="33"/>
              <w:spacing w:before="62" w:beforeLines="20" w:after="62" w:afterLines="20"/>
              <w:ind w:firstLine="0" w:firstLineChars="0"/>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护套200%定伸强度</w:t>
            </w:r>
          </w:p>
        </w:tc>
        <w:tc>
          <w:tcPr>
            <w:tcW w:w="1400" w:type="dxa"/>
            <w:shd w:val="clear" w:color="auto" w:fill="auto"/>
            <w:vAlign w:val="center"/>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AS/NZS 3808</w:t>
            </w:r>
          </w:p>
        </w:tc>
        <w:tc>
          <w:tcPr>
            <w:tcW w:w="1196" w:type="dxa"/>
            <w:shd w:val="clear" w:color="auto" w:fill="auto"/>
            <w:vAlign w:val="center"/>
          </w:tcPr>
          <w:p>
            <w:pPr>
              <w:pStyle w:val="33"/>
              <w:ind w:left="-105" w:leftChars="-50" w:right="-105" w:rightChars="-50" w:firstLine="0" w:firstLineChars="0"/>
              <w:jc w:val="center"/>
              <w:rPr>
                <w:rFonts w:eastAsia="宋体" w:asciiTheme="minorEastAsia" w:hAnsiTheme="minorEastAsia" w:cstheme="majorEastAsia"/>
                <w:bCs/>
                <w:color w:val="000000" w:themeColor="text1"/>
                <w:szCs w:val="21"/>
                <w:highlight w:val="none"/>
                <w14:textFill>
                  <w14:solidFill>
                    <w14:schemeClr w14:val="tx1"/>
                  </w14:solidFill>
                </w14:textFill>
              </w:rPr>
            </w:pPr>
            <w:r>
              <w:rPr>
                <w:rFonts w:hint="eastAsia" w:hAnsi="宋体" w:eastAsia="宋体" w:cs="宋体"/>
                <w:bCs/>
                <w:color w:val="000000" w:themeColor="text1"/>
                <w:szCs w:val="21"/>
                <w:highlight w:val="none"/>
                <w14:textFill>
                  <w14:solidFill>
                    <w14:schemeClr w14:val="tx1"/>
                  </w14:solidFill>
                </w14:textFill>
              </w:rPr>
              <w:t>＞</w:t>
            </w:r>
            <w:r>
              <w:rPr>
                <w:rFonts w:hint="eastAsia" w:asciiTheme="minorEastAsia" w:hAnsiTheme="minorEastAsia" w:cstheme="majorEastAsia"/>
                <w:bCs/>
                <w:color w:val="000000" w:themeColor="text1"/>
                <w:szCs w:val="21"/>
                <w:highlight w:val="none"/>
                <w14:textFill>
                  <w14:solidFill>
                    <w14:schemeClr w14:val="tx1"/>
                  </w14:solidFill>
                </w14:textFill>
              </w:rPr>
              <w:t>5.0N/mm</w:t>
            </w:r>
            <w:r>
              <w:rPr>
                <w:rFonts w:hint="eastAsia" w:asciiTheme="minorEastAsia" w:hAnsiTheme="minorEastAsia" w:cstheme="majorEastAsia"/>
                <w:bCs/>
                <w:color w:val="000000" w:themeColor="text1"/>
                <w:szCs w:val="21"/>
                <w:highlight w:val="none"/>
                <w:vertAlign w:val="superscript"/>
                <w14:textFill>
                  <w14:solidFill>
                    <w14:schemeClr w14:val="tx1"/>
                  </w14:solidFill>
                </w14:textFill>
              </w:rPr>
              <w:t>2</w:t>
            </w:r>
          </w:p>
        </w:tc>
        <w:tc>
          <w:tcPr>
            <w:tcW w:w="1203" w:type="dxa"/>
            <w:shd w:val="clear" w:color="auto" w:fill="auto"/>
            <w:vAlign w:val="center"/>
          </w:tcPr>
          <w:p>
            <w:pPr>
              <w:pStyle w:val="33"/>
              <w:ind w:left="-105" w:leftChars="-50" w:right="-105" w:rightChars="-50" w:firstLine="0" w:firstLineChars="0"/>
              <w:jc w:val="center"/>
              <w:rPr>
                <w:rFonts w:eastAsia="宋体"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3.5</w:t>
            </w:r>
            <w:r>
              <w:rPr>
                <w:rFonts w:hint="eastAsia" w:ascii="黑体" w:hAnsi="黑体" w:eastAsia="黑体" w:cs="黑体"/>
                <w:bCs/>
                <w:color w:val="000000" w:themeColor="text1"/>
                <w:szCs w:val="21"/>
                <w:highlight w:val="none"/>
                <w14:textFill>
                  <w14:solidFill>
                    <w14:schemeClr w14:val="tx1"/>
                  </w14:solidFill>
                </w14:textFill>
              </w:rPr>
              <w:t>～</w:t>
            </w:r>
            <w:r>
              <w:rPr>
                <w:rFonts w:hint="eastAsia" w:asciiTheme="minorEastAsia" w:hAnsiTheme="minorEastAsia" w:cstheme="majorEastAsia"/>
                <w:bCs/>
                <w:color w:val="000000" w:themeColor="text1"/>
                <w:szCs w:val="21"/>
                <w:highlight w:val="none"/>
                <w14:textFill>
                  <w14:solidFill>
                    <w14:schemeClr w14:val="tx1"/>
                  </w14:solidFill>
                </w14:textFill>
              </w:rPr>
              <w:t>5.0N/mm</w:t>
            </w:r>
            <w:r>
              <w:rPr>
                <w:rFonts w:hint="eastAsia" w:asciiTheme="minorEastAsia" w:hAnsiTheme="minorEastAsia" w:cstheme="majorEastAsia"/>
                <w:bCs/>
                <w:color w:val="000000" w:themeColor="text1"/>
                <w:szCs w:val="21"/>
                <w:highlight w:val="none"/>
                <w:vertAlign w:val="superscript"/>
                <w14:textFill>
                  <w14:solidFill>
                    <w14:schemeClr w14:val="tx1"/>
                  </w14:solidFill>
                </w14:textFill>
              </w:rPr>
              <w:t>2</w:t>
            </w:r>
          </w:p>
        </w:tc>
        <w:tc>
          <w:tcPr>
            <w:tcW w:w="1116" w:type="dxa"/>
            <w:tcBorders>
              <w:right w:val="single" w:color="auto" w:sz="4" w:space="0"/>
            </w:tcBorders>
            <w:shd w:val="clear" w:color="auto" w:fill="auto"/>
            <w:vAlign w:val="center"/>
          </w:tcPr>
          <w:p>
            <w:pPr>
              <w:pStyle w:val="33"/>
              <w:ind w:left="-105" w:leftChars="-50" w:right="-105" w:rightChars="-50" w:firstLine="0" w:firstLineChars="0"/>
              <w:jc w:val="center"/>
              <w:rPr>
                <w:rFonts w:hint="eastAsia" w:eastAsia="宋体" w:asciiTheme="minorEastAsia" w:hAnsiTheme="minorEastAsia" w:cstheme="majorEastAsia"/>
                <w:bCs/>
                <w:color w:val="000000" w:themeColor="text1"/>
                <w:szCs w:val="21"/>
                <w:highlight w:val="none"/>
                <w:lang w:eastAsia="zh-CN"/>
                <w14:textFill>
                  <w14:solidFill>
                    <w14:schemeClr w14:val="tx1"/>
                  </w14:solidFill>
                </w14:textFill>
              </w:rPr>
            </w:pPr>
          </w:p>
          <w:p>
            <w:pPr>
              <w:pStyle w:val="33"/>
              <w:ind w:left="-105" w:leftChars="-50" w:right="-105" w:rightChars="-50" w:firstLine="0" w:firstLineChars="0"/>
              <w:jc w:val="center"/>
              <w:rPr>
                <w:rFonts w:eastAsia="宋体" w:asciiTheme="minorEastAsia" w:hAnsiTheme="minorEastAsia" w:cstheme="majorEastAsia"/>
                <w:bCs/>
                <w:color w:val="000000" w:themeColor="text1"/>
                <w:szCs w:val="21"/>
                <w:highlight w:val="none"/>
                <w14:textFill>
                  <w14:solidFill>
                    <w14:schemeClr w14:val="tx1"/>
                  </w14:solidFill>
                </w14:textFill>
              </w:rPr>
            </w:pPr>
            <w:r>
              <w:rPr>
                <w:rFonts w:hint="eastAsia" w:eastAsia="宋体" w:asciiTheme="minorEastAsia" w:hAnsiTheme="minorEastAsia" w:cstheme="majorEastAsia"/>
                <w:bCs/>
                <w:color w:val="000000" w:themeColor="text1"/>
                <w:szCs w:val="21"/>
                <w:highlight w:val="none"/>
                <w14:textFill>
                  <w14:solidFill>
                    <w14:schemeClr w14:val="tx1"/>
                  </w14:solidFill>
                </w14:textFill>
              </w:rPr>
              <w:t>——</w:t>
            </w:r>
          </w:p>
        </w:tc>
        <w:tc>
          <w:tcPr>
            <w:tcW w:w="1582" w:type="dxa"/>
            <w:tcBorders>
              <w:left w:val="single" w:color="auto" w:sz="4" w:space="0"/>
            </w:tcBorders>
            <w:shd w:val="clear" w:color="auto" w:fill="auto"/>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GB/T 2951.1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71" w:type="dxa"/>
            <w:shd w:val="clear" w:color="auto" w:fill="auto"/>
            <w:vAlign w:val="center"/>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17</w:t>
            </w:r>
          </w:p>
        </w:tc>
        <w:tc>
          <w:tcPr>
            <w:tcW w:w="804" w:type="dxa"/>
            <w:vMerge w:val="continue"/>
            <w:shd w:val="clear" w:color="auto" w:fill="auto"/>
            <w:vAlign w:val="center"/>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p>
        </w:tc>
        <w:tc>
          <w:tcPr>
            <w:tcW w:w="2189" w:type="dxa"/>
            <w:shd w:val="clear" w:color="auto" w:fill="auto"/>
            <w:vAlign w:val="center"/>
          </w:tcPr>
          <w:p>
            <w:pPr>
              <w:pStyle w:val="33"/>
              <w:spacing w:before="62" w:beforeLines="20" w:after="62" w:afterLines="20"/>
              <w:ind w:firstLine="0" w:firstLineChars="0"/>
              <w:rPr>
                <w:rFonts w:asciiTheme="minorEastAsia" w:hAnsiTheme="minorEastAsia" w:cstheme="majorEastAsia"/>
                <w:bCs/>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MYPTJ电缆</w:t>
            </w:r>
            <w:r>
              <w:rPr>
                <w:rFonts w:hint="eastAsia" w:asciiTheme="minorEastAsia" w:hAnsiTheme="minorEastAsia" w:cstheme="majorEastAsia"/>
                <w:bCs/>
                <w:color w:val="000000" w:themeColor="text1"/>
                <w:szCs w:val="21"/>
                <w:highlight w:val="none"/>
                <w14:textFill>
                  <w14:solidFill>
                    <w14:schemeClr w14:val="tx1"/>
                  </w14:solidFill>
                </w14:textFill>
              </w:rPr>
              <w:t>局部放电试验</w:t>
            </w:r>
          </w:p>
        </w:tc>
        <w:tc>
          <w:tcPr>
            <w:tcW w:w="1400" w:type="dxa"/>
            <w:shd w:val="clear" w:color="auto" w:fill="auto"/>
            <w:vAlign w:val="center"/>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MT 818-2009</w:t>
            </w:r>
          </w:p>
        </w:tc>
        <w:tc>
          <w:tcPr>
            <w:tcW w:w="1196" w:type="dxa"/>
            <w:shd w:val="clear" w:color="auto" w:fill="auto"/>
            <w:vAlign w:val="center"/>
          </w:tcPr>
          <w:p>
            <w:pPr>
              <w:pStyle w:val="33"/>
              <w:ind w:left="-105" w:leftChars="-50" w:right="-105" w:rightChars="-50"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hAnsi="宋体" w:eastAsia="宋体" w:cs="宋体"/>
                <w:bCs/>
                <w:color w:val="000000" w:themeColor="text1"/>
                <w:szCs w:val="21"/>
                <w:highlight w:val="none"/>
                <w14:textFill>
                  <w14:solidFill>
                    <w14:schemeClr w14:val="tx1"/>
                  </w14:solidFill>
                </w14:textFill>
              </w:rPr>
              <w:t>＜</w:t>
            </w:r>
            <w:r>
              <w:rPr>
                <w:rFonts w:hint="eastAsia" w:asciiTheme="minorEastAsia" w:hAnsiTheme="minorEastAsia" w:cstheme="majorEastAsia"/>
                <w:bCs/>
                <w:color w:val="000000" w:themeColor="text1"/>
                <w:szCs w:val="21"/>
                <w:highlight w:val="none"/>
                <w14:textFill>
                  <w14:solidFill>
                    <w14:schemeClr w14:val="tx1"/>
                  </w14:solidFill>
                </w14:textFill>
              </w:rPr>
              <w:t>5pC</w:t>
            </w:r>
          </w:p>
        </w:tc>
        <w:tc>
          <w:tcPr>
            <w:tcW w:w="1203" w:type="dxa"/>
            <w:shd w:val="clear" w:color="auto" w:fill="auto"/>
            <w:vAlign w:val="center"/>
          </w:tcPr>
          <w:p>
            <w:pPr>
              <w:pStyle w:val="33"/>
              <w:ind w:left="-105" w:leftChars="-50" w:right="-105" w:rightChars="-50"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5</w:t>
            </w:r>
            <w:r>
              <w:rPr>
                <w:rFonts w:hint="eastAsia" w:ascii="黑体" w:hAnsi="黑体" w:eastAsia="黑体" w:cs="黑体"/>
                <w:bCs/>
                <w:color w:val="000000" w:themeColor="text1"/>
                <w:szCs w:val="21"/>
                <w:highlight w:val="none"/>
                <w14:textFill>
                  <w14:solidFill>
                    <w14:schemeClr w14:val="tx1"/>
                  </w14:solidFill>
                </w14:textFill>
              </w:rPr>
              <w:t>～</w:t>
            </w:r>
            <w:r>
              <w:rPr>
                <w:rFonts w:hint="eastAsia" w:asciiTheme="minorEastAsia" w:hAnsiTheme="minorEastAsia" w:cstheme="majorEastAsia"/>
                <w:bCs/>
                <w:color w:val="000000" w:themeColor="text1"/>
                <w:szCs w:val="21"/>
                <w:highlight w:val="none"/>
                <w14:textFill>
                  <w14:solidFill>
                    <w14:schemeClr w14:val="tx1"/>
                  </w14:solidFill>
                </w14:textFill>
              </w:rPr>
              <w:t>10pC</w:t>
            </w:r>
          </w:p>
        </w:tc>
        <w:tc>
          <w:tcPr>
            <w:tcW w:w="1116" w:type="dxa"/>
            <w:tcBorders>
              <w:right w:val="single" w:color="auto" w:sz="4" w:space="0"/>
            </w:tcBorders>
            <w:shd w:val="clear" w:color="auto" w:fill="auto"/>
            <w:vAlign w:val="center"/>
          </w:tcPr>
          <w:p>
            <w:pPr>
              <w:pStyle w:val="33"/>
              <w:ind w:left="-105" w:leftChars="-50" w:right="-105" w:rightChars="-50"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w:t>
            </w:r>
          </w:p>
        </w:tc>
        <w:tc>
          <w:tcPr>
            <w:tcW w:w="1582" w:type="dxa"/>
            <w:tcBorders>
              <w:left w:val="single" w:color="auto" w:sz="4" w:space="0"/>
            </w:tcBorders>
            <w:shd w:val="clear" w:color="auto" w:fill="auto"/>
          </w:tcPr>
          <w:p>
            <w:pPr>
              <w:pStyle w:val="33"/>
              <w:spacing w:before="62" w:beforeLines="20" w:after="62" w:afterLines="20"/>
              <w:ind w:firstLine="0" w:firstLineChars="0"/>
              <w:jc w:val="center"/>
              <w:rPr>
                <w:rFonts w:asciiTheme="minorEastAsia" w:hAnsiTheme="minorEastAsia" w:cstheme="majorEastAsia"/>
                <w:bCs/>
                <w:color w:val="000000" w:themeColor="text1"/>
                <w:szCs w:val="21"/>
                <w:highlight w:val="none"/>
                <w14:textFill>
                  <w14:solidFill>
                    <w14:schemeClr w14:val="tx1"/>
                  </w14:solidFill>
                </w14:textFill>
              </w:rPr>
            </w:pPr>
            <w:r>
              <w:rPr>
                <w:rFonts w:hint="eastAsia" w:asciiTheme="minorEastAsia" w:hAnsiTheme="minorEastAsia" w:cstheme="majorEastAsia"/>
                <w:bCs/>
                <w:color w:val="000000" w:themeColor="text1"/>
                <w:szCs w:val="21"/>
                <w:highlight w:val="none"/>
                <w14:textFill>
                  <w14:solidFill>
                    <w14:schemeClr w14:val="tx1"/>
                  </w14:solidFill>
                </w14:textFill>
              </w:rPr>
              <w:t>GB/T 3048.12</w:t>
            </w:r>
          </w:p>
        </w:tc>
      </w:tr>
    </w:tbl>
    <w:p>
      <w:pPr>
        <w:pStyle w:val="41"/>
        <w:numPr>
          <w:ilvl w:val="0"/>
          <w:numId w:val="0"/>
        </w:numPr>
        <w:spacing w:before="312" w:after="312"/>
        <w:rPr>
          <w:highlight w:val="none"/>
        </w:rPr>
      </w:pPr>
      <w:r>
        <w:rPr>
          <w:rFonts w:hint="eastAsia"/>
          <w:highlight w:val="none"/>
        </w:rPr>
        <w:t>5</w:t>
      </w:r>
      <w:r>
        <w:rPr>
          <w:highlight w:val="none"/>
        </w:rPr>
        <w:t xml:space="preserve"> </w:t>
      </w:r>
      <w:r>
        <w:rPr>
          <w:rFonts w:hint="eastAsia"/>
          <w:highlight w:val="none"/>
        </w:rPr>
        <w:t>等级划分</w:t>
      </w:r>
      <w:bookmarkEnd w:id="58"/>
    </w:p>
    <w:p>
      <w:pPr>
        <w:pStyle w:val="65"/>
        <w:numPr>
          <w:ilvl w:val="0"/>
          <w:numId w:val="2"/>
        </w:numPr>
        <w:spacing w:before="156" w:after="156" w:line="300" w:lineRule="auto"/>
        <w:ind w:firstLine="420"/>
        <w:jc w:val="left"/>
        <w:rPr>
          <w:rFonts w:ascii="Times New Roman"/>
          <w:color w:val="000000" w:themeColor="text1"/>
          <w:highlight w:val="none"/>
          <w14:textFill>
            <w14:solidFill>
              <w14:schemeClr w14:val="tx1"/>
            </w14:solidFill>
          </w14:textFill>
        </w:rPr>
      </w:pPr>
      <w:r>
        <w:rPr>
          <w:rFonts w:hint="eastAsia" w:ascii="Times New Roman" w:hAnsi="Times New Roman"/>
          <w:color w:val="000000" w:themeColor="text1"/>
          <w:highlight w:val="none"/>
          <w14:textFill>
            <w14:solidFill>
              <w14:schemeClr w14:val="tx1"/>
            </w14:solidFill>
          </w14:textFill>
        </w:rPr>
        <w:t>评价结果划分为一级、二级和三级，各等级所对应的划分依据见表</w:t>
      </w:r>
      <w:r>
        <w:rPr>
          <w:rFonts w:ascii="Times New Roman" w:hAnsi="Times New Roman"/>
          <w:color w:val="000000" w:themeColor="text1"/>
          <w:highlight w:val="none"/>
          <w14:textFill>
            <w14:solidFill>
              <w14:schemeClr w14:val="tx1"/>
            </w14:solidFill>
          </w14:textFill>
        </w:rPr>
        <w:t>2</w:t>
      </w:r>
      <w:r>
        <w:rPr>
          <w:rFonts w:hint="eastAsia" w:ascii="Times New Roman" w:hAnsi="Times New Roman"/>
          <w:color w:val="000000" w:themeColor="text1"/>
          <w:highlight w:val="none"/>
          <w14:textFill>
            <w14:solidFill>
              <w14:schemeClr w14:val="tx1"/>
            </w14:solidFill>
          </w14:textFill>
        </w:rPr>
        <w:t>。达到三级要求及以上的企业标准并按照有关要求进行自我声明公开后均可进入矿用电缆企业标准排行榜。达到一级要求的企业标准，且按照有关要求进行自我声明公开后，其标准和符合标准的产品或服务可以直接进入矿用电缆企业标准“领跑者”候选名单。</w:t>
      </w:r>
    </w:p>
    <w:bookmarkEnd w:id="59"/>
    <w:bookmarkEnd w:id="60"/>
    <w:bookmarkEnd w:id="61"/>
    <w:bookmarkEnd w:id="62"/>
    <w:bookmarkEnd w:id="63"/>
    <w:p>
      <w:pPr>
        <w:rPr>
          <w:rFonts w:ascii="黑体" w:eastAsia="黑体"/>
          <w:color w:val="000000" w:themeColor="text1"/>
          <w14:textFill>
            <w14:solidFill>
              <w14:schemeClr w14:val="tx1"/>
            </w14:solidFill>
          </w14:textFill>
        </w:rPr>
      </w:pPr>
    </w:p>
    <w:p>
      <w:pPr>
        <w:pStyle w:val="33"/>
        <w:numPr>
          <w:ilvl w:val="0"/>
          <w:numId w:val="2"/>
        </w:numPr>
        <w:spacing w:before="156" w:beforeLines="50" w:after="156" w:afterLines="50"/>
        <w:ind w:firstLineChars="0"/>
        <w:jc w:val="center"/>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表</w:t>
      </w:r>
      <w:r>
        <w:rPr>
          <w:rFonts w:ascii="黑体" w:eastAsia="黑体"/>
          <w:color w:val="000000" w:themeColor="text1"/>
          <w14:textFill>
            <w14:solidFill>
              <w14:schemeClr w14:val="tx1"/>
            </w14:solidFill>
          </w14:textFill>
        </w:rPr>
        <w:t>2</w:t>
      </w:r>
      <w:r>
        <w:rPr>
          <w:rFonts w:hint="eastAsia" w:ascii="黑体" w:eastAsia="黑体"/>
          <w:color w:val="000000" w:themeColor="text1"/>
          <w14:textFill>
            <w14:solidFill>
              <w14:schemeClr w14:val="tx1"/>
            </w14:solidFill>
          </w14:textFill>
        </w:rPr>
        <w:t xml:space="preserve"> 指标评价要求及等级划分</w:t>
      </w:r>
    </w:p>
    <w:tbl>
      <w:tblPr>
        <w:tblStyle w:val="23"/>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8"/>
        <w:gridCol w:w="1968"/>
        <w:gridCol w:w="1968"/>
        <w:gridCol w:w="1968"/>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968"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评价等级</w:t>
            </w:r>
          </w:p>
        </w:tc>
        <w:tc>
          <w:tcPr>
            <w:tcW w:w="7886" w:type="dxa"/>
            <w:gridSpan w:val="4"/>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满足条件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68"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一</w:t>
            </w:r>
            <w:r>
              <w:rPr>
                <w:rFonts w:asciiTheme="minorEastAsia" w:hAnsiTheme="minorEastAsia" w:cstheme="majorEastAsia"/>
                <w:bCs/>
                <w:color w:val="000000" w:themeColor="text1"/>
                <w:szCs w:val="21"/>
                <w14:textFill>
                  <w14:solidFill>
                    <w14:schemeClr w14:val="tx1"/>
                  </w14:solidFill>
                </w14:textFill>
              </w:rPr>
              <w:t>级</w:t>
            </w:r>
            <w:r>
              <w:rPr>
                <w:rFonts w:hint="eastAsia" w:asciiTheme="minorEastAsia" w:hAnsiTheme="minorEastAsia" w:cstheme="majorEastAsia"/>
                <w:bCs/>
                <w:color w:val="000000" w:themeColor="text1"/>
                <w:szCs w:val="21"/>
                <w14:textFill>
                  <w14:solidFill>
                    <w14:schemeClr w14:val="tx1"/>
                  </w14:solidFill>
                </w14:textFill>
              </w:rPr>
              <w:t>应同时满足</w:t>
            </w:r>
          </w:p>
        </w:tc>
        <w:tc>
          <w:tcPr>
            <w:tcW w:w="1968"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基本要求</w:t>
            </w:r>
          </w:p>
        </w:tc>
        <w:tc>
          <w:tcPr>
            <w:tcW w:w="1968"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基础指标要求</w:t>
            </w:r>
          </w:p>
        </w:tc>
        <w:tc>
          <w:tcPr>
            <w:tcW w:w="1968"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核心指标先进水平要求</w:t>
            </w:r>
          </w:p>
        </w:tc>
        <w:tc>
          <w:tcPr>
            <w:tcW w:w="1982"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创新性指标2项达到先进水平要求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68"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二级应同时满足</w:t>
            </w:r>
          </w:p>
        </w:tc>
        <w:tc>
          <w:tcPr>
            <w:tcW w:w="1968"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基本要求</w:t>
            </w:r>
          </w:p>
        </w:tc>
        <w:tc>
          <w:tcPr>
            <w:tcW w:w="1968"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基础指标要求</w:t>
            </w:r>
          </w:p>
        </w:tc>
        <w:tc>
          <w:tcPr>
            <w:tcW w:w="1968"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核心指标平均水平要求</w:t>
            </w:r>
          </w:p>
        </w:tc>
        <w:tc>
          <w:tcPr>
            <w:tcW w:w="1982"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创新性指标中至少1项达到的平均水平要求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968"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三级应同时满足</w:t>
            </w:r>
          </w:p>
        </w:tc>
        <w:tc>
          <w:tcPr>
            <w:tcW w:w="1968" w:type="dxa"/>
            <w:vAlign w:val="center"/>
          </w:tcPr>
          <w:p>
            <w:pPr>
              <w:pStyle w:val="33"/>
              <w:tabs>
                <w:tab w:val="left" w:pos="360"/>
              </w:tabs>
              <w:overflowPunct w:val="0"/>
              <w:spacing w:before="156" w:beforeLines="50" w:after="156" w:afterLines="50"/>
              <w:ind w:firstLine="0" w:firstLineChars="0"/>
              <w:jc w:val="center"/>
              <w:textAlignment w:val="baseline"/>
              <w:outlineLvl w:val="4"/>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基本要求</w:t>
            </w:r>
          </w:p>
        </w:tc>
        <w:tc>
          <w:tcPr>
            <w:tcW w:w="1968" w:type="dxa"/>
            <w:vAlign w:val="center"/>
          </w:tcPr>
          <w:p>
            <w:pPr>
              <w:pStyle w:val="33"/>
              <w:tabs>
                <w:tab w:val="left" w:pos="360"/>
              </w:tabs>
              <w:wordWrap w:val="0"/>
              <w:overflowPunct w:val="0"/>
              <w:spacing w:before="156" w:beforeLines="50" w:after="156" w:afterLines="50"/>
              <w:ind w:firstLine="0" w:firstLineChars="0"/>
              <w:jc w:val="center"/>
              <w:textAlignment w:val="baseline"/>
              <w:outlineLvl w:val="4"/>
              <w:rPr>
                <w:rFonts w:asciiTheme="minorEastAsia" w:hAnsiTheme="minorEastAsia" w:cstheme="majorEastAsia"/>
                <w:bCs/>
                <w:color w:val="000000" w:themeColor="text1"/>
                <w:sz w:val="18"/>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基础指标要求</w:t>
            </w:r>
          </w:p>
        </w:tc>
        <w:tc>
          <w:tcPr>
            <w:tcW w:w="1968"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核心指标基准水平要求</w:t>
            </w:r>
          </w:p>
        </w:tc>
        <w:tc>
          <w:tcPr>
            <w:tcW w:w="1982" w:type="dxa"/>
            <w:vAlign w:val="center"/>
          </w:tcPr>
          <w:p>
            <w:pPr>
              <w:pStyle w:val="33"/>
              <w:spacing w:before="156" w:after="156"/>
              <w:ind w:firstLine="0" w:firstLineChars="0"/>
              <w:jc w:val="center"/>
              <w:rPr>
                <w:rFonts w:asciiTheme="minorEastAsia" w:hAnsiTheme="minorEastAsia" w:cstheme="majorEastAsia"/>
                <w:bCs/>
                <w:color w:val="000000" w:themeColor="text1"/>
                <w:szCs w:val="21"/>
                <w14:textFill>
                  <w14:solidFill>
                    <w14:schemeClr w14:val="tx1"/>
                  </w14:solidFill>
                </w14:textFill>
              </w:rPr>
            </w:pPr>
            <w:r>
              <w:rPr>
                <w:rFonts w:hint="eastAsia" w:asciiTheme="minorEastAsia" w:hAnsiTheme="minorEastAsia" w:cstheme="majorEastAsia"/>
                <w:bCs/>
                <w:color w:val="000000" w:themeColor="text1"/>
                <w:szCs w:val="21"/>
                <w14:textFill>
                  <w14:solidFill>
                    <w14:schemeClr w14:val="tx1"/>
                  </w14:solidFill>
                </w14:textFill>
              </w:rPr>
              <w:t>——</w:t>
            </w:r>
          </w:p>
        </w:tc>
      </w:tr>
      <w:bookmarkEnd w:id="47"/>
      <w:bookmarkEnd w:id="48"/>
      <w:bookmarkEnd w:id="49"/>
      <w:bookmarkEnd w:id="50"/>
      <w:bookmarkEnd w:id="51"/>
      <w:bookmarkEnd w:id="52"/>
      <w:bookmarkEnd w:id="54"/>
      <w:bookmarkEnd w:id="55"/>
      <w:bookmarkEnd w:id="56"/>
    </w:tbl>
    <w:p>
      <w:pP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1961515</wp:posOffset>
                </wp:positionH>
                <wp:positionV relativeFrom="paragraph">
                  <wp:posOffset>394970</wp:posOffset>
                </wp:positionV>
                <wp:extent cx="2272665" cy="0"/>
                <wp:effectExtent l="5080" t="5080" r="8255" b="13970"/>
                <wp:wrapNone/>
                <wp:docPr id="1" name="AutoShape 18"/>
                <wp:cNvGraphicFramePr/>
                <a:graphic xmlns:a="http://schemas.openxmlformats.org/drawingml/2006/main">
                  <a:graphicData uri="http://schemas.microsoft.com/office/word/2010/wordprocessingShape">
                    <wps:wsp>
                      <wps:cNvCnPr>
                        <a:cxnSpLocks noChangeShapeType="1"/>
                      </wps:cNvCnPr>
                      <wps:spPr bwMode="auto">
                        <a:xfrm>
                          <a:off x="0" y="0"/>
                          <a:ext cx="2272665" cy="0"/>
                        </a:xfrm>
                        <a:prstGeom prst="straightConnector1">
                          <a:avLst/>
                        </a:prstGeom>
                        <a:noFill/>
                        <a:ln w="9525">
                          <a:solidFill>
                            <a:srgbClr val="000000"/>
                          </a:solidFill>
                          <a:round/>
                        </a:ln>
                      </wps:spPr>
                      <wps:bodyPr/>
                    </wps:wsp>
                  </a:graphicData>
                </a:graphic>
              </wp:anchor>
            </w:drawing>
          </mc:Choice>
          <mc:Fallback>
            <w:pict>
              <v:shape id="AutoShape 18" o:spid="_x0000_s1026" o:spt="32" type="#_x0000_t32" style="position:absolute;left:0pt;margin-left:154.45pt;margin-top:31.1pt;height:0pt;width:178.95pt;z-index:251664384;mso-width-relative:page;mso-height-relative:page;" filled="f" stroked="t" coordsize="21600,21600" o:gfxdata="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8+gwAdYAAAAJAQAADwAAAAAAAAABACAA&#10;AAAiAAAAZHJzL2Rvd25yZXYueG1sUEsBAhQAFAAAAAgAh07iQBDONonWAQAAswMAAA4AAAAAAAAA&#10;AQAgAAAAJQEAAGRycy9lMm9Eb2MueG1sUEsFBgAAAAAGAAYAWQEAAG0FAAAAAA==&#10;">
                <v:fill on="f" focussize="0,0"/>
                <v:stroke color="#000000" joinstyle="round"/>
                <v:imagedata o:title=""/>
                <o:lock v:ext="edit" aspectratio="f"/>
              </v:shape>
            </w:pict>
          </mc:Fallback>
        </mc:AlternateContent>
      </w:r>
    </w:p>
    <w:sectPr>
      <w:headerReference r:id="rId4" w:type="default"/>
      <w:footerReference r:id="rId5" w:type="default"/>
      <w:pgSz w:w="11906" w:h="16838"/>
      <w:pgMar w:top="1134" w:right="1134" w:bottom="1134" w:left="1134" w:header="1418" w:footer="880"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imesNewRoman">
    <w:altName w:val="Times New Roman"/>
    <w:panose1 w:val="000000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lang w:val="zh-CN"/>
      </w:rPr>
      <w:fldChar w:fldCharType="begin"/>
    </w:r>
    <w:r>
      <w:rPr>
        <w:lang w:val="zh-CN"/>
      </w:rPr>
      <w:instrText xml:space="preserve"> PAGE   \* MERGEFORMAT </w:instrText>
    </w:r>
    <w:r>
      <w:rPr>
        <w:lang w:val="zh-CN"/>
      </w:rPr>
      <w:fldChar w:fldCharType="separate"/>
    </w:r>
    <w:r>
      <w:rPr>
        <w:lang w:val="zh-CN"/>
      </w:rPr>
      <w:t>5</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spacing w:before="120" w:after="120"/>
      <w:rPr>
        <w:color w:val="000000" w:themeColor="text1"/>
        <w14:textFill>
          <w14:solidFill>
            <w14:schemeClr w14:val="tx1"/>
          </w14:solidFill>
        </w14:textFill>
      </w:rPr>
    </w:pPr>
    <w:r>
      <w:t xml:space="preserve">T/XXX </w:t>
    </w:r>
    <w:r>
      <w:rPr>
        <w:rFonts w:hint="eastAsia"/>
      </w:rPr>
      <w:t>XX</w:t>
    </w:r>
    <w:r>
      <w:t>-</w:t>
    </w:r>
    <w:r>
      <w:rPr>
        <w:rFonts w:hint="eastAsia"/>
        <w:color w:val="000000" w:themeColor="text1"/>
        <w14:textFill>
          <w14:solidFill>
            <w14:schemeClr w14:val="tx1"/>
          </w14:solidFill>
        </w14:textFill>
      </w:rPr>
      <w:t>XXXX</w:t>
    </w:r>
  </w:p>
  <w:p>
    <w:pPr>
      <w:jc w:val="right"/>
    </w:pPr>
    <w:r>
      <w:rPr>
        <w:rFonts w:hint="eastAsia"/>
        <w:color w:val="000000" w:themeColor="text1"/>
        <w14:textFill>
          <w14:solidFill>
            <w14:schemeClr w14:val="tx1"/>
          </w14:solidFill>
        </w14:textFill>
      </w:rPr>
      <w:t>T/CSTE 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default" w:ascii="Arial" w:hAnsi="Arial" w:eastAsia="黑体" w:cs="Arial"/>
        <w:b w:val="0"/>
        <w:bCs w:val="0"/>
        <w:i w:val="0"/>
        <w:iCs w:val="0"/>
        <w:caps w:val="0"/>
        <w:smallCaps w:val="0"/>
        <w:snapToGrid w:val="0"/>
        <w:vanish w:val="0"/>
        <w:color w:val="000000"/>
        <w:spacing w:val="0"/>
        <w:w w:val="0"/>
        <w:kern w:val="0"/>
        <w:position w:val="0"/>
        <w:sz w:val="21"/>
        <w:szCs w:val="0"/>
        <w:u w:val="none"/>
        <w:vertAlign w:val="baseline"/>
      </w:rPr>
    </w:lvl>
    <w:lvl w:ilvl="2" w:tentative="0">
      <w:start w:val="1"/>
      <w:numFmt w:val="decimal"/>
      <w:pStyle w:val="8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9B353F5"/>
    <w:multiLevelType w:val="multilevel"/>
    <w:tmpl w:val="09B353F5"/>
    <w:lvl w:ilvl="0" w:tentative="0">
      <w:start w:val="4"/>
      <w:numFmt w:val="decimal"/>
      <w:lvlText w:val="%1"/>
      <w:lvlJc w:val="left"/>
      <w:pPr>
        <w:ind w:left="360" w:hanging="360"/>
      </w:pPr>
      <w:rPr>
        <w:rFonts w:hint="default" w:ascii="Times New Roman" w:hAnsi="Times New Roman" w:eastAsiaTheme="minorEastAsia" w:cstheme="minorBidi"/>
      </w:rPr>
    </w:lvl>
    <w:lvl w:ilvl="1" w:tentative="0">
      <w:start w:val="2"/>
      <w:numFmt w:val="decimal"/>
      <w:lvlText w:val="%1.%2"/>
      <w:lvlJc w:val="left"/>
      <w:pPr>
        <w:ind w:left="360" w:hanging="360"/>
      </w:pPr>
      <w:rPr>
        <w:rFonts w:hint="default" w:ascii="Times New Roman" w:hAnsi="Times New Roman" w:eastAsiaTheme="minorEastAsia" w:cstheme="minorBidi"/>
      </w:rPr>
    </w:lvl>
    <w:lvl w:ilvl="2" w:tentative="0">
      <w:start w:val="1"/>
      <w:numFmt w:val="decimal"/>
      <w:lvlText w:val="%1.%2.%3"/>
      <w:lvlJc w:val="left"/>
      <w:pPr>
        <w:ind w:left="720" w:hanging="720"/>
      </w:pPr>
      <w:rPr>
        <w:rFonts w:hint="default" w:ascii="Times New Roman" w:hAnsi="Times New Roman" w:eastAsiaTheme="minorEastAsia" w:cstheme="minorBidi"/>
      </w:rPr>
    </w:lvl>
    <w:lvl w:ilvl="3" w:tentative="0">
      <w:start w:val="1"/>
      <w:numFmt w:val="decimal"/>
      <w:lvlText w:val="%1.%2.%3.%4"/>
      <w:lvlJc w:val="left"/>
      <w:pPr>
        <w:ind w:left="720" w:hanging="720"/>
      </w:pPr>
      <w:rPr>
        <w:rFonts w:hint="default" w:ascii="Times New Roman" w:hAnsi="Times New Roman" w:eastAsiaTheme="minorEastAsia" w:cstheme="minorBidi"/>
      </w:rPr>
    </w:lvl>
    <w:lvl w:ilvl="4" w:tentative="0">
      <w:start w:val="1"/>
      <w:numFmt w:val="decimal"/>
      <w:lvlText w:val="%1.%2.%3.%4.%5"/>
      <w:lvlJc w:val="left"/>
      <w:pPr>
        <w:ind w:left="1080" w:hanging="1080"/>
      </w:pPr>
      <w:rPr>
        <w:rFonts w:hint="default" w:ascii="Times New Roman" w:hAnsi="Times New Roman" w:eastAsiaTheme="minorEastAsia" w:cstheme="minorBidi"/>
      </w:rPr>
    </w:lvl>
    <w:lvl w:ilvl="5" w:tentative="0">
      <w:start w:val="1"/>
      <w:numFmt w:val="decimal"/>
      <w:lvlText w:val="%1.%2.%3.%4.%5.%6"/>
      <w:lvlJc w:val="left"/>
      <w:pPr>
        <w:ind w:left="1080" w:hanging="1080"/>
      </w:pPr>
      <w:rPr>
        <w:rFonts w:hint="default" w:ascii="Times New Roman" w:hAnsi="Times New Roman" w:eastAsiaTheme="minorEastAsia" w:cstheme="minorBidi"/>
      </w:rPr>
    </w:lvl>
    <w:lvl w:ilvl="6" w:tentative="0">
      <w:start w:val="1"/>
      <w:numFmt w:val="decimal"/>
      <w:lvlText w:val="%1.%2.%3.%4.%5.%6.%7"/>
      <w:lvlJc w:val="left"/>
      <w:pPr>
        <w:ind w:left="1080" w:hanging="1080"/>
      </w:pPr>
      <w:rPr>
        <w:rFonts w:hint="default" w:ascii="Times New Roman" w:hAnsi="Times New Roman" w:eastAsiaTheme="minorEastAsia" w:cstheme="minorBidi"/>
      </w:rPr>
    </w:lvl>
    <w:lvl w:ilvl="7" w:tentative="0">
      <w:start w:val="1"/>
      <w:numFmt w:val="decimal"/>
      <w:lvlText w:val="%1.%2.%3.%4.%5.%6.%7.%8"/>
      <w:lvlJc w:val="left"/>
      <w:pPr>
        <w:ind w:left="1440" w:hanging="1440"/>
      </w:pPr>
      <w:rPr>
        <w:rFonts w:hint="default" w:ascii="Times New Roman" w:hAnsi="Times New Roman" w:eastAsiaTheme="minorEastAsia" w:cstheme="minorBidi"/>
      </w:rPr>
    </w:lvl>
    <w:lvl w:ilvl="8" w:tentative="0">
      <w:start w:val="1"/>
      <w:numFmt w:val="decimal"/>
      <w:lvlText w:val="%1.%2.%3.%4.%5.%6.%7.%8.%9"/>
      <w:lvlJc w:val="left"/>
      <w:pPr>
        <w:ind w:left="1440" w:hanging="1440"/>
      </w:pPr>
      <w:rPr>
        <w:rFonts w:hint="default" w:ascii="Times New Roman" w:hAnsi="Times New Roman" w:eastAsiaTheme="minorEastAsia" w:cstheme="minorBidi"/>
      </w:rPr>
    </w:lvl>
  </w:abstractNum>
  <w:abstractNum w:abstractNumId="2">
    <w:nsid w:val="1FC91163"/>
    <w:multiLevelType w:val="multilevel"/>
    <w:tmpl w:val="1FC91163"/>
    <w:lvl w:ilvl="0" w:tentative="0">
      <w:start w:val="1"/>
      <w:numFmt w:val="decimal"/>
      <w:pStyle w:val="41"/>
      <w:suff w:val="nothing"/>
      <w:lvlText w:val="%1　"/>
      <w:lvlJc w:val="left"/>
      <w:pPr>
        <w:ind w:left="3544" w:firstLine="0"/>
      </w:pPr>
      <w:rPr>
        <w:rFonts w:hint="eastAsia" w:ascii="黑体" w:hAnsi="Times New Roman" w:eastAsia="黑体"/>
        <w:b w:val="0"/>
        <w:i w:val="0"/>
        <w:sz w:val="21"/>
        <w:szCs w:val="21"/>
      </w:rPr>
    </w:lvl>
    <w:lvl w:ilvl="1" w:tentative="0">
      <w:start w:val="1"/>
      <w:numFmt w:val="decimal"/>
      <w:pStyle w:val="3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3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3BF"/>
    <w:rsid w:val="00097F14"/>
    <w:rsid w:val="000D746D"/>
    <w:rsid w:val="001F3459"/>
    <w:rsid w:val="00283DC8"/>
    <w:rsid w:val="00294203"/>
    <w:rsid w:val="00295A08"/>
    <w:rsid w:val="00383BFC"/>
    <w:rsid w:val="003F6158"/>
    <w:rsid w:val="00432B0E"/>
    <w:rsid w:val="004F51BF"/>
    <w:rsid w:val="00510E7A"/>
    <w:rsid w:val="005531E9"/>
    <w:rsid w:val="006047BF"/>
    <w:rsid w:val="00764771"/>
    <w:rsid w:val="00772CDD"/>
    <w:rsid w:val="00825BBB"/>
    <w:rsid w:val="008803BF"/>
    <w:rsid w:val="008E1D11"/>
    <w:rsid w:val="00987042"/>
    <w:rsid w:val="009C7DC9"/>
    <w:rsid w:val="00BC2766"/>
    <w:rsid w:val="00C07794"/>
    <w:rsid w:val="00D16E3D"/>
    <w:rsid w:val="00E5036C"/>
    <w:rsid w:val="00E52B5B"/>
    <w:rsid w:val="00F70A05"/>
    <w:rsid w:val="00FB7C61"/>
    <w:rsid w:val="00FF6305"/>
    <w:rsid w:val="04231082"/>
    <w:rsid w:val="08C11EBC"/>
    <w:rsid w:val="0E364E7D"/>
    <w:rsid w:val="12132744"/>
    <w:rsid w:val="25350AB6"/>
    <w:rsid w:val="2CDE67F4"/>
    <w:rsid w:val="33036DB5"/>
    <w:rsid w:val="460A713B"/>
    <w:rsid w:val="4CDC29F0"/>
    <w:rsid w:val="54290E04"/>
    <w:rsid w:val="59E1225B"/>
    <w:rsid w:val="60245B7A"/>
    <w:rsid w:val="651E7259"/>
    <w:rsid w:val="72894AC0"/>
    <w:rsid w:val="72BA055D"/>
    <w:rsid w:val="76B263BB"/>
    <w:rsid w:val="7AD349EF"/>
    <w:rsid w:val="7BB141BB"/>
    <w:rsid w:val="7C473FC9"/>
    <w:rsid w:val="7FE82F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6"/>
    <w:unhideWhenUsed/>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cstheme="minorHAnsi"/>
      <w:sz w:val="18"/>
      <w:szCs w:val="18"/>
    </w:rPr>
  </w:style>
  <w:style w:type="paragraph" w:styleId="6">
    <w:name w:val="annotation text"/>
    <w:basedOn w:val="1"/>
    <w:link w:val="72"/>
    <w:unhideWhenUsed/>
    <w:qFormat/>
    <w:uiPriority w:val="0"/>
    <w:pPr>
      <w:jc w:val="left"/>
    </w:pPr>
  </w:style>
  <w:style w:type="paragraph" w:styleId="7">
    <w:name w:val="Body Text"/>
    <w:basedOn w:val="1"/>
    <w:link w:val="67"/>
    <w:qFormat/>
    <w:uiPriority w:val="1"/>
    <w:pPr>
      <w:spacing w:before="116"/>
      <w:ind w:left="117"/>
      <w:jc w:val="left"/>
    </w:pPr>
    <w:rPr>
      <w:rFonts w:ascii="宋体" w:hAnsi="宋体" w:eastAsia="宋体"/>
      <w:kern w:val="0"/>
      <w:szCs w:val="21"/>
      <w:lang w:eastAsia="en-US"/>
    </w:rPr>
  </w:style>
  <w:style w:type="paragraph" w:styleId="8">
    <w:name w:val="toc 5"/>
    <w:basedOn w:val="1"/>
    <w:next w:val="1"/>
    <w:unhideWhenUsed/>
    <w:qFormat/>
    <w:uiPriority w:val="39"/>
    <w:pPr>
      <w:ind w:left="840"/>
      <w:jc w:val="left"/>
    </w:pPr>
    <w:rPr>
      <w:rFonts w:cstheme="minorHAnsi"/>
      <w:sz w:val="18"/>
      <w:szCs w:val="18"/>
    </w:rPr>
  </w:style>
  <w:style w:type="paragraph" w:styleId="9">
    <w:name w:val="toc 3"/>
    <w:basedOn w:val="1"/>
    <w:next w:val="1"/>
    <w:qFormat/>
    <w:uiPriority w:val="39"/>
    <w:pPr>
      <w:ind w:left="420"/>
      <w:jc w:val="left"/>
    </w:pPr>
    <w:rPr>
      <w:rFonts w:cstheme="minorHAnsi"/>
      <w:i/>
      <w:iCs/>
      <w:sz w:val="20"/>
      <w:szCs w:val="20"/>
    </w:rPr>
  </w:style>
  <w:style w:type="paragraph" w:styleId="10">
    <w:name w:val="toc 8"/>
    <w:basedOn w:val="1"/>
    <w:next w:val="1"/>
    <w:unhideWhenUsed/>
    <w:qFormat/>
    <w:uiPriority w:val="39"/>
    <w:pPr>
      <w:ind w:left="1470"/>
      <w:jc w:val="left"/>
    </w:pPr>
    <w:rPr>
      <w:rFonts w:cstheme="minorHAnsi"/>
      <w:sz w:val="18"/>
      <w:szCs w:val="18"/>
    </w:rPr>
  </w:style>
  <w:style w:type="paragraph" w:styleId="11">
    <w:name w:val="Date"/>
    <w:basedOn w:val="1"/>
    <w:next w:val="1"/>
    <w:link w:val="69"/>
    <w:semiHidden/>
    <w:unhideWhenUsed/>
    <w:qFormat/>
    <w:uiPriority w:val="99"/>
    <w:pPr>
      <w:ind w:left="100" w:leftChars="2500"/>
    </w:pPr>
  </w:style>
  <w:style w:type="paragraph" w:styleId="12">
    <w:name w:val="Balloon Text"/>
    <w:basedOn w:val="1"/>
    <w:link w:val="64"/>
    <w:semiHidden/>
    <w:unhideWhenUsed/>
    <w:qFormat/>
    <w:uiPriority w:val="99"/>
    <w:rPr>
      <w:sz w:val="18"/>
      <w:szCs w:val="18"/>
    </w:rPr>
  </w:style>
  <w:style w:type="paragraph" w:styleId="13">
    <w:name w:val="footer"/>
    <w:basedOn w:val="1"/>
    <w:link w:val="29"/>
    <w:unhideWhenUsed/>
    <w:qFormat/>
    <w:uiPriority w:val="99"/>
    <w:pPr>
      <w:tabs>
        <w:tab w:val="center" w:pos="4153"/>
        <w:tab w:val="right" w:pos="8306"/>
      </w:tabs>
      <w:snapToGrid w:val="0"/>
      <w:jc w:val="left"/>
    </w:pPr>
    <w:rPr>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rFonts w:cstheme="minorHAnsi"/>
      <w:b/>
      <w:bCs/>
      <w:caps/>
      <w:sz w:val="20"/>
      <w:szCs w:val="20"/>
    </w:rPr>
  </w:style>
  <w:style w:type="paragraph" w:styleId="16">
    <w:name w:val="toc 4"/>
    <w:basedOn w:val="1"/>
    <w:next w:val="1"/>
    <w:unhideWhenUsed/>
    <w:qFormat/>
    <w:uiPriority w:val="39"/>
    <w:pPr>
      <w:ind w:left="630"/>
      <w:jc w:val="left"/>
    </w:pPr>
    <w:rPr>
      <w:rFonts w:cstheme="minorHAnsi"/>
      <w:sz w:val="18"/>
      <w:szCs w:val="18"/>
    </w:rPr>
  </w:style>
  <w:style w:type="paragraph" w:styleId="17">
    <w:name w:val="toc 6"/>
    <w:basedOn w:val="1"/>
    <w:next w:val="1"/>
    <w:unhideWhenUsed/>
    <w:qFormat/>
    <w:uiPriority w:val="39"/>
    <w:pPr>
      <w:ind w:left="1050"/>
      <w:jc w:val="left"/>
    </w:pPr>
    <w:rPr>
      <w:rFonts w:cstheme="minorHAnsi"/>
      <w:sz w:val="18"/>
      <w:szCs w:val="18"/>
    </w:rPr>
  </w:style>
  <w:style w:type="paragraph" w:styleId="18">
    <w:name w:val="toc 2"/>
    <w:basedOn w:val="1"/>
    <w:next w:val="1"/>
    <w:unhideWhenUsed/>
    <w:qFormat/>
    <w:uiPriority w:val="39"/>
    <w:pPr>
      <w:ind w:left="210"/>
      <w:jc w:val="left"/>
    </w:pPr>
    <w:rPr>
      <w:rFonts w:cstheme="minorHAnsi"/>
      <w:smallCaps/>
      <w:sz w:val="20"/>
      <w:szCs w:val="20"/>
    </w:rPr>
  </w:style>
  <w:style w:type="paragraph" w:styleId="19">
    <w:name w:val="toc 9"/>
    <w:basedOn w:val="1"/>
    <w:next w:val="1"/>
    <w:unhideWhenUsed/>
    <w:qFormat/>
    <w:uiPriority w:val="39"/>
    <w:pPr>
      <w:ind w:left="1680"/>
      <w:jc w:val="left"/>
    </w:pPr>
    <w:rPr>
      <w:rFonts w:cstheme="minorHAnsi"/>
      <w:sz w:val="18"/>
      <w:szCs w:val="18"/>
    </w:rPr>
  </w:style>
  <w:style w:type="paragraph" w:styleId="2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annotation subject"/>
    <w:basedOn w:val="6"/>
    <w:next w:val="6"/>
    <w:link w:val="73"/>
    <w:semiHidden/>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basedOn w:val="24"/>
    <w:semiHidden/>
    <w:unhideWhenUsed/>
    <w:qFormat/>
    <w:uiPriority w:val="99"/>
    <w:rPr>
      <w:color w:val="800080" w:themeColor="followedHyperlink"/>
      <w:u w:val="single"/>
      <w14:textFill>
        <w14:solidFill>
          <w14:schemeClr w14:val="folHlink"/>
        </w14:solidFill>
      </w14:textFill>
    </w:rPr>
  </w:style>
  <w:style w:type="character" w:styleId="26">
    <w:name w:val="Hyperlink"/>
    <w:qFormat/>
    <w:uiPriority w:val="99"/>
    <w:rPr>
      <w:color w:val="0000FF"/>
      <w:spacing w:val="0"/>
      <w:w w:val="100"/>
      <w:szCs w:val="21"/>
      <w:u w:val="single"/>
      <w:lang w:val="en-US" w:eastAsia="zh-CN"/>
    </w:rPr>
  </w:style>
  <w:style w:type="character" w:styleId="27">
    <w:name w:val="annotation reference"/>
    <w:basedOn w:val="24"/>
    <w:unhideWhenUsed/>
    <w:qFormat/>
    <w:uiPriority w:val="0"/>
    <w:rPr>
      <w:sz w:val="21"/>
      <w:szCs w:val="21"/>
    </w:rPr>
  </w:style>
  <w:style w:type="character" w:customStyle="1" w:styleId="28">
    <w:name w:val="页眉 字符"/>
    <w:basedOn w:val="24"/>
    <w:link w:val="14"/>
    <w:qFormat/>
    <w:uiPriority w:val="99"/>
    <w:rPr>
      <w:sz w:val="18"/>
      <w:szCs w:val="18"/>
    </w:rPr>
  </w:style>
  <w:style w:type="character" w:customStyle="1" w:styleId="29">
    <w:name w:val="页脚 字符"/>
    <w:basedOn w:val="24"/>
    <w:link w:val="13"/>
    <w:qFormat/>
    <w:uiPriority w:val="99"/>
    <w:rPr>
      <w:sz w:val="18"/>
      <w:szCs w:val="18"/>
    </w:rPr>
  </w:style>
  <w:style w:type="paragraph" w:customStyle="1" w:styleId="30">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1">
    <w:name w:val="封面标准英文名称"/>
    <w:basedOn w:val="30"/>
    <w:qFormat/>
    <w:uiPriority w:val="0"/>
    <w:pPr>
      <w:spacing w:before="370" w:line="400" w:lineRule="exact"/>
    </w:pPr>
    <w:rPr>
      <w:rFonts w:ascii="Times New Roman"/>
      <w:sz w:val="28"/>
      <w:szCs w:val="28"/>
    </w:rPr>
  </w:style>
  <w:style w:type="character" w:customStyle="1" w:styleId="32">
    <w:name w:val="段 Char"/>
    <w:link w:val="33"/>
    <w:qFormat/>
    <w:uiPriority w:val="0"/>
    <w:rPr>
      <w:rFonts w:ascii="宋体"/>
    </w:rPr>
  </w:style>
  <w:style w:type="paragraph" w:customStyle="1" w:styleId="33">
    <w:name w:val="段"/>
    <w:link w:val="32"/>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34">
    <w:name w:val="发布"/>
    <w:qFormat/>
    <w:uiPriority w:val="0"/>
    <w:rPr>
      <w:rFonts w:ascii="黑体" w:eastAsia="黑体"/>
      <w:spacing w:val="85"/>
      <w:w w:val="100"/>
      <w:position w:val="3"/>
      <w:sz w:val="28"/>
      <w:szCs w:val="28"/>
    </w:rPr>
  </w:style>
  <w:style w:type="paragraph" w:customStyle="1" w:styleId="35">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36">
    <w:name w:val="二级条标题"/>
    <w:basedOn w:val="37"/>
    <w:next w:val="33"/>
    <w:qFormat/>
    <w:uiPriority w:val="0"/>
    <w:pPr>
      <w:numPr>
        <w:ilvl w:val="2"/>
      </w:numPr>
      <w:spacing w:beforeLines="0" w:afterLines="0"/>
      <w:outlineLvl w:val="3"/>
    </w:pPr>
  </w:style>
  <w:style w:type="paragraph" w:customStyle="1" w:styleId="37">
    <w:name w:val="一级条标题"/>
    <w:next w:val="33"/>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38">
    <w:name w:val="附录表标号"/>
    <w:basedOn w:val="1"/>
    <w:next w:val="33"/>
    <w:qFormat/>
    <w:uiPriority w:val="0"/>
    <w:pPr>
      <w:spacing w:line="14" w:lineRule="exact"/>
      <w:ind w:left="811" w:hanging="448"/>
      <w:jc w:val="center"/>
      <w:outlineLvl w:val="0"/>
    </w:pPr>
    <w:rPr>
      <w:rFonts w:ascii="Times New Roman" w:hAnsi="Times New Roman" w:eastAsia="宋体" w:cs="Times New Roman"/>
      <w:color w:val="FFFFFF"/>
      <w:szCs w:val="24"/>
    </w:rPr>
  </w:style>
  <w:style w:type="paragraph" w:customStyle="1" w:styleId="39">
    <w:name w:val="正文表标题"/>
    <w:next w:val="33"/>
    <w:qFormat/>
    <w:uiPriority w:val="0"/>
    <w:pPr>
      <w:tabs>
        <w:tab w:val="left" w:pos="360"/>
        <w:tab w:val="left" w:pos="720"/>
      </w:tabs>
      <w:spacing w:beforeLines="50" w:afterLines="50"/>
      <w:ind w:left="720" w:hanging="720"/>
      <w:jc w:val="center"/>
    </w:pPr>
    <w:rPr>
      <w:rFonts w:ascii="黑体" w:hAnsi="Times New Roman" w:eastAsia="黑体" w:cs="Times New Roman"/>
      <w:sz w:val="21"/>
      <w:lang w:val="en-US" w:eastAsia="zh-CN" w:bidi="ar-SA"/>
    </w:rPr>
  </w:style>
  <w:style w:type="paragraph" w:customStyle="1" w:styleId="40">
    <w:name w:val="字母编号列项（一级）"/>
    <w:qFormat/>
    <w:uiPriority w:val="0"/>
    <w:pPr>
      <w:tabs>
        <w:tab w:val="left" w:pos="720"/>
        <w:tab w:val="left" w:pos="840"/>
      </w:tabs>
      <w:ind w:left="720" w:hanging="720"/>
      <w:jc w:val="both"/>
    </w:pPr>
    <w:rPr>
      <w:rFonts w:ascii="宋体" w:hAnsi="Times New Roman" w:eastAsia="宋体" w:cs="Times New Roman"/>
      <w:sz w:val="21"/>
      <w:lang w:val="en-US" w:eastAsia="zh-CN" w:bidi="ar-SA"/>
    </w:rPr>
  </w:style>
  <w:style w:type="paragraph" w:customStyle="1" w:styleId="41">
    <w:name w:val="章标题"/>
    <w:next w:val="33"/>
    <w:link w:val="81"/>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42">
    <w:name w:val="前言、引言标题"/>
    <w:next w:val="3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封面一致性程度标识"/>
    <w:basedOn w:val="31"/>
    <w:qFormat/>
    <w:uiPriority w:val="0"/>
    <w:pPr>
      <w:spacing w:before="440"/>
    </w:pPr>
    <w:rPr>
      <w:rFonts w:ascii="宋体" w:eastAsia="宋体"/>
    </w:rPr>
  </w:style>
  <w:style w:type="paragraph" w:customStyle="1" w:styleId="45">
    <w:name w:val="终结线"/>
    <w:basedOn w:val="1"/>
    <w:qFormat/>
    <w:uiPriority w:val="0"/>
    <w:rPr>
      <w:rFonts w:ascii="Times New Roman" w:hAnsi="Times New Roman" w:eastAsia="宋体" w:cs="Times New Roman"/>
      <w:szCs w:val="24"/>
    </w:rPr>
  </w:style>
  <w:style w:type="paragraph" w:customStyle="1" w:styleId="4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7">
    <w:name w:val="其他发布部门"/>
    <w:basedOn w:val="1"/>
    <w:qFormat/>
    <w:uiPriority w:val="0"/>
    <w:pPr>
      <w:widowControl/>
      <w:spacing w:line="0" w:lineRule="atLeast"/>
      <w:jc w:val="center"/>
    </w:pPr>
    <w:rPr>
      <w:rFonts w:ascii="黑体" w:hAnsi="Times New Roman" w:eastAsia="黑体" w:cs="Times New Roman"/>
      <w:spacing w:val="20"/>
      <w:w w:val="135"/>
      <w:kern w:val="0"/>
      <w:sz w:val="28"/>
      <w:szCs w:val="20"/>
    </w:rPr>
  </w:style>
  <w:style w:type="paragraph" w:customStyle="1" w:styleId="48">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49">
    <w:name w:val="其他发布日期"/>
    <w:basedOn w:val="1"/>
    <w:qFormat/>
    <w:uiPriority w:val="0"/>
    <w:pPr>
      <w:widowControl/>
      <w:jc w:val="left"/>
    </w:pPr>
    <w:rPr>
      <w:rFonts w:ascii="Times New Roman" w:hAnsi="Times New Roman" w:eastAsia="黑体" w:cs="Times New Roman"/>
      <w:kern w:val="0"/>
      <w:sz w:val="28"/>
      <w:szCs w:val="20"/>
    </w:rPr>
  </w:style>
  <w:style w:type="paragraph" w:customStyle="1" w:styleId="50">
    <w:name w:val="封面标准代替信息"/>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51">
    <w:name w:val="封面标准文稿编辑信息"/>
    <w:basedOn w:val="52"/>
    <w:qFormat/>
    <w:uiPriority w:val="0"/>
    <w:pPr>
      <w:spacing w:before="180" w:line="180" w:lineRule="exact"/>
    </w:pPr>
    <w:rPr>
      <w:sz w:val="21"/>
    </w:rPr>
  </w:style>
  <w:style w:type="paragraph" w:customStyle="1" w:styleId="52">
    <w:name w:val="封面标准文稿类别"/>
    <w:basedOn w:val="44"/>
    <w:qFormat/>
    <w:uiPriority w:val="0"/>
    <w:pPr>
      <w:spacing w:after="160" w:line="240" w:lineRule="auto"/>
    </w:pPr>
    <w:rPr>
      <w:sz w:val="24"/>
    </w:rPr>
  </w:style>
  <w:style w:type="paragraph" w:customStyle="1" w:styleId="53">
    <w:name w:val="附录标识"/>
    <w:basedOn w:val="1"/>
    <w:next w:val="33"/>
    <w:qFormat/>
    <w:uiPriority w:val="0"/>
    <w:pPr>
      <w:keepNext/>
      <w:widowControl/>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54">
    <w:name w:val="列项——（一级）"/>
    <w:qFormat/>
    <w:uiPriority w:val="0"/>
    <w:pPr>
      <w:widowControl w:val="0"/>
      <w:ind w:left="623" w:hanging="425"/>
      <w:jc w:val="both"/>
    </w:pPr>
    <w:rPr>
      <w:rFonts w:ascii="宋体" w:hAnsi="Times New Roman" w:eastAsia="宋体" w:cs="Times New Roman"/>
      <w:sz w:val="21"/>
      <w:lang w:val="en-US" w:eastAsia="zh-CN" w:bidi="ar-SA"/>
    </w:rPr>
  </w:style>
  <w:style w:type="paragraph" w:customStyle="1" w:styleId="55">
    <w:name w:val="附录图标号"/>
    <w:basedOn w:val="1"/>
    <w:qFormat/>
    <w:uiPriority w:val="0"/>
    <w:pPr>
      <w:keepNext/>
      <w:pageBreakBefore/>
      <w:widowControl/>
      <w:tabs>
        <w:tab w:val="left" w:pos="720"/>
      </w:tabs>
      <w:spacing w:line="14" w:lineRule="exact"/>
      <w:ind w:left="720" w:firstLine="363"/>
      <w:jc w:val="center"/>
      <w:outlineLvl w:val="0"/>
    </w:pPr>
    <w:rPr>
      <w:rFonts w:ascii="Times New Roman" w:hAnsi="Times New Roman" w:eastAsia="宋体" w:cs="Times New Roman"/>
      <w:color w:val="FFFFFF"/>
      <w:szCs w:val="24"/>
    </w:rPr>
  </w:style>
  <w:style w:type="paragraph" w:customStyle="1" w:styleId="56">
    <w:name w:val="其他标准标志"/>
    <w:basedOn w:val="1"/>
    <w:qFormat/>
    <w:uiPriority w:val="0"/>
    <w:pPr>
      <w:widowControl/>
      <w:shd w:val="solid" w:color="FFFFFF" w:fill="FFFFFF"/>
      <w:spacing w:line="0" w:lineRule="atLeast"/>
      <w:jc w:val="right"/>
    </w:pPr>
    <w:rPr>
      <w:rFonts w:ascii="Times New Roman" w:hAnsi="Times New Roman" w:eastAsia="宋体" w:cs="Times New Roman"/>
      <w:b/>
      <w:w w:val="130"/>
      <w:kern w:val="0"/>
      <w:sz w:val="96"/>
      <w:szCs w:val="96"/>
    </w:rPr>
  </w:style>
  <w:style w:type="paragraph" w:customStyle="1" w:styleId="57">
    <w:name w:val="其他实施日期"/>
    <w:basedOn w:val="1"/>
    <w:qFormat/>
    <w:uiPriority w:val="0"/>
    <w:pPr>
      <w:widowControl/>
      <w:jc w:val="right"/>
    </w:pPr>
    <w:rPr>
      <w:rFonts w:ascii="Times New Roman" w:hAnsi="Times New Roman" w:eastAsia="黑体" w:cs="Times New Roman"/>
      <w:kern w:val="0"/>
      <w:sz w:val="28"/>
      <w:szCs w:val="20"/>
    </w:rPr>
  </w:style>
  <w:style w:type="paragraph" w:customStyle="1" w:styleId="58">
    <w:name w:val="目次、标准名称标题"/>
    <w:basedOn w:val="1"/>
    <w:next w:val="33"/>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59">
    <w:name w:val="其他标准称谓"/>
    <w:next w:val="1"/>
    <w:qFormat/>
    <w:uiPriority w:val="0"/>
    <w:pPr>
      <w:spacing w:line="0" w:lineRule="atLeast"/>
      <w:jc w:val="distribute"/>
    </w:pPr>
    <w:rPr>
      <w:rFonts w:ascii="黑体" w:hAnsi="宋体" w:eastAsia="黑体" w:cs="Times New Roman"/>
      <w:spacing w:val="-40"/>
      <w:sz w:val="48"/>
      <w:szCs w:val="52"/>
      <w:lang w:val="en-US" w:eastAsia="zh-CN" w:bidi="ar-SA"/>
    </w:rPr>
  </w:style>
  <w:style w:type="paragraph" w:customStyle="1" w:styleId="6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61">
    <w:name w:val="标题 1 字符"/>
    <w:basedOn w:val="24"/>
    <w:link w:val="2"/>
    <w:qFormat/>
    <w:uiPriority w:val="9"/>
    <w:rPr>
      <w:b/>
      <w:bCs/>
      <w:kern w:val="44"/>
      <w:sz w:val="44"/>
      <w:szCs w:val="44"/>
    </w:rPr>
  </w:style>
  <w:style w:type="character" w:customStyle="1" w:styleId="62">
    <w:name w:val="标题 2 字符"/>
    <w:basedOn w:val="24"/>
    <w:link w:val="3"/>
    <w:qFormat/>
    <w:uiPriority w:val="9"/>
    <w:rPr>
      <w:rFonts w:asciiTheme="majorHAnsi" w:hAnsiTheme="majorHAnsi" w:eastAsiaTheme="majorEastAsia" w:cstheme="majorBidi"/>
      <w:b/>
      <w:bCs/>
      <w:sz w:val="32"/>
      <w:szCs w:val="32"/>
    </w:rPr>
  </w:style>
  <w:style w:type="paragraph" w:customStyle="1" w:styleId="6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4">
    <w:name w:val="批注框文本 字符"/>
    <w:basedOn w:val="24"/>
    <w:link w:val="12"/>
    <w:semiHidden/>
    <w:qFormat/>
    <w:uiPriority w:val="99"/>
    <w:rPr>
      <w:sz w:val="18"/>
      <w:szCs w:val="18"/>
    </w:rPr>
  </w:style>
  <w:style w:type="paragraph" w:styleId="65">
    <w:name w:val="List Paragraph"/>
    <w:basedOn w:val="1"/>
    <w:qFormat/>
    <w:uiPriority w:val="99"/>
    <w:pPr>
      <w:ind w:firstLine="420" w:firstLineChars="200"/>
    </w:pPr>
  </w:style>
  <w:style w:type="character" w:customStyle="1" w:styleId="66">
    <w:name w:val="标题 3 字符"/>
    <w:basedOn w:val="24"/>
    <w:link w:val="4"/>
    <w:qFormat/>
    <w:uiPriority w:val="9"/>
    <w:rPr>
      <w:b/>
      <w:bCs/>
      <w:sz w:val="32"/>
      <w:szCs w:val="32"/>
    </w:rPr>
  </w:style>
  <w:style w:type="character" w:customStyle="1" w:styleId="67">
    <w:name w:val="正文文本 字符"/>
    <w:basedOn w:val="24"/>
    <w:link w:val="7"/>
    <w:qFormat/>
    <w:uiPriority w:val="1"/>
    <w:rPr>
      <w:rFonts w:ascii="宋体" w:hAnsi="宋体" w:eastAsia="宋体"/>
      <w:kern w:val="0"/>
      <w:szCs w:val="21"/>
      <w:lang w:eastAsia="en-US"/>
    </w:rPr>
  </w:style>
  <w:style w:type="paragraph" w:customStyle="1" w:styleId="68">
    <w:name w:val="标准书眉_偶数页"/>
    <w:basedOn w:val="43"/>
    <w:next w:val="1"/>
    <w:qFormat/>
    <w:uiPriority w:val="0"/>
    <w:pPr>
      <w:jc w:val="left"/>
    </w:pPr>
  </w:style>
  <w:style w:type="character" w:customStyle="1" w:styleId="69">
    <w:name w:val="日期 字符"/>
    <w:basedOn w:val="24"/>
    <w:link w:val="11"/>
    <w:semiHidden/>
    <w:qFormat/>
    <w:uiPriority w:val="99"/>
  </w:style>
  <w:style w:type="paragraph" w:customStyle="1" w:styleId="7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character" w:customStyle="1" w:styleId="72">
    <w:name w:val="批注文字 字符"/>
    <w:basedOn w:val="24"/>
    <w:link w:val="6"/>
    <w:qFormat/>
    <w:uiPriority w:val="0"/>
  </w:style>
  <w:style w:type="character" w:customStyle="1" w:styleId="73">
    <w:name w:val="批注主题 字符"/>
    <w:basedOn w:val="72"/>
    <w:link w:val="21"/>
    <w:semiHidden/>
    <w:qFormat/>
    <w:uiPriority w:val="99"/>
    <w:rPr>
      <w:b/>
      <w:bCs/>
    </w:rPr>
  </w:style>
  <w:style w:type="paragraph" w:customStyle="1" w:styleId="74">
    <w:name w:val="条2"/>
    <w:basedOn w:val="1"/>
    <w:next w:val="33"/>
    <w:qFormat/>
    <w:uiPriority w:val="0"/>
    <w:pPr>
      <w:spacing w:beforeLines="50" w:afterLines="50"/>
      <w:outlineLvl w:val="1"/>
    </w:pPr>
    <w:rPr>
      <w:rFonts w:ascii="黑体" w:hAnsi="Times New Roman" w:eastAsia="黑体" w:cs="Times New Roman"/>
      <w:kern w:val="21"/>
      <w:szCs w:val="20"/>
    </w:rPr>
  </w:style>
  <w:style w:type="paragraph" w:customStyle="1" w:styleId="7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76">
    <w:name w:val="fontstyle01"/>
    <w:basedOn w:val="24"/>
    <w:qFormat/>
    <w:uiPriority w:val="0"/>
    <w:rPr>
      <w:rFonts w:hint="eastAsia" w:ascii="宋体" w:hAnsi="宋体" w:eastAsia="宋体"/>
      <w:color w:val="000000"/>
      <w:sz w:val="42"/>
      <w:szCs w:val="42"/>
    </w:rPr>
  </w:style>
  <w:style w:type="paragraph" w:customStyle="1" w:styleId="77">
    <w:name w:val="三级条标题"/>
    <w:basedOn w:val="36"/>
    <w:next w:val="1"/>
    <w:qFormat/>
    <w:uiPriority w:val="0"/>
    <w:pPr>
      <w:numPr>
        <w:ilvl w:val="0"/>
        <w:numId w:val="0"/>
      </w:numPr>
      <w:spacing w:beforeLines="50" w:afterLines="50"/>
      <w:outlineLvl w:val="4"/>
    </w:pPr>
  </w:style>
  <w:style w:type="paragraph" w:customStyle="1" w:styleId="78">
    <w:name w:val="四级条标题"/>
    <w:basedOn w:val="77"/>
    <w:next w:val="1"/>
    <w:qFormat/>
    <w:uiPriority w:val="0"/>
    <w:pPr>
      <w:outlineLvl w:val="5"/>
    </w:pPr>
  </w:style>
  <w:style w:type="paragraph" w:customStyle="1" w:styleId="79">
    <w:name w:val="五级条标题"/>
    <w:basedOn w:val="78"/>
    <w:next w:val="1"/>
    <w:qFormat/>
    <w:uiPriority w:val="0"/>
    <w:pPr>
      <w:outlineLvl w:val="6"/>
    </w:pPr>
  </w:style>
  <w:style w:type="paragraph" w:customStyle="1" w:styleId="80">
    <w:name w:val="Table Paragraph"/>
    <w:basedOn w:val="1"/>
    <w:qFormat/>
    <w:uiPriority w:val="1"/>
    <w:pPr>
      <w:spacing w:line="300" w:lineRule="auto"/>
      <w:jc w:val="left"/>
    </w:pPr>
    <w:rPr>
      <w:kern w:val="0"/>
      <w:sz w:val="22"/>
      <w:lang w:eastAsia="en-US"/>
    </w:rPr>
  </w:style>
  <w:style w:type="character" w:customStyle="1" w:styleId="81">
    <w:name w:val="章标题 Char"/>
    <w:link w:val="41"/>
    <w:qFormat/>
    <w:uiPriority w:val="0"/>
    <w:rPr>
      <w:rFonts w:ascii="黑体" w:hAnsi="Times New Roman" w:eastAsia="黑体" w:cs="Times New Roman"/>
      <w:kern w:val="0"/>
      <w:szCs w:val="20"/>
    </w:rPr>
  </w:style>
  <w:style w:type="paragraph" w:customStyle="1" w:styleId="82">
    <w:name w:val="二级无"/>
    <w:basedOn w:val="1"/>
    <w:qFormat/>
    <w:uiPriority w:val="0"/>
    <w:pPr>
      <w:widowControl/>
      <w:numPr>
        <w:ilvl w:val="2"/>
        <w:numId w:val="2"/>
      </w:numPr>
      <w:jc w:val="left"/>
      <w:outlineLvl w:val="3"/>
    </w:pPr>
    <w:rPr>
      <w:rFonts w:ascii="宋体" w:hAnsi="Times New Roman" w:eastAsia="宋体" w:cs="Times New Roman"/>
      <w:kern w:val="0"/>
      <w:szCs w:val="21"/>
    </w:rPr>
  </w:style>
  <w:style w:type="character" w:customStyle="1" w:styleId="83">
    <w:name w:val="正文文本 (2)_"/>
    <w:basedOn w:val="24"/>
    <w:link w:val="84"/>
    <w:qFormat/>
    <w:uiPriority w:val="0"/>
    <w:rPr>
      <w:rFonts w:ascii="MingLiU" w:hAnsi="MingLiU" w:eastAsia="MingLiU" w:cs="MingLiU"/>
      <w:sz w:val="22"/>
      <w:shd w:val="clear" w:color="auto" w:fill="FFFFFF"/>
    </w:rPr>
  </w:style>
  <w:style w:type="paragraph" w:customStyle="1" w:styleId="84">
    <w:name w:val="正文文本 (2)"/>
    <w:basedOn w:val="1"/>
    <w:link w:val="83"/>
    <w:qFormat/>
    <w:uiPriority w:val="0"/>
    <w:pPr>
      <w:shd w:val="clear" w:color="auto" w:fill="FFFFFF"/>
      <w:spacing w:before="1020" w:line="398" w:lineRule="exact"/>
      <w:jc w:val="left"/>
    </w:pPr>
    <w:rPr>
      <w:rFonts w:ascii="MingLiU" w:hAnsi="MingLiU" w:eastAsia="MingLiU" w:cs="MingLiU"/>
      <w:kern w:val="0"/>
      <w:sz w:val="22"/>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7E6078-F73E-4B95-85B3-E76AA2BF85EB}">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Pages>
  <Words>497</Words>
  <Characters>2837</Characters>
  <Lines>23</Lines>
  <Paragraphs>6</Paragraphs>
  <TotalTime>4</TotalTime>
  <ScaleCrop>false</ScaleCrop>
  <LinksUpToDate>false</LinksUpToDate>
  <CharactersWithSpaces>3328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2021-07-02T03:23:00Z</dcterms:created>
  <dc:creator>Lenovo</dc:creator>
  <cp:lastModifiedBy>果C的味道</cp:lastModifiedBy>
  <cp:lastPrinted>2019-02-12T09:03:00Z</cp:lastPrinted>
  <dcterms:modified xsi:type="dcterms:W3CDTF">2021-09-13T07:14:29Z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1AD286331A93483FB5DDFA39215C1C60</vt:lpwstr>
  </property>
</Properties>
</file>