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30051741"/>
      <w:bookmarkStart w:id="1" w:name="_Toc525046548"/>
      <w:bookmarkStart w:id="2" w:name="_Toc873628"/>
      <w:bookmarkStart w:id="3" w:name="_Toc509826185"/>
      <w:bookmarkStart w:id="4" w:name="_Toc65687976"/>
      <w:bookmarkStart w:id="5" w:name="_Toc13964"/>
      <w:bookmarkStart w:id="6" w:name="_Toc385602845"/>
      <w:bookmarkStart w:id="7" w:name="_Toc415043548"/>
      <w:bookmarkStart w:id="8" w:name="_Toc415043894"/>
      <w:bookmarkStart w:id="9" w:name="_Toc415043487"/>
      <w:r>
        <w:pict>
          <v:shape id="Text Box 396" o:spid="_x0000_s1026" o:spt="202" type="#_x0000_t202" style="position:absolute;left:0pt;margin-left:308.85pt;margin-top:15.6pt;height:70.2pt;width:158.35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">
            <v:path/>
            <v:fill focussize="0,0"/>
            <v:stroke on="f" joinstyle="miter"/>
            <v:imagedata o:title=""/>
            <o:lock v:ext="edit"/>
            <v:textbox>
              <w:txbxContent>
                <w:p/>
              </w:txbxContent>
            </v:textbox>
          </v:shape>
        </w:pict>
      </w:r>
      <w:r>
        <w:pict>
          <v:shape id="文本框 21" o:spid="_x0000_s1027" o:spt="202" type="#_x0000_t202" style="position:absolute;left:0pt;margin-left:357.15pt;margin-top:711.45pt;height:34pt;width:67.3pt;mso-position-horizontal-relative:margin;mso-position-vertical-relative:margin;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">
            <v:path/>
            <v:fill focussize="0,0"/>
            <v:stroke on="f" joinstyle="miter"/>
            <v:imagedata o:title=""/>
            <o:lock v:ext="edit"/>
            <v:textbox inset="0mm,0mm,0mm,0mm">
              <w:txbxContent>
                <w:p>
                  <w:pPr>
                    <w:pStyle w:val="47"/>
                    <w:jc w:val="right"/>
                  </w:pPr>
                  <w:r>
                    <w:rPr>
                      <w:rStyle w:val="34"/>
                      <w:rFonts w:hint="eastAsia"/>
                    </w:rPr>
                    <w:t xml:space="preserve">    发布</w:t>
                  </w:r>
                </w:p>
              </w:txbxContent>
            </v:textbox>
            <w10:anchorlock/>
          </v:shape>
        </w:pict>
      </w:r>
      <w:r>
        <w:pict>
          <v:shape id="_x0000_s1028" o:spid="_x0000_s1028" o:spt="202" type="#_x0000_t202" style="position:absolute;left:0pt;margin-left:10pt;margin-top:715.95pt;height:54.25pt;width:401.7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">
            <v:path/>
            <v:fill focussize="0,0"/>
            <v:stroke on="f" joinstyle="miter"/>
            <v:imagedata o:title=""/>
            <o:lock v:ext="edit"/>
            <v:textbox inset="0mm,0mm,0mm,0mm">
              <w:txbxContent>
                <w:p>
                  <w:pPr>
                    <w:pStyle w:val="47"/>
                  </w:pPr>
                  <w:r>
                    <w:rPr>
                      <w:rFonts w:hint="eastAsia"/>
                      <w:sz w:val="36"/>
                      <w:szCs w:val="36"/>
                    </w:rPr>
                    <w:t xml:space="preserve"> </w:t>
                  </w:r>
                  <w:r>
                    <w:rPr>
                      <w:rFonts w:hint="eastAsia"/>
                      <w:sz w:val="30"/>
                      <w:szCs w:val="30"/>
                    </w:rPr>
                    <w:t>山东省电线电缆行业协会</w:t>
                  </w:r>
                  <w:r>
                    <w:rPr>
                      <w:rStyle w:val="34"/>
                      <w:rFonts w:hint="eastAsia"/>
                      <w:sz w:val="30"/>
                      <w:szCs w:val="30"/>
                    </w:rPr>
                    <w:t xml:space="preserve">          </w:t>
                  </w:r>
                  <w:r>
                    <w:rPr>
                      <w:rFonts w:hint="eastAsia"/>
                      <w:sz w:val="30"/>
                      <w:szCs w:val="30"/>
                    </w:rPr>
                    <w:t>中国技术经济学会</w:t>
                  </w:r>
                </w:p>
              </w:txbxContent>
            </v:textbox>
            <w10:anchorlock/>
          </v:shape>
        </w:pic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/CBMF</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w:pict>
          <v:line id="直接连接符 22" o:spid="_x0000_s1033" o:spt="20" style="position:absolute;left:0pt;margin-left:-5.9pt;margin-top:17.05pt;height:0pt;width:482pt;z-index:251661312;mso-width-relative:page;mso-height-relative:page;"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i&#10;LcLYAAAACQEAAA8AAAAAAAAAAQAgAAAAIgAAAGRycy9kb3ducmV2LnhtbFBLAQIUABQAAAAIAIdO&#10;4kBS3mFm6gEAALsDAAAOAAAAAAAAAAEAIAAAACcBAABkcnMvZTJvRG9jLnhtbFBLBQYAAAAABgAG&#10;AFkBAACDBQAAAAA=&#10;">
            <v:path arrowok="t"/>
            <v:fill focussize="0,0"/>
            <v:stroke weight="1pt" color="#080000"/>
            <v:imagedata o:title=""/>
            <o:lock v:ext="edit"/>
          </v:line>
        </w:pic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2443" w:leftChars="418" w:hanging="1565" w:hangingChars="300"/>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rPr>
        <w:t>风力电缆</w:t>
      </w:r>
    </w:p>
    <w:p>
      <w:pPr>
        <w:spacing w:beforeLines="50" w:line="360" w:lineRule="exact"/>
        <w:jc w:val="center"/>
        <w:rPr>
          <w:rFonts w:ascii="TimesNewRoman" w:hAnsi="TimesNewRoman" w:cs="TimesNewRoman"/>
          <w:kern w:val="0"/>
          <w:sz w:val="28"/>
          <w:szCs w:val="28"/>
        </w:rPr>
      </w:pPr>
    </w:p>
    <w:p>
      <w:pPr>
        <w:spacing w:beforeLines="50" w:line="360" w:lineRule="exact"/>
        <w:jc w:val="center"/>
        <w:rPr>
          <w:rFonts w:ascii="TimesNewRoman" w:hAnsi="TimesNewRoman" w:cs="TimesNewRoman"/>
          <w:kern w:val="0"/>
          <w:sz w:val="28"/>
          <w:szCs w:val="28"/>
        </w:rPr>
      </w:pPr>
      <w:r>
        <w:rPr>
          <w:rFonts w:ascii="TimesNewRoman" w:hAnsi="TimesNewRoman" w:cs="TimesNewRoman"/>
          <w:kern w:val="0"/>
          <w:sz w:val="28"/>
          <w:szCs w:val="28"/>
        </w:rPr>
        <w:t>The leader standard evaluation requires</w:t>
      </w:r>
      <w:r>
        <w:rPr>
          <w:rFonts w:hint="eastAsia" w:ascii="TimesNewRoman" w:hAnsi="TimesNewRoman" w:cs="TimesNewRoman"/>
          <w:kern w:val="0"/>
          <w:sz w:val="28"/>
          <w:szCs w:val="28"/>
        </w:rPr>
        <w:t xml:space="preserve"> for</w:t>
      </w:r>
      <w:r>
        <w:rPr>
          <w:rFonts w:ascii="TimesNewRoman" w:hAnsi="TimesNewRoman" w:cs="TimesNewRoman"/>
          <w:kern w:val="0"/>
          <w:sz w:val="28"/>
          <w:szCs w:val="28"/>
        </w:rPr>
        <w:t xml:space="preserve"> wind power cables</w:t>
      </w:r>
    </w:p>
    <w:p>
      <w:pPr>
        <w:pStyle w:val="33"/>
        <w:ind w:firstLine="0" w:firstLineChars="0"/>
        <w:rPr>
          <w:rFonts w:ascii="Times New Roman"/>
          <w:sz w:val="18"/>
          <w:szCs w:val="18"/>
        </w:rPr>
      </w:pPr>
      <w:r>
        <w:rPr>
          <w:rFonts w:hint="eastAsia" w:ascii="TimesNewRoman" w:hAnsi="TimesNewRoman" w:cs="TimesNewRoman"/>
          <w:kern w:val="0"/>
          <w:sz w:val="28"/>
          <w:szCs w:val="28"/>
        </w:rPr>
        <w:t xml:space="preserve"> </w:t>
      </w: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（征</w:t>
      </w:r>
      <w:r>
        <w:rPr>
          <w:rFonts w:hint="eastAsia" w:ascii="Times New Roman"/>
          <w:b/>
          <w:bCs/>
          <w:sz w:val="40"/>
          <w:szCs w:val="40"/>
          <w:lang w:val="en-US" w:eastAsia="zh-CN"/>
        </w:rPr>
        <w:t>求</w:t>
      </w:r>
      <w:bookmarkStart w:id="61" w:name="_GoBack"/>
      <w:bookmarkEnd w:id="61"/>
      <w:r>
        <w:rPr>
          <w:rFonts w:hint="eastAsia" w:ascii="Times New Roman"/>
          <w:b/>
          <w:bCs/>
          <w:sz w:val="40"/>
          <w:szCs w:val="40"/>
        </w:rPr>
        <w:t>意见稿）</w:t>
      </w:r>
    </w:p>
    <w:p>
      <w:pPr>
        <w:pStyle w:val="33"/>
        <w:ind w:firstLine="0" w:firstLineChars="0"/>
        <w:rPr>
          <w:rFonts w:ascii="Times New Roman"/>
          <w:sz w:val="18"/>
          <w:szCs w:val="18"/>
        </w:rPr>
      </w:pPr>
    </w:p>
    <w:p>
      <w:pPr>
        <w:pStyle w:val="44"/>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w:pict>
          <v:shape id="文本框 19" o:spid="_x0000_s1029" o:spt="202" type="#_x0000_t202" style="position:absolute;left:0pt;margin-left:343.35pt;margin-top:680.45pt;height:24.6pt;width:132.75pt;mso-position-horizontal-relative:margin;mso-position-vertical-relative:margin;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">
            <v:path/>
            <v:fill focussize="0,0"/>
            <v:stroke on="f" joinstyle="miter"/>
            <v:imagedata o:title=""/>
            <o:lock v:ext="edit"/>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4" w:type="default"/>
          <w:headerReference r:id="rId3" w:type="even"/>
          <w:pgSz w:w="11906" w:h="16838"/>
          <w:pgMar w:top="567" w:right="1134" w:bottom="1134" w:left="1418" w:header="1418" w:footer="1134" w:gutter="0"/>
          <w:pgNumType w:start="1"/>
          <w:cols w:space="720" w:num="1"/>
          <w:formProt w:val="0"/>
          <w:docGrid w:type="lines" w:linePitch="312" w:charSpace="0"/>
        </w:sectPr>
      </w:pPr>
      <w:r>
        <w:pict>
          <v:shape id="AutoShape 38" o:spid="_x0000_s1032" o:spt="32" type="#_x0000_t32" style="position:absolute;left:0pt;margin-left:-5.9pt;margin-top:159.05pt;height:0pt;width:464.8pt;z-index:251665408;mso-width-relative:page;mso-height-relative:page;" filled="f"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BL/DVAAAACAEAAA8AAAAAAAAA&#10;AQAgAAAAIgAAAGRycy9kb3ducmV2LnhtbFBLAQIUABQAAAAIAIdO4kDa0Czp2wEAAMIDAAAOAAAA&#10;AAAAAAEAIAAAACQBAABkcnMvZTJvRG9jLnhtbFBLBQYAAAAABgAGAFkBAABxBQAAAAA=&#10;">
            <v:path arrowok="t"/>
            <v:fill on="f" focussize="0,0"/>
            <v:stroke/>
            <v:imagedata o:title=""/>
            <o:lock v:ext="edit"/>
          </v:shape>
        </w:pict>
      </w:r>
      <w:r>
        <w:pict>
          <v:shape id="_x0000_s1030" o:spid="_x0000_s1030" o:spt="202" type="#_x0000_t202" style="position:absolute;left:0pt;margin-left:-2.05pt;margin-top:676.45pt;height:24.6pt;width:159pt;mso-position-horizontal-relative:margin;mso-position-vertical-relative:margin;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">
            <v:path/>
            <v:fill focussize="0,0"/>
            <v:stroke on="f" joinstyle="miter"/>
            <v:imagedata o:title=""/>
            <o:lock v:ext="edit"/>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w:r>
    </w:p>
    <w:bookmarkEnd w:id="0"/>
    <w:bookmarkEnd w:id="1"/>
    <w:bookmarkEnd w:id="2"/>
    <w:bookmarkEnd w:id="3"/>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color w:val="FF0000"/>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Lines="50"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ind w:firstLine="420" w:firstLineChars="200"/>
        <w:rPr>
          <w:rFonts w:cs="宋体" w:asciiTheme="minorEastAsia" w:hAnsiTheme="minorEastAsia"/>
        </w:rPr>
      </w:pPr>
      <w:r>
        <w:rPr>
          <w:rFonts w:hint="eastAsia" w:cs="宋体" w:asciiTheme="minorEastAsia" w:hAnsiTheme="minorEastAsia"/>
        </w:rPr>
        <w:t>本标准按照GB/T 1.1—2020《标准化工作导则  第1部分：标准化文件的结构和起草规则》和T/CAQP 015—2020、 T/ESF 0001—2020 《“领跑者”标准编制通则》的规定起草。</w:t>
      </w:r>
    </w:p>
    <w:p>
      <w:pPr>
        <w:autoSpaceDE w:val="0"/>
        <w:autoSpaceDN w:val="0"/>
        <w:adjustRightInd w:val="0"/>
        <w:ind w:firstLine="420" w:firstLineChars="200"/>
        <w:rPr>
          <w:rFonts w:cs="Times New Roman" w:asciiTheme="minorEastAsia" w:hAnsiTheme="minorEastAsia"/>
          <w:color w:val="000000"/>
          <w:kern w:val="0"/>
        </w:rPr>
      </w:pPr>
      <w:r>
        <w:rPr>
          <w:rFonts w:cs="Times New Roman" w:asciiTheme="minorEastAsia" w:hAnsiTheme="minorEastAsia"/>
          <w:color w:val="000000"/>
          <w:kern w:val="0"/>
        </w:rPr>
        <w:t>请注意本文件的某些内容可能涉及专利。本文件的发布机构不承担识别专利的责任。</w:t>
      </w:r>
    </w:p>
    <w:p>
      <w:pPr>
        <w:ind w:firstLine="420" w:firstLineChars="200"/>
        <w:rPr>
          <w:rFonts w:cs="宋体" w:asciiTheme="minorEastAsia" w:hAnsiTheme="minorEastAsia"/>
        </w:rPr>
      </w:pPr>
      <w:r>
        <w:rPr>
          <w:rFonts w:cs="宋体" w:asciiTheme="minorEastAsia" w:hAnsiTheme="minorEastAsia"/>
        </w:rPr>
        <w:t>本</w:t>
      </w:r>
      <w:r>
        <w:rPr>
          <w:rFonts w:hint="eastAsia" w:cs="宋体" w:asciiTheme="minorEastAsia" w:hAnsiTheme="minorEastAsia"/>
        </w:rPr>
        <w:t>标准</w:t>
      </w:r>
      <w:r>
        <w:rPr>
          <w:rFonts w:cs="宋体" w:asciiTheme="minorEastAsia" w:hAnsiTheme="minorEastAsia"/>
        </w:rPr>
        <w:t>由</w:t>
      </w:r>
      <w:r>
        <w:rPr>
          <w:rFonts w:hint="eastAsia" w:cs="宋体" w:asciiTheme="minorEastAsia" w:hAnsiTheme="minorEastAsia"/>
        </w:rPr>
        <w:t>山东省电线电缆行业协会与企业标准“领跑者”工作委员会联合提出</w:t>
      </w:r>
    </w:p>
    <w:p>
      <w:pPr>
        <w:ind w:firstLine="420" w:firstLineChars="200"/>
        <w:rPr>
          <w:rFonts w:cs="宋体" w:asciiTheme="minorEastAsia" w:hAnsiTheme="minorEastAsia"/>
        </w:rPr>
      </w:pPr>
      <w:r>
        <w:rPr>
          <w:rFonts w:hint="eastAsia" w:cs="宋体" w:asciiTheme="minorEastAsia" w:hAnsiTheme="minorEastAsia"/>
        </w:rPr>
        <w:t>本标准由山东省电线电缆行业协会与中国技术经济学会归口。</w:t>
      </w:r>
    </w:p>
    <w:p>
      <w:pPr>
        <w:ind w:firstLine="420" w:firstLineChars="200"/>
        <w:rPr>
          <w:rFonts w:hint="eastAsia" w:cs="宋体" w:asciiTheme="minorEastAsia" w:hAnsiTheme="minorEastAsia" w:eastAsiaTheme="minorEastAsia"/>
          <w:lang w:eastAsia="zh-CN"/>
        </w:rPr>
      </w:pPr>
      <w:r>
        <w:rPr>
          <w:rFonts w:hint="eastAsia" w:cs="宋体" w:asciiTheme="minorEastAsia" w:hAnsiTheme="minorEastAsia"/>
        </w:rPr>
        <w:t>本标准起草单位</w:t>
      </w:r>
      <w:r>
        <w:rPr>
          <w:rFonts w:cs="宋体" w:asciiTheme="minorEastAsia" w:hAnsiTheme="minorEastAsia"/>
        </w:rPr>
        <w:t>：</w:t>
      </w:r>
      <w:r>
        <w:rPr>
          <w:rFonts w:hint="eastAsia" w:cs="宋体" w:asciiTheme="minorEastAsia" w:hAnsiTheme="minorEastAsia"/>
        </w:rPr>
        <w:t>远东电缆有限公司、特变电工山东鲁能泰山电缆有限公司</w:t>
      </w:r>
      <w:r>
        <w:rPr>
          <w:rFonts w:hint="eastAsia" w:cs="宋体" w:asciiTheme="minorEastAsia" w:hAnsiTheme="minorEastAsia"/>
          <w:lang w:eastAsia="zh-CN"/>
        </w:rPr>
        <w:t>、</w:t>
      </w:r>
      <w:r>
        <w:rPr>
          <w:rFonts w:hint="eastAsia" w:cs="宋体" w:asciiTheme="minorEastAsia" w:hAnsiTheme="minorEastAsia"/>
        </w:rPr>
        <w:t>山东省电线电缆行业协会等</w:t>
      </w:r>
      <w:r>
        <w:rPr>
          <w:rFonts w:hint="eastAsia" w:cs="宋体" w:asciiTheme="minorEastAsia" w:hAnsiTheme="minorEastAsia"/>
          <w:lang w:eastAsia="zh-CN"/>
        </w:rPr>
        <w:t>。</w:t>
      </w:r>
    </w:p>
    <w:p>
      <w:pPr>
        <w:ind w:firstLine="420" w:firstLineChars="200"/>
        <w:rPr>
          <w:rFonts w:hint="default" w:cs="宋体" w:asciiTheme="minorEastAsia" w:hAnsiTheme="minorEastAsia" w:eastAsiaTheme="minorEastAsia"/>
          <w:lang w:val="en-US" w:eastAsia="zh-CN"/>
        </w:rPr>
      </w:pPr>
      <w:r>
        <w:rPr>
          <w:rFonts w:hint="eastAsia" w:cs="宋体" w:asciiTheme="minorEastAsia" w:hAnsiTheme="minorEastAsia"/>
        </w:rPr>
        <w:t>本标准主要起草人：张群、徐静、王亮、肖成龙、李佩柏、丁彦明、臧德峰、袁朝彦、王丙喜</w:t>
      </w:r>
      <w:r>
        <w:rPr>
          <w:rFonts w:hint="eastAsia" w:cs="宋体" w:asciiTheme="minorEastAsia" w:hAnsiTheme="minorEastAsia"/>
          <w:lang w:eastAsia="zh-CN"/>
        </w:rPr>
        <w:t>、</w:t>
      </w:r>
      <w:r>
        <w:rPr>
          <w:rFonts w:hint="eastAsia" w:cs="宋体" w:asciiTheme="minorEastAsia" w:hAnsiTheme="minorEastAsia"/>
          <w:lang w:val="en-US" w:eastAsia="zh-CN"/>
        </w:rPr>
        <w:t>翟建飞等。</w:t>
      </w:r>
    </w:p>
    <w:p>
      <w:pPr>
        <w:pStyle w:val="33"/>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ind w:firstLine="420" w:firstLineChars="200"/>
        <w:rPr>
          <w:rFonts w:asciiTheme="minorEastAsia" w:hAnsiTheme="minorEastAsia"/>
          <w:szCs w:val="21"/>
        </w:rPr>
      </w:pPr>
      <w:r>
        <w:rPr>
          <w:rFonts w:hint="eastAsia" w:asciiTheme="minorEastAsia" w:hAnsiTheme="minorEastAsia"/>
          <w:szCs w:val="21"/>
        </w:rPr>
        <w:t>随着国家双碳目标的提出，清洁能源迎来了新的发展高峰。风力发电作为清洁能源中龙头产品，在未来发展中起到至关重要的作用。</w:t>
      </w:r>
      <w:r>
        <w:rPr>
          <w:rFonts w:asciiTheme="minorEastAsia" w:hAnsiTheme="minorEastAsia"/>
          <w:szCs w:val="21"/>
        </w:rPr>
        <w:t>从“十二五”到“十三五”，中国风电经历了</w:t>
      </w:r>
      <w:r>
        <w:rPr>
          <w:rFonts w:hint="eastAsia" w:asciiTheme="minorEastAsia" w:hAnsiTheme="minorEastAsia"/>
          <w:szCs w:val="21"/>
        </w:rPr>
        <w:t>快速的</w:t>
      </w:r>
      <w:r>
        <w:rPr>
          <w:rFonts w:asciiTheme="minorEastAsia" w:hAnsiTheme="minorEastAsia"/>
          <w:szCs w:val="21"/>
        </w:rPr>
        <w:t>发展</w:t>
      </w:r>
      <w:r>
        <w:rPr>
          <w:rFonts w:hint="eastAsia" w:asciiTheme="minorEastAsia" w:hAnsiTheme="minorEastAsia"/>
          <w:szCs w:val="21"/>
        </w:rPr>
        <w:t>，</w:t>
      </w:r>
      <w:r>
        <w:rPr>
          <w:rFonts w:asciiTheme="minorEastAsia" w:hAnsiTheme="minorEastAsia"/>
          <w:szCs w:val="21"/>
        </w:rPr>
        <w:t>从2016年开始，风电装机实现大幅度增长。而在未来几年，</w:t>
      </w:r>
      <w:r>
        <w:rPr>
          <w:rFonts w:hint="eastAsia" w:asciiTheme="minorEastAsia" w:hAnsiTheme="minorEastAsia"/>
          <w:szCs w:val="21"/>
        </w:rPr>
        <w:t>随着国家政策相继出台，风电装机量将继续增加</w:t>
      </w:r>
      <w:r>
        <w:rPr>
          <w:rFonts w:asciiTheme="minorEastAsia" w:hAnsiTheme="minorEastAsia"/>
          <w:szCs w:val="21"/>
        </w:rPr>
        <w:t>。20</w:t>
      </w:r>
      <w:r>
        <w:rPr>
          <w:rFonts w:hint="eastAsia" w:asciiTheme="minorEastAsia" w:hAnsiTheme="minorEastAsia"/>
          <w:szCs w:val="21"/>
        </w:rPr>
        <w:t>20</w:t>
      </w:r>
      <w:r>
        <w:rPr>
          <w:rFonts w:asciiTheme="minorEastAsia" w:hAnsiTheme="minorEastAsia"/>
          <w:szCs w:val="21"/>
        </w:rPr>
        <w:t>年中国风电</w:t>
      </w:r>
      <w:r>
        <w:rPr>
          <w:rFonts w:hint="eastAsia" w:asciiTheme="minorEastAsia" w:hAnsiTheme="minorEastAsia"/>
          <w:szCs w:val="21"/>
        </w:rPr>
        <w:t>新增</w:t>
      </w:r>
      <w:r>
        <w:rPr>
          <w:rFonts w:asciiTheme="minorEastAsia" w:hAnsiTheme="minorEastAsia"/>
          <w:szCs w:val="21"/>
        </w:rPr>
        <w:t>装机容量</w:t>
      </w:r>
      <w:r>
        <w:rPr>
          <w:rFonts w:hint="eastAsia" w:asciiTheme="minorEastAsia" w:hAnsiTheme="minorEastAsia"/>
          <w:szCs w:val="21"/>
        </w:rPr>
        <w:t>71.67</w:t>
      </w:r>
      <w:r>
        <w:rPr>
          <w:rFonts w:asciiTheme="minorEastAsia" w:hAnsiTheme="minorEastAsia"/>
          <w:szCs w:val="21"/>
        </w:rPr>
        <w:t>GW，</w:t>
      </w:r>
      <w:r>
        <w:rPr>
          <w:rFonts w:hint="eastAsia" w:asciiTheme="minorEastAsia" w:hAnsiTheme="minorEastAsia"/>
          <w:szCs w:val="21"/>
        </w:rPr>
        <w:t>碳达峰期间年平均需求量约50GW</w:t>
      </w:r>
      <w:r>
        <w:rPr>
          <w:rFonts w:asciiTheme="minorEastAsia" w:hAnsiTheme="minorEastAsia"/>
          <w:szCs w:val="21"/>
        </w:rPr>
        <w:t>。</w:t>
      </w:r>
    </w:p>
    <w:p>
      <w:pPr>
        <w:ind w:firstLine="420" w:firstLineChars="200"/>
        <w:jc w:val="left"/>
        <w:rPr>
          <w:rFonts w:cs="Times New Roman" w:asciiTheme="minorEastAsia" w:hAnsiTheme="minorEastAsia"/>
          <w:szCs w:val="21"/>
        </w:rPr>
      </w:pPr>
      <w:r>
        <w:rPr>
          <w:rFonts w:hint="eastAsia" w:asciiTheme="minorEastAsia" w:hAnsiTheme="minorEastAsia"/>
          <w:kern w:val="0"/>
          <w:szCs w:val="21"/>
        </w:rPr>
        <w:t>平价时代来临，对风电的成本进一步压降，降低风机度电成本是各主机商最关心的问题。随着降本方案的提出，风电的设计容量越来越小，对产品质量要求在逐步提高。风力电缆作为风力发电中核心零部件，质量可靠性决定了风机的安全稳定运行。经过20年左右发展，电缆的技术规范相对成熟，但各电缆厂家控制水平存在一定差距，本标准从产品性能指标方面入手，通过优质产品控制标准引领，提升行业整体制造水平，促进风力发电稳定发展。</w:t>
      </w:r>
      <w:r>
        <w:rPr>
          <w:rFonts w:cs="Times New Roman" w:asciiTheme="minorEastAsia" w:hAnsiTheme="minorEastAsia"/>
          <w:szCs w:val="21"/>
        </w:rPr>
        <w:t xml:space="preserve"> </w:t>
      </w:r>
    </w:p>
    <w:p>
      <w:pPr>
        <w:pStyle w:val="33"/>
        <w:sectPr>
          <w:headerReference r:id="rId5" w:type="default"/>
          <w:footerReference r:id="rId6" w:type="default"/>
          <w:pgSz w:w="11906" w:h="16838"/>
          <w:pgMar w:top="1440" w:right="1800" w:bottom="1440" w:left="1800" w:header="1418" w:footer="1134" w:gutter="0"/>
          <w:pgNumType w:fmt="upperRoman" w:start="1"/>
          <w:cols w:space="720" w:num="1"/>
          <w:formProt w:val="0"/>
          <w:docGrid w:type="lines" w:linePitch="312" w:charSpace="0"/>
        </w:sectPr>
      </w:pPr>
    </w:p>
    <w:p>
      <w:pPr>
        <w:pStyle w:val="58"/>
        <w:outlineLvl w:val="9"/>
      </w:pPr>
      <w:r>
        <w:rPr>
          <w:rFonts w:hint="eastAsia"/>
        </w:rPr>
        <w:t>“领跑者”标准评价要求  风力电缆</w:t>
      </w:r>
    </w:p>
    <w:p>
      <w:pPr>
        <w:pStyle w:val="41"/>
        <w:spacing w:before="312" w:after="312"/>
        <w:ind w:left="0"/>
        <w:rPr>
          <w:rFonts w:ascii="Times New Roman"/>
        </w:rPr>
      </w:pPr>
      <w:bookmarkStart w:id="12" w:name="_Toc454204936"/>
      <w:bookmarkStart w:id="13" w:name="_Toc432749980"/>
      <w:bookmarkStart w:id="14" w:name="_Toc434479145"/>
      <w:bookmarkStart w:id="15" w:name="_Toc434416245"/>
      <w:bookmarkStart w:id="16" w:name="_Toc432749937"/>
      <w:r>
        <w:rPr>
          <w:rFonts w:ascii="Times New Roman"/>
        </w:rPr>
        <w:t>范围</w:t>
      </w:r>
      <w:bookmarkEnd w:id="12"/>
      <w:bookmarkEnd w:id="13"/>
      <w:bookmarkEnd w:id="14"/>
      <w:bookmarkEnd w:id="15"/>
      <w:bookmarkEnd w:id="16"/>
    </w:p>
    <w:p>
      <w:pPr>
        <w:ind w:firstLine="420" w:firstLineChars="200"/>
        <w:rPr>
          <w:rFonts w:asciiTheme="minorEastAsia" w:hAnsiTheme="minorEastAsia"/>
        </w:rPr>
      </w:pPr>
      <w:r>
        <w:rPr>
          <w:rFonts w:hint="eastAsia" w:asciiTheme="minorEastAsia" w:hAnsiTheme="minorEastAsia"/>
        </w:rPr>
        <w:t>本标准规定了额定电压35kV及以下风力发电用耐扭曲软电缆“领跑者”标准评价的术语和定义、评价指标体系和评价方法。</w:t>
      </w:r>
    </w:p>
    <w:p>
      <w:pPr>
        <w:ind w:firstLine="420" w:firstLineChars="200"/>
        <w:rPr>
          <w:rFonts w:asciiTheme="minorEastAsia" w:hAnsiTheme="minorEastAsia"/>
          <w:color w:val="000000" w:themeColor="text1"/>
        </w:rPr>
      </w:pPr>
      <w:r>
        <w:rPr>
          <w:rFonts w:hint="eastAsia" w:asciiTheme="minorEastAsia" w:hAnsiTheme="minorEastAsia"/>
          <w:color w:val="000000" w:themeColor="text1"/>
        </w:rPr>
        <w:t>本</w:t>
      </w:r>
      <w:r>
        <w:rPr>
          <w:rFonts w:hint="eastAsia" w:asciiTheme="minorEastAsia" w:hAnsiTheme="minorEastAsia"/>
        </w:rPr>
        <w:t>标准</w:t>
      </w:r>
      <w:r>
        <w:rPr>
          <w:rFonts w:hint="eastAsia" w:asciiTheme="minorEastAsia" w:hAnsiTheme="minorEastAsia"/>
          <w:color w:val="000000" w:themeColor="text1"/>
        </w:rPr>
        <w:t>适用于额定电压35kV及以下风力发电用耐扭曲软电缆的企业</w:t>
      </w:r>
      <w:r>
        <w:rPr>
          <w:rFonts w:hint="eastAsia" w:asciiTheme="minorEastAsia" w:hAnsiTheme="minorEastAsia"/>
        </w:rPr>
        <w:t>标准水平评价。</w:t>
      </w:r>
      <w:r>
        <w:rPr>
          <w:rFonts w:hint="eastAsia" w:asciiTheme="minorEastAsia" w:hAnsiTheme="minorEastAsia"/>
          <w:bCs/>
          <w:spacing w:val="10"/>
          <w:szCs w:val="21"/>
        </w:rPr>
        <w:t>相关机构在制定企业标准“领跑者”评估方案时可参考使用本标准。企业在制定企业标准时也可参照使用。</w:t>
      </w:r>
    </w:p>
    <w:p>
      <w:pPr>
        <w:pStyle w:val="41"/>
        <w:spacing w:before="312" w:after="312"/>
        <w:ind w:left="0"/>
        <w:rPr>
          <w:rFonts w:ascii="Times New Roman"/>
        </w:rPr>
      </w:pPr>
      <w:bookmarkStart w:id="17" w:name="_Toc415043550"/>
      <w:bookmarkStart w:id="18" w:name="_Toc415043489"/>
      <w:bookmarkStart w:id="19" w:name="_Toc385602848"/>
      <w:bookmarkStart w:id="20" w:name="_Toc385601799"/>
      <w:bookmarkStart w:id="21" w:name="_Toc17469"/>
      <w:bookmarkStart w:id="22" w:name="_Toc65687979"/>
      <w:bookmarkStart w:id="23" w:name="_Toc415043896"/>
      <w:r>
        <w:rPr>
          <w:rFonts w:hint="eastAsia" w:ascii="Times New Roman"/>
        </w:rPr>
        <w:t>规范性引用文件</w:t>
      </w:r>
      <w:bookmarkEnd w:id="17"/>
      <w:bookmarkEnd w:id="18"/>
      <w:bookmarkEnd w:id="19"/>
      <w:bookmarkEnd w:id="20"/>
      <w:bookmarkEnd w:id="21"/>
      <w:bookmarkEnd w:id="22"/>
      <w:bookmarkEnd w:id="23"/>
    </w:p>
    <w:p>
      <w:pPr>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pStyle w:val="33"/>
        <w:rPr>
          <w:rFonts w:hAnsi="宋体" w:eastAsia="宋体"/>
        </w:rPr>
      </w:pPr>
      <w:r>
        <w:rPr>
          <w:rFonts w:hint="eastAsia" w:hAnsi="宋体" w:eastAsia="宋体"/>
        </w:rPr>
        <w:t>GB/T 2900.10  电工术语  电缆</w:t>
      </w:r>
    </w:p>
    <w:p>
      <w:pPr>
        <w:pStyle w:val="33"/>
      </w:pPr>
      <w:r>
        <w:t>GB/T 2951.11</w:t>
      </w:r>
      <w:r>
        <w:rPr>
          <w:rFonts w:hint="eastAsia"/>
        </w:rPr>
        <w:t xml:space="preserve">  电缆和光缆绝缘和护套材料通用试验方法</w:t>
      </w:r>
      <w:r>
        <w:t xml:space="preserve"> </w:t>
      </w:r>
      <w:r>
        <w:rPr>
          <w:rFonts w:hint="eastAsia"/>
        </w:rPr>
        <w:t>第</w:t>
      </w:r>
      <w:r>
        <w:t>11</w:t>
      </w:r>
      <w:r>
        <w:rPr>
          <w:rFonts w:hint="eastAsia"/>
        </w:rPr>
        <w:t>部分：通用试验方法—厚度和外形尺寸测量－机械性能试验</w:t>
      </w:r>
      <w:r>
        <w:t xml:space="preserve"> </w:t>
      </w:r>
    </w:p>
    <w:p>
      <w:pPr>
        <w:pStyle w:val="33"/>
      </w:pPr>
      <w:r>
        <w:t>GB/T 2951.12</w:t>
      </w:r>
      <w:r>
        <w:rPr>
          <w:rFonts w:hint="eastAsia"/>
        </w:rPr>
        <w:t xml:space="preserve">  电缆和光缆绝缘和护套材料通用试验方法</w:t>
      </w:r>
      <w:r>
        <w:t xml:space="preserve"> </w:t>
      </w:r>
      <w:r>
        <w:rPr>
          <w:rFonts w:hint="eastAsia"/>
        </w:rPr>
        <w:t>第</w:t>
      </w:r>
      <w:r>
        <w:t>12</w:t>
      </w:r>
      <w:r>
        <w:rPr>
          <w:rFonts w:hint="eastAsia"/>
        </w:rPr>
        <w:t>部分：通用试验方法—热老化试验方法</w:t>
      </w:r>
      <w:r>
        <w:t xml:space="preserve"> </w:t>
      </w:r>
    </w:p>
    <w:p>
      <w:pPr>
        <w:pStyle w:val="33"/>
      </w:pPr>
      <w:r>
        <w:t>GB/T 2951.13</w:t>
      </w:r>
      <w:r>
        <w:rPr>
          <w:rFonts w:hint="eastAsia"/>
        </w:rPr>
        <w:t xml:space="preserve">  电缆和光缆绝缘和护套材料通用试验方法</w:t>
      </w:r>
      <w:r>
        <w:t xml:space="preserve"> </w:t>
      </w:r>
      <w:r>
        <w:rPr>
          <w:rFonts w:hint="eastAsia"/>
        </w:rPr>
        <w:t>第</w:t>
      </w:r>
      <w:r>
        <w:t>13</w:t>
      </w:r>
      <w:r>
        <w:rPr>
          <w:rFonts w:hint="eastAsia"/>
        </w:rPr>
        <w:t>部分：通用试验方法—密度测定方法－吸水试验－收缩试验</w:t>
      </w:r>
    </w:p>
    <w:p>
      <w:pPr>
        <w:pStyle w:val="33"/>
      </w:pPr>
      <w:r>
        <w:t>GB/T 2951.14</w:t>
      </w:r>
      <w:r>
        <w:rPr>
          <w:rFonts w:hint="eastAsia"/>
        </w:rPr>
        <w:t xml:space="preserve">  电缆和光缆绝缘和护套材料通用试验方法</w:t>
      </w:r>
      <w:r>
        <w:t xml:space="preserve"> </w:t>
      </w:r>
      <w:r>
        <w:rPr>
          <w:rFonts w:hint="eastAsia"/>
        </w:rPr>
        <w:t>第</w:t>
      </w:r>
      <w:r>
        <w:t>14</w:t>
      </w:r>
      <w:r>
        <w:rPr>
          <w:rFonts w:hint="eastAsia"/>
        </w:rPr>
        <w:t>部分：通用试验方法—低温试验</w:t>
      </w:r>
      <w:r>
        <w:t xml:space="preserve"> </w:t>
      </w:r>
    </w:p>
    <w:p>
      <w:pPr>
        <w:pStyle w:val="33"/>
      </w:pPr>
      <w:r>
        <w:t>GB/T 2951.21</w:t>
      </w:r>
      <w:r>
        <w:rPr>
          <w:rFonts w:hint="eastAsia"/>
        </w:rPr>
        <w:t xml:space="preserve">  电缆和光缆绝缘和护套材料通用试验方法</w:t>
      </w:r>
      <w:r>
        <w:t xml:space="preserve"> </w:t>
      </w:r>
      <w:r>
        <w:rPr>
          <w:rFonts w:hint="eastAsia"/>
        </w:rPr>
        <w:t>第</w:t>
      </w:r>
      <w:r>
        <w:t>21</w:t>
      </w:r>
      <w:r>
        <w:rPr>
          <w:rFonts w:hint="eastAsia"/>
        </w:rPr>
        <w:t>部分：弹性体混合料专用试验方法—耐臭氧试验－热延伸试验－浸矿物油试验</w:t>
      </w:r>
      <w:r>
        <w:t xml:space="preserve"> </w:t>
      </w:r>
    </w:p>
    <w:p>
      <w:pPr>
        <w:pStyle w:val="33"/>
      </w:pPr>
      <w:r>
        <w:rPr>
          <w:rFonts w:hint="eastAsia"/>
        </w:rPr>
        <w:t xml:space="preserve">GB/T 3048.4  </w:t>
      </w:r>
      <w:r>
        <w:t>电线电缆电性能试验方法 第4部分：导体直流电阻试验</w:t>
      </w:r>
    </w:p>
    <w:p>
      <w:pPr>
        <w:pStyle w:val="33"/>
      </w:pPr>
      <w:r>
        <w:rPr>
          <w:rFonts w:hint="eastAsia"/>
        </w:rPr>
        <w:t xml:space="preserve">GB/T 3048.8  </w:t>
      </w:r>
      <w:r>
        <w:t>电线电缆电性能试验方法 第8部分：交流电压试验</w:t>
      </w:r>
    </w:p>
    <w:p>
      <w:pPr>
        <w:pStyle w:val="33"/>
      </w:pPr>
      <w:r>
        <w:rPr>
          <w:rFonts w:hint="eastAsia"/>
        </w:rPr>
        <w:t>GB/T 3048.11  电线电缆电性能试验方法 第11部分：介质损耗角正切试验</w:t>
      </w:r>
    </w:p>
    <w:p>
      <w:pPr>
        <w:pStyle w:val="33"/>
      </w:pPr>
      <w:r>
        <w:rPr>
          <w:rFonts w:hint="eastAsia"/>
        </w:rPr>
        <w:t>GB/T 3048.12  电线电缆电性能试验方法　第12部分：局部放电试验</w:t>
      </w:r>
    </w:p>
    <w:p>
      <w:pPr>
        <w:pStyle w:val="33"/>
        <w:rPr>
          <w:rFonts w:hAnsi="宋体" w:eastAsia="宋体"/>
        </w:rPr>
      </w:pPr>
      <w:r>
        <w:rPr>
          <w:rFonts w:hint="eastAsia" w:hAnsi="宋体" w:eastAsia="宋体"/>
        </w:rPr>
        <w:t>GB/T 3956  电缆的导体</w:t>
      </w:r>
    </w:p>
    <w:p>
      <w:pPr>
        <w:pStyle w:val="33"/>
        <w:rPr>
          <w:rFonts w:hAnsi="宋体" w:eastAsia="宋体"/>
        </w:rPr>
      </w:pPr>
      <w:r>
        <w:rPr>
          <w:rFonts w:hint="eastAsia" w:hAnsi="宋体" w:eastAsia="宋体"/>
        </w:rPr>
        <w:t xml:space="preserve">GB/T 19001  质量管理体系 </w:t>
      </w:r>
      <w:r>
        <w:rPr>
          <w:rFonts w:hAnsi="宋体" w:eastAsia="宋体"/>
        </w:rPr>
        <w:t xml:space="preserve"> </w:t>
      </w:r>
      <w:r>
        <w:rPr>
          <w:rFonts w:hint="eastAsia" w:hAnsi="宋体" w:eastAsia="宋体"/>
        </w:rPr>
        <w:t>要求</w:t>
      </w:r>
    </w:p>
    <w:p>
      <w:pPr>
        <w:pStyle w:val="33"/>
        <w:rPr>
          <w:rFonts w:hAnsi="宋体" w:eastAsia="宋体"/>
        </w:rPr>
      </w:pPr>
      <w:r>
        <w:rPr>
          <w:rFonts w:hint="eastAsia" w:hAnsi="宋体" w:eastAsia="宋体"/>
        </w:rPr>
        <w:t xml:space="preserve">GB/T 24001  环境管理体系 </w:t>
      </w:r>
      <w:r>
        <w:rPr>
          <w:rFonts w:hAnsi="宋体" w:eastAsia="宋体"/>
        </w:rPr>
        <w:t xml:space="preserve"> </w:t>
      </w:r>
      <w:r>
        <w:rPr>
          <w:rFonts w:hint="eastAsia" w:hAnsi="宋体" w:eastAsia="宋体"/>
        </w:rPr>
        <w:t>要求及使用指南</w:t>
      </w:r>
    </w:p>
    <w:p>
      <w:pPr>
        <w:ind w:firstLine="420" w:firstLineChars="200"/>
        <w:rPr>
          <w:rFonts w:ascii="宋体" w:hAnsi="宋体" w:eastAsia="宋体"/>
        </w:rPr>
      </w:pPr>
      <w:r>
        <w:rPr>
          <w:rFonts w:hint="eastAsia" w:ascii="宋体" w:hAnsi="宋体" w:eastAsia="宋体"/>
        </w:rPr>
        <w:t>GB/T 29631  额定电压1.8/3kV及以下风力发电用耐扭曲软电缆</w:t>
      </w:r>
    </w:p>
    <w:p>
      <w:pPr>
        <w:ind w:firstLine="420" w:firstLineChars="200"/>
        <w:rPr>
          <w:rFonts w:ascii="宋体" w:hAnsi="宋体" w:eastAsia="宋体"/>
        </w:rPr>
      </w:pPr>
      <w:r>
        <w:rPr>
          <w:rFonts w:hint="eastAsia" w:ascii="宋体" w:hAnsi="宋体" w:eastAsia="宋体"/>
        </w:rPr>
        <w:t xml:space="preserve">GB/T 33606  </w:t>
      </w:r>
      <w:r>
        <w:rPr>
          <w:rFonts w:ascii="宋体" w:hAnsi="宋体" w:eastAsia="宋体"/>
        </w:rPr>
        <w:t>额定电压6kV(Um=7.2kV)到35kV(Um=40.5kV)风力发电用耐扭曲软电缆</w:t>
      </w:r>
    </w:p>
    <w:p>
      <w:pPr>
        <w:pStyle w:val="33"/>
        <w:rPr>
          <w:rFonts w:hAnsi="宋体" w:eastAsia="宋体"/>
        </w:rPr>
      </w:pPr>
      <w:r>
        <w:rPr>
          <w:rFonts w:hint="eastAsia" w:hAnsi="宋体" w:eastAsia="宋体"/>
        </w:rPr>
        <w:t xml:space="preserve">GB/T 45001  职业健康安全管理体系 </w:t>
      </w:r>
      <w:r>
        <w:rPr>
          <w:rFonts w:hAnsi="宋体" w:eastAsia="宋体"/>
        </w:rPr>
        <w:t xml:space="preserve"> </w:t>
      </w:r>
      <w:r>
        <w:rPr>
          <w:rFonts w:hint="eastAsia" w:hAnsi="宋体" w:eastAsia="宋体"/>
        </w:rPr>
        <w:t>要求</w:t>
      </w:r>
    </w:p>
    <w:p>
      <w:pPr>
        <w:pStyle w:val="33"/>
        <w:rPr>
          <w:rFonts w:hAnsi="宋体" w:eastAsia="宋体"/>
        </w:rPr>
      </w:pPr>
      <w:r>
        <w:rPr>
          <w:rFonts w:hint="eastAsia" w:hAnsi="宋体" w:eastAsia="宋体"/>
        </w:rPr>
        <w:t>GJB 150.10A—2009  军用装备实验室环境试验方法 第10部分：霉菌试验</w:t>
      </w:r>
    </w:p>
    <w:p>
      <w:pPr>
        <w:pStyle w:val="41"/>
        <w:spacing w:before="312" w:after="312"/>
        <w:ind w:left="0"/>
        <w:rPr>
          <w:rFonts w:ascii="Times New Roman"/>
        </w:rPr>
      </w:pPr>
      <w:bookmarkStart w:id="24" w:name="_Toc385601800"/>
      <w:bookmarkEnd w:id="24"/>
      <w:bookmarkStart w:id="25" w:name="_Toc65687980"/>
      <w:bookmarkStart w:id="26" w:name="_Toc385602849"/>
      <w:bookmarkStart w:id="27" w:name="_Toc415043490"/>
      <w:bookmarkStart w:id="28" w:name="_Toc415043551"/>
      <w:bookmarkStart w:id="29" w:name="_Toc19706"/>
      <w:bookmarkStart w:id="30" w:name="_Toc415043897"/>
      <w:r>
        <w:rPr>
          <w:rFonts w:hint="eastAsia" w:ascii="Times New Roman"/>
        </w:rPr>
        <w:t>术语和定义</w:t>
      </w:r>
      <w:bookmarkEnd w:id="25"/>
      <w:bookmarkEnd w:id="26"/>
      <w:bookmarkEnd w:id="27"/>
      <w:bookmarkEnd w:id="28"/>
      <w:bookmarkEnd w:id="29"/>
      <w:bookmarkEnd w:id="30"/>
    </w:p>
    <w:p>
      <w:pPr>
        <w:pStyle w:val="33"/>
      </w:pPr>
      <w:bookmarkStart w:id="31" w:name="_Toc415043491"/>
      <w:bookmarkEnd w:id="31"/>
      <w:bookmarkStart w:id="32" w:name="_Toc415043898"/>
      <w:bookmarkEnd w:id="32"/>
      <w:bookmarkStart w:id="33" w:name="_Toc415043552"/>
      <w:bookmarkEnd w:id="33"/>
      <w:bookmarkStart w:id="34" w:name="_Toc361997824"/>
      <w:bookmarkStart w:id="35" w:name="_Toc362172291"/>
      <w:bookmarkStart w:id="36" w:name="_Toc361323765"/>
      <w:bookmarkStart w:id="37" w:name="_Toc362005232"/>
      <w:bookmarkStart w:id="38" w:name="_Toc362007003"/>
      <w:r>
        <w:t>GB/T 2900</w:t>
      </w:r>
      <w:r>
        <w:rPr>
          <w:rFonts w:hint="eastAsia"/>
        </w:rPr>
        <w:t>.10、</w:t>
      </w:r>
      <w:r>
        <w:rPr>
          <w:rFonts w:hint="eastAsia" w:hAnsi="宋体" w:eastAsia="宋体"/>
        </w:rPr>
        <w:t>GB/T 29631、GB/T 33606</w:t>
      </w:r>
      <w:r>
        <w:rPr>
          <w:rFonts w:hint="eastAsia"/>
        </w:rPr>
        <w:t>中的</w:t>
      </w:r>
      <w:r>
        <w:t>术语和定义适用于本标准。</w:t>
      </w:r>
    </w:p>
    <w:bookmarkEnd w:id="34"/>
    <w:bookmarkEnd w:id="35"/>
    <w:bookmarkEnd w:id="36"/>
    <w:bookmarkEnd w:id="37"/>
    <w:bookmarkEnd w:id="38"/>
    <w:p>
      <w:pPr>
        <w:pStyle w:val="41"/>
        <w:spacing w:before="312" w:after="312"/>
        <w:ind w:left="0"/>
        <w:rPr>
          <w:rFonts w:ascii="Times New Roman"/>
        </w:rPr>
      </w:pPr>
      <w:bookmarkStart w:id="39" w:name="_Toc415043899"/>
      <w:bookmarkEnd w:id="39"/>
      <w:bookmarkStart w:id="40" w:name="_Toc415043553"/>
      <w:bookmarkEnd w:id="40"/>
      <w:bookmarkStart w:id="41" w:name="_Toc415043492"/>
      <w:bookmarkEnd w:id="41"/>
      <w:bookmarkStart w:id="42" w:name="_Toc375076815"/>
      <w:bookmarkEnd w:id="42"/>
      <w:bookmarkStart w:id="43" w:name="_Toc65687981"/>
      <w:bookmarkStart w:id="44" w:name="_Toc385602850"/>
      <w:bookmarkStart w:id="45" w:name="_Toc415043496"/>
      <w:bookmarkStart w:id="46" w:name="_Toc415043903"/>
      <w:bookmarkStart w:id="47" w:name="_Toc25668"/>
      <w:bookmarkStart w:id="48" w:name="_Toc528835813"/>
      <w:bookmarkStart w:id="49" w:name="_Toc415043557"/>
      <w:r>
        <w:rPr>
          <w:rFonts w:hint="eastAsia" w:ascii="Times New Roman"/>
        </w:rPr>
        <w:t>评价指标体系</w:t>
      </w:r>
      <w:bookmarkEnd w:id="43"/>
    </w:p>
    <w:p>
      <w:pPr>
        <w:pStyle w:val="37"/>
        <w:spacing w:before="156" w:after="156"/>
        <w:rPr>
          <w:rFonts w:ascii="Times New Roman"/>
        </w:rPr>
      </w:pPr>
      <w:bookmarkStart w:id="50" w:name="_Toc65687984"/>
      <w:bookmarkStart w:id="51" w:name="_Toc401669933"/>
      <w:bookmarkStart w:id="52" w:name="_Toc35259974"/>
      <w:bookmarkStart w:id="53" w:name="_Toc33563757"/>
      <w:r>
        <w:rPr>
          <w:rFonts w:hint="eastAsia" w:ascii="Times New Roman"/>
        </w:rPr>
        <w:t>基本要求</w:t>
      </w:r>
    </w:p>
    <w:p>
      <w:pPr>
        <w:pStyle w:val="82"/>
        <w:numPr>
          <w:ilvl w:val="2"/>
          <w:numId w:val="1"/>
        </w:numPr>
        <w:rPr>
          <w:rFonts w:ascii="Times New Roman"/>
        </w:rPr>
      </w:pPr>
      <w:r>
        <w:rPr>
          <w:rFonts w:hint="eastAsia" w:ascii="Times New Roman"/>
        </w:rPr>
        <w:t>所评价的风力电缆产品应为量产产品，服务应为规模化提供的服务，风电电缆“领跑者”标准应满足明示执行标准及强制性国家标准的要求。</w:t>
      </w:r>
    </w:p>
    <w:p>
      <w:pPr>
        <w:pStyle w:val="82"/>
        <w:numPr>
          <w:ilvl w:val="2"/>
          <w:numId w:val="1"/>
        </w:numPr>
        <w:rPr>
          <w:rFonts w:ascii="Times New Roman"/>
        </w:rPr>
      </w:pPr>
      <w:r>
        <w:rPr>
          <w:rFonts w:hint="eastAsia" w:ascii="Times New Roman"/>
        </w:rPr>
        <w:t>生产企业近三年，无较大环境、安全、质量事故。</w:t>
      </w:r>
    </w:p>
    <w:p>
      <w:pPr>
        <w:pStyle w:val="82"/>
        <w:numPr>
          <w:ilvl w:val="2"/>
          <w:numId w:val="1"/>
        </w:numPr>
        <w:rPr>
          <w:rFonts w:ascii="Times New Roman"/>
        </w:rPr>
      </w:pPr>
      <w:r>
        <w:rPr>
          <w:rFonts w:hint="eastAsia" w:ascii="Times New Roman"/>
        </w:rPr>
        <w:t>企业未列入国家信用信息严重失信主体相关名录。</w:t>
      </w:r>
    </w:p>
    <w:p>
      <w:pPr>
        <w:pStyle w:val="82"/>
        <w:numPr>
          <w:ilvl w:val="2"/>
          <w:numId w:val="1"/>
        </w:numPr>
        <w:rPr>
          <w:rFonts w:ascii="Times New Roman"/>
        </w:rPr>
      </w:pPr>
      <w:r>
        <w:rPr>
          <w:rFonts w:hint="eastAsia" w:ascii="Times New Roman"/>
        </w:rPr>
        <w:t>企业可根据 GB/T 19001 、GB/T 24001、GB/T 45001建立并运行相应质量、环境和职业健康安全，同时鼓励企业根据自身运营情况建立更高水平的管理体系。</w:t>
      </w:r>
    </w:p>
    <w:p>
      <w:pPr>
        <w:pStyle w:val="37"/>
        <w:spacing w:before="156" w:after="156"/>
        <w:rPr>
          <w:rFonts w:ascii="Times New Roman"/>
        </w:rPr>
      </w:pPr>
      <w:r>
        <w:rPr>
          <w:rFonts w:hint="eastAsia" w:ascii="Times New Roman"/>
        </w:rPr>
        <w:t>评价指标分类</w:t>
      </w:r>
    </w:p>
    <w:p>
      <w:pPr>
        <w:pStyle w:val="82"/>
        <w:numPr>
          <w:ilvl w:val="2"/>
          <w:numId w:val="1"/>
        </w:numPr>
        <w:rPr>
          <w:rFonts w:ascii="Times New Roman"/>
        </w:rPr>
      </w:pPr>
      <w:r>
        <w:rPr>
          <w:rFonts w:hint="eastAsia" w:ascii="Times New Roman"/>
        </w:rPr>
        <w:t>风力电缆“领跑者”标准中所包括的指标分为基础指标、核心指标和创新性指标。</w:t>
      </w:r>
    </w:p>
    <w:p>
      <w:pPr>
        <w:pStyle w:val="82"/>
        <w:numPr>
          <w:ilvl w:val="2"/>
          <w:numId w:val="1"/>
        </w:numPr>
        <w:rPr>
          <w:rFonts w:ascii="Times New Roman"/>
        </w:rPr>
      </w:pPr>
      <w:r>
        <w:rPr>
          <w:rFonts w:hint="eastAsia" w:ascii="Times New Roman"/>
        </w:rPr>
        <w:t>风力电缆基础指标包括导体直流电阻、绝缘厚度及外护套厚度、</w:t>
      </w:r>
      <w:r>
        <w:rPr>
          <w:rFonts w:ascii="Times New Roman"/>
        </w:rPr>
        <w:t>老化前后绝缘</w:t>
      </w:r>
      <w:r>
        <w:rPr>
          <w:rFonts w:hint="eastAsia" w:ascii="Times New Roman"/>
        </w:rPr>
        <w:t>和护套</w:t>
      </w:r>
      <w:r>
        <w:rPr>
          <w:rFonts w:ascii="Times New Roman"/>
        </w:rPr>
        <w:t>机械性能</w:t>
      </w:r>
      <w:r>
        <w:rPr>
          <w:rFonts w:hint="eastAsia" w:ascii="Times New Roman"/>
        </w:rPr>
        <w:t>、绝缘和护套热延伸、耐臭氧、工频耐压性能、护套抗撕性能。</w:t>
      </w:r>
    </w:p>
    <w:p>
      <w:pPr>
        <w:pStyle w:val="82"/>
        <w:numPr>
          <w:ilvl w:val="2"/>
          <w:numId w:val="1"/>
        </w:numPr>
        <w:rPr>
          <w:rFonts w:ascii="Times New Roman"/>
        </w:rPr>
      </w:pPr>
      <w:r>
        <w:rPr>
          <w:rFonts w:ascii="Times New Roman"/>
        </w:rPr>
        <w:t>额定电压</w:t>
      </w:r>
      <w:r>
        <w:rPr>
          <w:rFonts w:hint="eastAsia" w:ascii="Times New Roman"/>
        </w:rPr>
        <w:t>1.8/3kV及以下风力电缆核心指标包括耐低温性能、耐扭转性能、绝缘电阻；</w:t>
      </w:r>
      <w:r>
        <w:rPr>
          <w:rFonts w:ascii="Times New Roman"/>
        </w:rPr>
        <w:t>额定电压</w:t>
      </w:r>
      <w:r>
        <w:rPr>
          <w:rFonts w:hint="eastAsia" w:ascii="Times New Roman"/>
        </w:rPr>
        <w:t>3.6/6kV 至26/35kV风力电缆核心指标包括耐扭转性能、介质损耗角、扭转后的局放。核心指标分为三个等级，包括先进水平，相当于企标排行榜中5星级水平；平均水平，相当于企标排行榜中4星级水平；基准水平，相当于企标排行榜中3星级水平。</w:t>
      </w:r>
    </w:p>
    <w:p>
      <w:pPr>
        <w:pStyle w:val="82"/>
        <w:numPr>
          <w:ilvl w:val="2"/>
          <w:numId w:val="1"/>
        </w:numPr>
        <w:rPr>
          <w:rFonts w:ascii="Times New Roman"/>
        </w:rPr>
      </w:pPr>
      <w:r>
        <w:rPr>
          <w:rFonts w:hint="eastAsia" w:ascii="Times New Roman"/>
        </w:rPr>
        <w:t>创新性指标为耐霉菌性能，划分成平均水平和先进水平两个等级，其中先进水平相当于企标排行榜中的5星级水平，平均水平相当于企标排行榜中4星级水平;</w:t>
      </w:r>
      <w:r>
        <w:rPr>
          <w:rFonts w:ascii="Times New Roman"/>
        </w:rPr>
        <w:t xml:space="preserve"> 鼓励根据条件成熟情况适时增加与产品性能和消费者关注的相关创新性指标。</w:t>
      </w:r>
    </w:p>
    <w:p>
      <w:pPr>
        <w:pStyle w:val="37"/>
        <w:spacing w:before="156" w:after="156"/>
        <w:rPr>
          <w:rFonts w:ascii="Times New Roman"/>
        </w:rPr>
      </w:pPr>
      <w:r>
        <w:rPr>
          <w:rFonts w:hint="eastAsia" w:ascii="Times New Roman"/>
        </w:rPr>
        <w:t>评价指标要求</w:t>
      </w:r>
      <w:bookmarkEnd w:id="50"/>
    </w:p>
    <w:p>
      <w:pPr>
        <w:pStyle w:val="82"/>
        <w:numPr>
          <w:ilvl w:val="2"/>
          <w:numId w:val="1"/>
        </w:numPr>
        <w:rPr>
          <w:rFonts w:asciiTheme="minorEastAsia" w:hAnsiTheme="minorEastAsia" w:eastAsiaTheme="minorEastAsia"/>
        </w:rPr>
      </w:pPr>
      <w:r>
        <w:rPr>
          <w:rFonts w:ascii="Times New Roman"/>
        </w:rPr>
        <w:t>额定电压</w:t>
      </w:r>
      <w:r>
        <w:rPr>
          <w:rFonts w:hint="eastAsia" w:ascii="Times New Roman"/>
        </w:rPr>
        <w:t>1.8/3kV及以下风力电</w:t>
      </w:r>
      <w:r>
        <w:rPr>
          <w:rFonts w:hint="eastAsia" w:asciiTheme="minorEastAsia" w:hAnsiTheme="minorEastAsia" w:eastAsiaTheme="minorEastAsia"/>
        </w:rPr>
        <w:t>缆“领跑者”标准评价指标体系框架见表1。</w:t>
      </w:r>
    </w:p>
    <w:p>
      <w:pPr>
        <w:pStyle w:val="39"/>
        <w:tabs>
          <w:tab w:val="clear" w:pos="360"/>
          <w:tab w:val="clear" w:pos="720"/>
        </w:tabs>
        <w:spacing w:before="156" w:after="156"/>
        <w:ind w:left="0"/>
        <w:rPr>
          <w:rFonts w:hAnsi="黑体" w:cs="黑体"/>
          <w:szCs w:val="21"/>
        </w:rPr>
      </w:pPr>
      <w:bookmarkStart w:id="54" w:name="_Hlk42778042"/>
      <w:r>
        <w:rPr>
          <w:rFonts w:hAnsi="黑体" w:cs="黑体"/>
          <w:szCs w:val="21"/>
        </w:rPr>
        <w:t>额定电压</w:t>
      </w:r>
      <w:r>
        <w:rPr>
          <w:rFonts w:hint="eastAsia" w:hAnsi="黑体" w:cs="黑体"/>
          <w:szCs w:val="21"/>
        </w:rPr>
        <w:t>1.8/3kV及以下风力电缆评价指标体系框架</w:t>
      </w:r>
      <w:bookmarkEnd w:id="5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69"/>
        <w:gridCol w:w="1409"/>
        <w:gridCol w:w="1460"/>
        <w:gridCol w:w="1256"/>
        <w:gridCol w:w="1296"/>
        <w:gridCol w:w="141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402"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类型</w:t>
            </w:r>
          </w:p>
        </w:tc>
        <w:tc>
          <w:tcPr>
            <w:tcW w:w="736"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评价</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763"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来源</w:t>
            </w:r>
          </w:p>
        </w:tc>
        <w:tc>
          <w:tcPr>
            <w:tcW w:w="2074" w:type="pct"/>
            <w:gridSpan w:val="3"/>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95"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Merge w:val="continue"/>
            <w:vAlign w:val="center"/>
          </w:tcPr>
          <w:p>
            <w:pPr>
              <w:widowControl/>
              <w:jc w:val="left"/>
              <w:rPr>
                <w:rFonts w:cs="Times New Roman" w:asciiTheme="minorEastAsia" w:hAnsiTheme="minorEastAsia"/>
                <w:kern w:val="0"/>
                <w:sz w:val="18"/>
                <w:szCs w:val="18"/>
              </w:rPr>
            </w:pPr>
          </w:p>
        </w:tc>
        <w:tc>
          <w:tcPr>
            <w:tcW w:w="402" w:type="pct"/>
            <w:vMerge w:val="continue"/>
            <w:vAlign w:val="center"/>
          </w:tcPr>
          <w:p>
            <w:pPr>
              <w:widowControl/>
              <w:jc w:val="left"/>
              <w:rPr>
                <w:rFonts w:cs="Times New Roman" w:asciiTheme="minorEastAsia" w:hAnsiTheme="minorEastAsia"/>
                <w:kern w:val="0"/>
                <w:sz w:val="18"/>
                <w:szCs w:val="18"/>
              </w:rPr>
            </w:pPr>
          </w:p>
        </w:tc>
        <w:tc>
          <w:tcPr>
            <w:tcW w:w="736" w:type="pct"/>
            <w:vMerge w:val="continue"/>
            <w:vAlign w:val="center"/>
          </w:tcPr>
          <w:p>
            <w:pPr>
              <w:widowControl/>
              <w:jc w:val="center"/>
              <w:rPr>
                <w:rFonts w:cs="Times New Roman" w:asciiTheme="minorEastAsia" w:hAnsiTheme="minorEastAsia"/>
                <w:kern w:val="0"/>
                <w:sz w:val="18"/>
                <w:szCs w:val="18"/>
              </w:rPr>
            </w:pPr>
          </w:p>
        </w:tc>
        <w:tc>
          <w:tcPr>
            <w:tcW w:w="763" w:type="pct"/>
            <w:vMerge w:val="continue"/>
            <w:vAlign w:val="center"/>
          </w:tcPr>
          <w:p>
            <w:pPr>
              <w:widowControl/>
              <w:jc w:val="left"/>
              <w:rPr>
                <w:rFonts w:cs="Times New Roman" w:asciiTheme="minorEastAsia" w:hAnsiTheme="minorEastAsia"/>
                <w:kern w:val="0"/>
                <w:sz w:val="18"/>
                <w:szCs w:val="18"/>
              </w:rPr>
            </w:pP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95" w:type="pct"/>
            <w:vMerge w:val="continue"/>
          </w:tcPr>
          <w:p>
            <w:pPr>
              <w:widowControl/>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1</w:t>
            </w:r>
          </w:p>
        </w:tc>
        <w:tc>
          <w:tcPr>
            <w:tcW w:w="402"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基础</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736" w:type="pct"/>
            <w:shd w:val="clear" w:color="auto" w:fill="auto"/>
            <w:vAlign w:val="center"/>
          </w:tcPr>
          <w:p>
            <w:pPr>
              <w:widowControl/>
              <w:jc w:val="center"/>
              <w:rPr>
                <w:rFonts w:cs="Times New Roman" w:asciiTheme="minorEastAsia" w:hAnsiTheme="minorEastAsia"/>
                <w:kern w:val="0"/>
                <w:sz w:val="18"/>
                <w:szCs w:val="18"/>
              </w:rPr>
            </w:pPr>
            <w:r>
              <w:rPr>
                <w:rFonts w:hint="eastAsia" w:asciiTheme="minorEastAsia" w:hAnsiTheme="minorEastAsia"/>
                <w:sz w:val="18"/>
                <w:szCs w:val="18"/>
              </w:rPr>
              <w:t>导体直流电阻</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3956</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GB/T 3048.4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2</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left"/>
              <w:rPr>
                <w:rFonts w:cs="Times New Roman" w:asciiTheme="minorEastAsia" w:hAnsiTheme="minorEastAsia"/>
                <w:sz w:val="18"/>
                <w:szCs w:val="18"/>
              </w:rPr>
            </w:pPr>
            <w:r>
              <w:rPr>
                <w:rFonts w:hint="eastAsia" w:asciiTheme="minorEastAsia" w:hAnsiTheme="minorEastAsia"/>
                <w:sz w:val="18"/>
                <w:szCs w:val="18"/>
              </w:rPr>
              <w:t>绝缘及外护套厚度</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29631</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3</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center"/>
              <w:rPr>
                <w:rFonts w:cs="Times New Roman" w:asciiTheme="minorEastAsia" w:hAnsiTheme="minorEastAsia"/>
                <w:color w:val="000000" w:themeColor="text1"/>
                <w:sz w:val="18"/>
                <w:szCs w:val="18"/>
              </w:rPr>
            </w:pPr>
            <w:r>
              <w:rPr>
                <w:rFonts w:cs="Times New Roman" w:asciiTheme="minorEastAsia" w:hAnsiTheme="minorEastAsia"/>
                <w:color w:val="000000" w:themeColor="text1"/>
                <w:sz w:val="18"/>
                <w:szCs w:val="18"/>
              </w:rPr>
              <w:t>老化后绝缘</w:t>
            </w:r>
            <w:r>
              <w:rPr>
                <w:rFonts w:hint="eastAsia" w:cs="Times New Roman" w:asciiTheme="minorEastAsia" w:hAnsiTheme="minorEastAsia"/>
                <w:color w:val="000000" w:themeColor="text1"/>
                <w:sz w:val="18"/>
                <w:szCs w:val="18"/>
              </w:rPr>
              <w:t>、</w:t>
            </w:r>
            <w:r>
              <w:rPr>
                <w:rFonts w:cs="Times New Roman" w:asciiTheme="minorEastAsia" w:hAnsiTheme="minorEastAsia"/>
                <w:color w:val="000000" w:themeColor="text1"/>
                <w:sz w:val="18"/>
                <w:szCs w:val="18"/>
              </w:rPr>
              <w:t>外护套机械性能</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29631</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4</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left"/>
              <w:rPr>
                <w:rFonts w:asciiTheme="minorEastAsia" w:hAnsiTheme="minorEastAsia"/>
                <w:sz w:val="18"/>
                <w:szCs w:val="18"/>
              </w:rPr>
            </w:pPr>
            <w:r>
              <w:rPr>
                <w:rFonts w:hint="eastAsia" w:asciiTheme="minorEastAsia" w:hAnsiTheme="minorEastAsia"/>
                <w:sz w:val="18"/>
                <w:szCs w:val="18"/>
              </w:rPr>
              <w:t>绝缘、护套热延伸</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29631</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5</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left"/>
              <w:rPr>
                <w:rFonts w:asciiTheme="minorEastAsia" w:hAnsiTheme="minorEastAsia"/>
                <w:sz w:val="18"/>
                <w:szCs w:val="18"/>
              </w:rPr>
            </w:pPr>
            <w:r>
              <w:rPr>
                <w:rFonts w:hint="eastAsia" w:asciiTheme="minorEastAsia" w:hAnsiTheme="minorEastAsia"/>
                <w:sz w:val="18"/>
                <w:szCs w:val="18"/>
              </w:rPr>
              <w:t>耐臭氧性能</w:t>
            </w:r>
          </w:p>
        </w:tc>
        <w:tc>
          <w:tcPr>
            <w:tcW w:w="763" w:type="pct"/>
            <w:shd w:val="clear" w:color="auto" w:fill="auto"/>
            <w:vAlign w:val="center"/>
          </w:tcPr>
          <w:p>
            <w:pPr>
              <w:jc w:val="cente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6</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工频耐压试验</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29631</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7</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shd w:val="clear" w:color="auto" w:fill="auto"/>
            <w:vAlign w:val="center"/>
          </w:tcPr>
          <w:p>
            <w:pPr>
              <w:pStyle w:val="33"/>
              <w:numPr>
                <w:ilvl w:val="0"/>
                <w:numId w:val="4"/>
              </w:numPr>
              <w:ind w:firstLineChars="0"/>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护套抗撕</w:t>
            </w:r>
          </w:p>
        </w:tc>
        <w:tc>
          <w:tcPr>
            <w:tcW w:w="7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29631</w:t>
            </w: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JB/T 10696.7</w:t>
            </w:r>
          </w:p>
        </w:tc>
      </w:tr>
    </w:tbl>
    <w:p/>
    <w:p/>
    <w:p>
      <w:pPr>
        <w:pStyle w:val="39"/>
        <w:numPr>
          <w:ilvl w:val="0"/>
          <w:numId w:val="0"/>
        </w:numPr>
        <w:tabs>
          <w:tab w:val="clear" w:pos="360"/>
          <w:tab w:val="clear" w:pos="720"/>
        </w:tabs>
        <w:spacing w:before="156" w:after="156"/>
      </w:pPr>
      <w:r>
        <w:rPr>
          <w:rFonts w:hint="eastAsia" w:hAnsi="黑体" w:cs="黑体"/>
          <w:szCs w:val="21"/>
        </w:rPr>
        <w:t xml:space="preserve">表1 </w:t>
      </w:r>
      <w:r>
        <w:rPr>
          <w:rFonts w:hAnsi="黑体" w:cs="黑体"/>
          <w:szCs w:val="21"/>
        </w:rPr>
        <w:t>额定电压</w:t>
      </w:r>
      <w:r>
        <w:rPr>
          <w:rFonts w:hint="eastAsia" w:hAnsi="黑体" w:cs="黑体"/>
          <w:szCs w:val="21"/>
        </w:rPr>
        <w:t>1.8/3kV及以下风力电缆评价指标体系框架（续）</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69"/>
        <w:gridCol w:w="1409"/>
        <w:gridCol w:w="1460"/>
        <w:gridCol w:w="1256"/>
        <w:gridCol w:w="1296"/>
        <w:gridCol w:w="141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402"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类型</w:t>
            </w:r>
          </w:p>
        </w:tc>
        <w:tc>
          <w:tcPr>
            <w:tcW w:w="736"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评价</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763"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来源</w:t>
            </w:r>
          </w:p>
        </w:tc>
        <w:tc>
          <w:tcPr>
            <w:tcW w:w="2074" w:type="pct"/>
            <w:gridSpan w:val="3"/>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95"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vMerge w:val="continue"/>
            <w:vAlign w:val="center"/>
          </w:tcPr>
          <w:p>
            <w:pPr>
              <w:widowControl/>
              <w:jc w:val="left"/>
              <w:rPr>
                <w:rFonts w:cs="Times New Roman" w:asciiTheme="minorEastAsia" w:hAnsiTheme="minorEastAsia"/>
                <w:kern w:val="0"/>
                <w:sz w:val="18"/>
                <w:szCs w:val="18"/>
              </w:rPr>
            </w:pPr>
          </w:p>
        </w:tc>
        <w:tc>
          <w:tcPr>
            <w:tcW w:w="402" w:type="pct"/>
            <w:vMerge w:val="continue"/>
            <w:vAlign w:val="center"/>
          </w:tcPr>
          <w:p>
            <w:pPr>
              <w:widowControl/>
              <w:jc w:val="left"/>
              <w:rPr>
                <w:rFonts w:cs="Times New Roman" w:asciiTheme="minorEastAsia" w:hAnsiTheme="minorEastAsia"/>
                <w:kern w:val="0"/>
                <w:sz w:val="18"/>
                <w:szCs w:val="18"/>
              </w:rPr>
            </w:pPr>
          </w:p>
        </w:tc>
        <w:tc>
          <w:tcPr>
            <w:tcW w:w="736" w:type="pct"/>
            <w:vMerge w:val="continue"/>
            <w:vAlign w:val="center"/>
          </w:tcPr>
          <w:p>
            <w:pPr>
              <w:widowControl/>
              <w:jc w:val="center"/>
              <w:rPr>
                <w:rFonts w:cs="Times New Roman" w:asciiTheme="minorEastAsia" w:hAnsiTheme="minorEastAsia"/>
                <w:kern w:val="0"/>
                <w:sz w:val="18"/>
                <w:szCs w:val="18"/>
              </w:rPr>
            </w:pPr>
          </w:p>
        </w:tc>
        <w:tc>
          <w:tcPr>
            <w:tcW w:w="763" w:type="pct"/>
            <w:vMerge w:val="continue"/>
            <w:vAlign w:val="center"/>
          </w:tcPr>
          <w:p>
            <w:pPr>
              <w:widowControl/>
              <w:jc w:val="left"/>
              <w:rPr>
                <w:rFonts w:cs="Times New Roman" w:asciiTheme="minorEastAsia" w:hAnsiTheme="minorEastAsia"/>
                <w:kern w:val="0"/>
                <w:sz w:val="18"/>
                <w:szCs w:val="18"/>
              </w:rPr>
            </w:pPr>
          </w:p>
        </w:tc>
        <w:tc>
          <w:tcPr>
            <w:tcW w:w="656"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677"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41"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95" w:type="pct"/>
            <w:vMerge w:val="continue"/>
          </w:tcPr>
          <w:p>
            <w:pPr>
              <w:widowControl/>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8</w:t>
            </w:r>
          </w:p>
        </w:tc>
        <w:tc>
          <w:tcPr>
            <w:tcW w:w="402" w:type="pct"/>
            <w:vMerge w:val="restart"/>
            <w:shd w:val="clear" w:color="auto" w:fill="auto"/>
            <w:vAlign w:val="center"/>
          </w:tcPr>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核心</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耐扭转性能</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GB/T 29631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常温15000次</w:t>
            </w:r>
          </w:p>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低温≥3000次以上</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常温10000～5000次</w:t>
            </w:r>
          </w:p>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低温2000～3000次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常温1000次</w:t>
            </w:r>
          </w:p>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低温2000次</w:t>
            </w:r>
          </w:p>
        </w:tc>
        <w:tc>
          <w:tcPr>
            <w:tcW w:w="795" w:type="pct"/>
            <w:tcBorders>
              <w:top w:val="single" w:color="auto" w:sz="4" w:space="0"/>
              <w:left w:val="single" w:color="auto" w:sz="4" w:space="0"/>
              <w:bottom w:val="single" w:color="auto" w:sz="4" w:space="0"/>
              <w:right w:val="single" w:color="auto" w:sz="4" w:space="0"/>
            </w:tcBorders>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GB/T 29631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9</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护套低温拉伸断裂伸长率</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GB/T 29631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≥60%</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≥40%</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≥30%</w:t>
            </w:r>
          </w:p>
        </w:tc>
        <w:tc>
          <w:tcPr>
            <w:tcW w:w="795" w:type="pct"/>
            <w:tcBorders>
              <w:top w:val="single" w:color="auto" w:sz="4" w:space="0"/>
              <w:left w:val="single" w:color="auto" w:sz="4" w:space="0"/>
              <w:bottom w:val="single" w:color="auto" w:sz="4" w:space="0"/>
              <w:right w:val="single" w:color="auto" w:sz="4" w:space="0"/>
            </w:tcBorders>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GB/T 2951.14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10</w:t>
            </w:r>
          </w:p>
        </w:tc>
        <w:tc>
          <w:tcPr>
            <w:tcW w:w="402"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numPr>
                <w:ilvl w:val="0"/>
                <w:numId w:val="4"/>
              </w:numPr>
              <w:ind w:firstLineChars="0"/>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绝缘电阻</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 w:val="18"/>
                <w:szCs w:val="18"/>
              </w:rPr>
            </w:pPr>
            <w:r>
              <w:rPr>
                <w:rFonts w:asciiTheme="minorEastAsia" w:hAnsiTheme="minorEastAsia"/>
                <w:sz w:val="18"/>
                <w:szCs w:val="18"/>
              </w:rPr>
              <w:t xml:space="preserve">GB/T </w:t>
            </w:r>
            <w:r>
              <w:rPr>
                <w:rFonts w:hint="eastAsia" w:asciiTheme="minorEastAsia" w:hAnsiTheme="minorEastAsia"/>
                <w:sz w:val="18"/>
                <w:szCs w:val="18"/>
              </w:rPr>
              <w:t>29631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≥400MΩ.km</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≥200 MΩ.km</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5" w:type="pct"/>
            <w:tcBorders>
              <w:top w:val="single" w:color="auto" w:sz="4" w:space="0"/>
              <w:left w:val="single" w:color="auto" w:sz="4" w:space="0"/>
              <w:bottom w:val="single" w:color="auto" w:sz="4" w:space="0"/>
              <w:right w:val="single" w:color="auto" w:sz="4" w:space="0"/>
            </w:tcBorders>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GB/T 3048.5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 w:type="pct"/>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11</w:t>
            </w:r>
          </w:p>
        </w:tc>
        <w:tc>
          <w:tcPr>
            <w:tcW w:w="402" w:type="pct"/>
            <w:shd w:val="clear" w:color="auto" w:fill="auto"/>
            <w:vAlign w:val="center"/>
          </w:tcPr>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指标创新性</w:t>
            </w: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耐霉菌性能</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GJB 150.10A-2009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0级</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1级</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95" w:type="pct"/>
            <w:tcBorders>
              <w:top w:val="single" w:color="auto" w:sz="4" w:space="0"/>
              <w:left w:val="single" w:color="auto" w:sz="4" w:space="0"/>
              <w:bottom w:val="single" w:color="auto" w:sz="4" w:space="0"/>
              <w:right w:val="single" w:color="auto" w:sz="4" w:space="0"/>
            </w:tcBorders>
          </w:tcPr>
          <w:p>
            <w:pPr>
              <w:widowControl/>
              <w:rPr>
                <w:rFonts w:cs="Times New Roman" w:asciiTheme="minorEastAsia" w:hAnsiTheme="minorEastAsia"/>
                <w:kern w:val="0"/>
                <w:sz w:val="18"/>
                <w:szCs w:val="18"/>
              </w:rPr>
            </w:pPr>
            <w:r>
              <w:rPr>
                <w:rFonts w:hint="eastAsia" w:cs="Times New Roman" w:asciiTheme="minorEastAsia" w:hAnsiTheme="minorEastAsia"/>
                <w:kern w:val="0"/>
                <w:sz w:val="18"/>
                <w:szCs w:val="18"/>
              </w:rPr>
              <w:t>GJB 150.10A-2009</w:t>
            </w:r>
          </w:p>
        </w:tc>
      </w:tr>
    </w:tbl>
    <w:p>
      <w:pPr>
        <w:pStyle w:val="82"/>
        <w:numPr>
          <w:ilvl w:val="2"/>
          <w:numId w:val="1"/>
        </w:numPr>
        <w:rPr>
          <w:rFonts w:asciiTheme="minorEastAsia" w:hAnsiTheme="minorEastAsia" w:eastAsiaTheme="minorEastAsia"/>
        </w:rPr>
      </w:pPr>
      <w:bookmarkStart w:id="55" w:name="_Toc35353330"/>
      <w:bookmarkStart w:id="56" w:name="_Toc323891329"/>
      <w:bookmarkStart w:id="57" w:name="_Toc323891250"/>
      <w:bookmarkStart w:id="58" w:name="_Toc324165077"/>
      <w:bookmarkStart w:id="59" w:name="_Toc324165027"/>
      <w:bookmarkStart w:id="60" w:name="_Toc353278168"/>
      <w:r>
        <w:rPr>
          <w:rFonts w:ascii="Times New Roman"/>
        </w:rPr>
        <w:t>额定电压</w:t>
      </w:r>
      <w:r>
        <w:rPr>
          <w:rFonts w:hint="eastAsia" w:ascii="Times New Roman"/>
        </w:rPr>
        <w:t>3.6/6kV 至26/35kV风力电</w:t>
      </w:r>
      <w:r>
        <w:rPr>
          <w:rFonts w:hint="eastAsia" w:asciiTheme="minorEastAsia" w:hAnsiTheme="minorEastAsia" w:eastAsiaTheme="minorEastAsia"/>
        </w:rPr>
        <w:t>缆“领跑者”标准评价指标体系框架见表2。</w:t>
      </w:r>
    </w:p>
    <w:p>
      <w:pPr>
        <w:pStyle w:val="39"/>
        <w:tabs>
          <w:tab w:val="clear" w:pos="360"/>
          <w:tab w:val="clear" w:pos="720"/>
        </w:tabs>
        <w:spacing w:before="156" w:after="156"/>
        <w:ind w:left="0"/>
        <w:rPr>
          <w:rFonts w:hAnsi="黑体" w:cs="黑体"/>
          <w:szCs w:val="21"/>
        </w:rPr>
      </w:pPr>
      <w:r>
        <w:rPr>
          <w:rFonts w:hAnsi="黑体" w:cs="黑体"/>
          <w:szCs w:val="21"/>
        </w:rPr>
        <w:t>额定电压</w:t>
      </w:r>
      <w:r>
        <w:rPr>
          <w:rFonts w:hint="eastAsia" w:hAnsi="黑体" w:cs="黑体"/>
          <w:szCs w:val="21"/>
        </w:rPr>
        <w:t>3.6/6kV 至26/35kV风力电缆评价指标体系框架</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95"/>
        <w:gridCol w:w="683"/>
        <w:gridCol w:w="1300"/>
        <w:gridCol w:w="1133"/>
        <w:gridCol w:w="991"/>
        <w:gridCol w:w="1277"/>
        <w:gridCol w:w="141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363"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类型</w:t>
            </w:r>
          </w:p>
        </w:tc>
        <w:tc>
          <w:tcPr>
            <w:tcW w:w="1036" w:type="pct"/>
            <w:gridSpan w:val="2"/>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评价</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592"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来源</w:t>
            </w:r>
          </w:p>
        </w:tc>
        <w:tc>
          <w:tcPr>
            <w:tcW w:w="1925" w:type="pct"/>
            <w:gridSpan w:val="3"/>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96"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Merge w:val="continue"/>
            <w:vAlign w:val="center"/>
          </w:tcPr>
          <w:p>
            <w:pPr>
              <w:widowControl/>
              <w:jc w:val="center"/>
              <w:rPr>
                <w:rFonts w:cs="Times New Roman" w:asciiTheme="minorEastAsia" w:hAnsiTheme="minorEastAsia"/>
                <w:kern w:val="0"/>
                <w:sz w:val="18"/>
                <w:szCs w:val="18"/>
              </w:rPr>
            </w:pPr>
          </w:p>
        </w:tc>
        <w:tc>
          <w:tcPr>
            <w:tcW w:w="363" w:type="pct"/>
            <w:vMerge w:val="continue"/>
            <w:vAlign w:val="center"/>
          </w:tcPr>
          <w:p>
            <w:pPr>
              <w:widowControl/>
              <w:jc w:val="center"/>
              <w:rPr>
                <w:rFonts w:cs="Times New Roman" w:asciiTheme="minorEastAsia" w:hAnsiTheme="minorEastAsia"/>
                <w:kern w:val="0"/>
                <w:sz w:val="18"/>
                <w:szCs w:val="18"/>
              </w:rPr>
            </w:pPr>
          </w:p>
        </w:tc>
        <w:tc>
          <w:tcPr>
            <w:tcW w:w="1036" w:type="pct"/>
            <w:gridSpan w:val="2"/>
            <w:vMerge w:val="continue"/>
            <w:vAlign w:val="center"/>
          </w:tcPr>
          <w:p>
            <w:pPr>
              <w:widowControl/>
              <w:jc w:val="center"/>
              <w:rPr>
                <w:rFonts w:cs="Times New Roman" w:asciiTheme="minorEastAsia" w:hAnsiTheme="minorEastAsia"/>
                <w:kern w:val="0"/>
                <w:sz w:val="18"/>
                <w:szCs w:val="18"/>
              </w:rPr>
            </w:pPr>
          </w:p>
        </w:tc>
        <w:tc>
          <w:tcPr>
            <w:tcW w:w="592" w:type="pct"/>
            <w:vMerge w:val="continue"/>
            <w:vAlign w:val="center"/>
          </w:tcPr>
          <w:p>
            <w:pPr>
              <w:widowControl/>
              <w:jc w:val="center"/>
              <w:rPr>
                <w:rFonts w:cs="Times New Roman" w:asciiTheme="minorEastAsia" w:hAnsiTheme="minorEastAsia"/>
                <w:kern w:val="0"/>
                <w:sz w:val="18"/>
                <w:szCs w:val="18"/>
              </w:rPr>
            </w:pP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水平</w:t>
            </w:r>
          </w:p>
        </w:tc>
        <w:tc>
          <w:tcPr>
            <w:tcW w:w="796" w:type="pct"/>
            <w:vMerge w:val="continue"/>
            <w:vAlign w:val="center"/>
          </w:tcPr>
          <w:p>
            <w:pPr>
              <w:widowControl/>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1</w:t>
            </w:r>
          </w:p>
        </w:tc>
        <w:tc>
          <w:tcPr>
            <w:tcW w:w="363"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基础</w:t>
            </w:r>
          </w:p>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1036" w:type="pct"/>
            <w:gridSpan w:val="2"/>
            <w:shd w:val="clear" w:color="auto" w:fill="auto"/>
            <w:vAlign w:val="center"/>
          </w:tcPr>
          <w:p>
            <w:pPr>
              <w:widowControl/>
              <w:jc w:val="left"/>
              <w:rPr>
                <w:rFonts w:cs="Times New Roman" w:asciiTheme="minorEastAsia" w:hAnsiTheme="minorEastAsia"/>
                <w:kern w:val="0"/>
                <w:sz w:val="18"/>
                <w:szCs w:val="18"/>
              </w:rPr>
            </w:pPr>
            <w:r>
              <w:rPr>
                <w:rFonts w:hint="eastAsia" w:asciiTheme="minorEastAsia" w:hAnsiTheme="minorEastAsia"/>
                <w:sz w:val="18"/>
                <w:szCs w:val="18"/>
              </w:rPr>
              <w:t>导体直流电阻</w:t>
            </w:r>
          </w:p>
        </w:tc>
        <w:tc>
          <w:tcPr>
            <w:tcW w:w="592"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3956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GB/T 3048.4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2</w:t>
            </w:r>
          </w:p>
        </w:tc>
        <w:tc>
          <w:tcPr>
            <w:tcW w:w="363" w:type="pct"/>
            <w:vMerge w:val="continue"/>
            <w:shd w:val="clear" w:color="auto" w:fill="auto"/>
            <w:vAlign w:val="center"/>
          </w:tcPr>
          <w:p>
            <w:pPr>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left"/>
              <w:rPr>
                <w:rFonts w:cs="Times New Roman" w:asciiTheme="minorEastAsia" w:hAnsiTheme="minorEastAsia"/>
                <w:sz w:val="18"/>
                <w:szCs w:val="18"/>
              </w:rPr>
            </w:pPr>
            <w:r>
              <w:rPr>
                <w:rFonts w:hint="eastAsia" w:asciiTheme="minorEastAsia" w:hAnsiTheme="minorEastAsia"/>
                <w:sz w:val="18"/>
                <w:szCs w:val="18"/>
              </w:rPr>
              <w:t>绝缘及外护套厚度</w:t>
            </w:r>
          </w:p>
        </w:tc>
        <w:tc>
          <w:tcPr>
            <w:tcW w:w="592"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3</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left"/>
              <w:rPr>
                <w:rFonts w:cs="Times New Roman" w:asciiTheme="minorEastAsia" w:hAnsiTheme="minorEastAsia"/>
                <w:color w:val="000000" w:themeColor="text1"/>
                <w:sz w:val="18"/>
                <w:szCs w:val="18"/>
              </w:rPr>
            </w:pPr>
            <w:r>
              <w:rPr>
                <w:rFonts w:cs="Times New Roman" w:asciiTheme="minorEastAsia" w:hAnsiTheme="minorEastAsia"/>
                <w:color w:val="000000" w:themeColor="text1"/>
                <w:sz w:val="18"/>
                <w:szCs w:val="18"/>
              </w:rPr>
              <w:t>老化后绝缘</w:t>
            </w:r>
            <w:r>
              <w:rPr>
                <w:rFonts w:hint="eastAsia" w:cs="Times New Roman" w:asciiTheme="minorEastAsia" w:hAnsiTheme="minorEastAsia"/>
                <w:color w:val="000000" w:themeColor="text1"/>
                <w:sz w:val="18"/>
                <w:szCs w:val="18"/>
              </w:rPr>
              <w:t>、</w:t>
            </w:r>
            <w:r>
              <w:rPr>
                <w:rFonts w:cs="Times New Roman" w:asciiTheme="minorEastAsia" w:hAnsiTheme="minorEastAsia"/>
                <w:color w:val="000000" w:themeColor="text1"/>
                <w:sz w:val="18"/>
                <w:szCs w:val="18"/>
              </w:rPr>
              <w:t>外护套机械性能</w:t>
            </w:r>
          </w:p>
        </w:tc>
        <w:tc>
          <w:tcPr>
            <w:tcW w:w="592"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4</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left"/>
              <w:rPr>
                <w:rFonts w:asciiTheme="minorEastAsia" w:hAnsiTheme="minorEastAsia"/>
                <w:sz w:val="18"/>
                <w:szCs w:val="18"/>
              </w:rPr>
            </w:pPr>
            <w:r>
              <w:rPr>
                <w:rFonts w:hint="eastAsia" w:asciiTheme="minorEastAsia" w:hAnsiTheme="minorEastAsia"/>
                <w:sz w:val="18"/>
                <w:szCs w:val="18"/>
              </w:rPr>
              <w:t>绝缘、护套热延伸</w:t>
            </w:r>
          </w:p>
        </w:tc>
        <w:tc>
          <w:tcPr>
            <w:tcW w:w="592"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5</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left"/>
              <w:rPr>
                <w:rFonts w:asciiTheme="minorEastAsia" w:hAnsiTheme="minorEastAsia"/>
                <w:sz w:val="18"/>
                <w:szCs w:val="18"/>
              </w:rPr>
            </w:pPr>
            <w:r>
              <w:rPr>
                <w:rFonts w:hint="eastAsia" w:asciiTheme="minorEastAsia" w:hAnsiTheme="minorEastAsia"/>
                <w:sz w:val="18"/>
                <w:szCs w:val="18"/>
              </w:rPr>
              <w:t>耐臭氧性能</w:t>
            </w:r>
          </w:p>
        </w:tc>
        <w:tc>
          <w:tcPr>
            <w:tcW w:w="592" w:type="pct"/>
            <w:shd w:val="clear" w:color="auto" w:fill="auto"/>
            <w:vAlign w:val="center"/>
          </w:tcPr>
          <w:p>
            <w:pPr>
              <w:jc w:val="cente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w:t>
            </w:r>
            <w:r>
              <w:rPr>
                <w:rFonts w:hint="eastAsia" w:cs="Times New Roman" w:asciiTheme="minorEastAsia" w:hAnsiTheme="minorEastAsia"/>
                <w:kern w:val="0"/>
                <w:sz w:val="18"/>
                <w:szCs w:val="18"/>
              </w:rPr>
              <w:t>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6</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left"/>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工频耐压试验</w:t>
            </w:r>
          </w:p>
        </w:tc>
        <w:tc>
          <w:tcPr>
            <w:tcW w:w="592" w:type="pct"/>
            <w:shd w:val="clear" w:color="auto" w:fill="auto"/>
            <w:vAlign w:val="center"/>
          </w:tcPr>
          <w:p>
            <w:pPr>
              <w:jc w:val="cente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7</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pStyle w:val="33"/>
              <w:numPr>
                <w:ilvl w:val="0"/>
                <w:numId w:val="4"/>
              </w:numPr>
              <w:ind w:firstLineChars="0"/>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护套抗撕</w:t>
            </w:r>
          </w:p>
        </w:tc>
        <w:tc>
          <w:tcPr>
            <w:tcW w:w="592" w:type="pct"/>
            <w:shd w:val="clear" w:color="auto" w:fill="auto"/>
            <w:vAlign w:val="center"/>
          </w:tcPr>
          <w:p>
            <w:pPr>
              <w:jc w:val="cente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667"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40"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96"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JB/T 10696.7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8</w:t>
            </w:r>
          </w:p>
        </w:tc>
        <w:tc>
          <w:tcPr>
            <w:tcW w:w="363"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核心</w:t>
            </w:r>
          </w:p>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w:t>
            </w:r>
          </w:p>
        </w:tc>
        <w:tc>
          <w:tcPr>
            <w:tcW w:w="1036" w:type="pct"/>
            <w:gridSpan w:val="2"/>
            <w:shd w:val="clear" w:color="auto" w:fill="auto"/>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耐扭转性能</w:t>
            </w:r>
          </w:p>
        </w:tc>
        <w:tc>
          <w:tcPr>
            <w:tcW w:w="592" w:type="pct"/>
            <w:shd w:val="clear" w:color="auto" w:fill="auto"/>
            <w:vAlign w:val="center"/>
          </w:tcPr>
          <w:p>
            <w:pPr>
              <w:jc w:val="center"/>
              <w:rPr>
                <w:rFonts w:cs="Times New Roman" w:asciiTheme="minorEastAsia" w:hAnsiTheme="minorEastAsia"/>
                <w:kern w:val="0"/>
                <w:sz w:val="18"/>
                <w:szCs w:val="18"/>
              </w:rPr>
            </w:pPr>
            <w:r>
              <w:rPr>
                <w:rFonts w:cs="Times New Roman" w:asciiTheme="minorEastAsia" w:hAnsiTheme="minorEastAsia"/>
                <w:kern w:val="0"/>
                <w:sz w:val="18"/>
                <w:szCs w:val="18"/>
              </w:rPr>
              <w:t xml:space="preserve">GB/T </w:t>
            </w:r>
            <w:r>
              <w:rPr>
                <w:rFonts w:hint="eastAsia" w:cs="Times New Roman" w:asciiTheme="minorEastAsia" w:hAnsiTheme="minorEastAsia"/>
                <w:kern w:val="0"/>
                <w:sz w:val="18"/>
                <w:szCs w:val="18"/>
              </w:rPr>
              <w:t>33606</w:t>
            </w:r>
          </w:p>
        </w:tc>
        <w:tc>
          <w:tcPr>
            <w:tcW w:w="518" w:type="pct"/>
            <w:shd w:val="clear" w:color="auto" w:fill="auto"/>
            <w:vAlign w:val="center"/>
          </w:tcPr>
          <w:p>
            <w:pPr>
              <w:pStyle w:val="80"/>
              <w:spacing w:line="240" w:lineRule="auto"/>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常温15000次</w:t>
            </w:r>
          </w:p>
          <w:p>
            <w:pPr>
              <w:pStyle w:val="80"/>
              <w:spacing w:line="240" w:lineRule="auto"/>
              <w:ind w:right="32"/>
              <w:jc w:val="center"/>
              <w:rPr>
                <w:rFonts w:asciiTheme="minorEastAsia" w:hAnsiTheme="minorEastAsia"/>
                <w:sz w:val="18"/>
                <w:szCs w:val="18"/>
                <w:lang w:eastAsia="zh-CN"/>
              </w:rPr>
            </w:pPr>
            <w:r>
              <w:rPr>
                <w:rFonts w:hint="eastAsia" w:cs="Times New Roman" w:asciiTheme="minorEastAsia" w:hAnsiTheme="minorEastAsia"/>
                <w:sz w:val="18"/>
                <w:szCs w:val="18"/>
                <w:lang w:eastAsia="zh-CN"/>
              </w:rPr>
              <w:t>低温3000次以上</w:t>
            </w:r>
          </w:p>
        </w:tc>
        <w:tc>
          <w:tcPr>
            <w:tcW w:w="667" w:type="pct"/>
            <w:shd w:val="clear" w:color="auto" w:fill="auto"/>
            <w:vAlign w:val="center"/>
          </w:tcPr>
          <w:p>
            <w:pPr>
              <w:pStyle w:val="80"/>
              <w:spacing w:line="240" w:lineRule="auto"/>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常温10000～5000次</w:t>
            </w:r>
          </w:p>
          <w:p>
            <w:pPr>
              <w:pStyle w:val="80"/>
              <w:spacing w:line="240" w:lineRule="auto"/>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低温2000～3000次之间</w:t>
            </w:r>
          </w:p>
        </w:tc>
        <w:tc>
          <w:tcPr>
            <w:tcW w:w="740" w:type="pct"/>
            <w:shd w:val="clear" w:color="auto" w:fill="auto"/>
            <w:vAlign w:val="center"/>
          </w:tcPr>
          <w:p>
            <w:pPr>
              <w:pStyle w:val="80"/>
              <w:spacing w:line="240" w:lineRule="auto"/>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常温1000次</w:t>
            </w:r>
          </w:p>
          <w:p>
            <w:pPr>
              <w:pStyle w:val="80"/>
              <w:spacing w:line="240" w:lineRule="auto"/>
              <w:ind w:right="32"/>
              <w:jc w:val="center"/>
              <w:rPr>
                <w:rFonts w:asciiTheme="minorEastAsia" w:hAnsiTheme="minorEastAsia"/>
                <w:sz w:val="18"/>
                <w:szCs w:val="18"/>
                <w:lang w:eastAsia="zh-CN"/>
              </w:rPr>
            </w:pPr>
            <w:r>
              <w:rPr>
                <w:rFonts w:hint="eastAsia" w:cs="Times New Roman" w:asciiTheme="minorEastAsia" w:hAnsiTheme="minorEastAsia"/>
                <w:sz w:val="18"/>
                <w:szCs w:val="18"/>
                <w:lang w:eastAsia="zh-CN"/>
              </w:rPr>
              <w:t>低温2000次</w:t>
            </w:r>
          </w:p>
        </w:tc>
        <w:tc>
          <w:tcPr>
            <w:tcW w:w="796" w:type="pct"/>
            <w:vAlign w:val="center"/>
          </w:tcPr>
          <w:p>
            <w:pPr>
              <w:pStyle w:val="80"/>
              <w:spacing w:line="240" w:lineRule="auto"/>
              <w:ind w:right="32"/>
              <w:jc w:val="center"/>
              <w:rPr>
                <w:rFonts w:cs="Times New Roman" w:asciiTheme="minorEastAsia" w:hAnsiTheme="minorEastAsia"/>
                <w:sz w:val="18"/>
                <w:szCs w:val="18"/>
                <w:lang w:eastAsia="zh-CN"/>
              </w:rPr>
            </w:pPr>
            <w:r>
              <w:rPr>
                <w:rFonts w:cs="Times New Roman" w:asciiTheme="minorEastAsia" w:hAnsiTheme="minorEastAsia"/>
                <w:sz w:val="18"/>
                <w:szCs w:val="18"/>
              </w:rPr>
              <w:t xml:space="preserve">GB/T </w:t>
            </w:r>
            <w:r>
              <w:rPr>
                <w:rFonts w:hint="eastAsia" w:cs="Times New Roman" w:asciiTheme="minorEastAsia" w:hAnsiTheme="minorEastAsia"/>
                <w:sz w:val="18"/>
                <w:szCs w:val="18"/>
              </w:rPr>
              <w:t>33606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88" w:type="pct"/>
            <w:vMerge w:val="restar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9</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357" w:type="pct"/>
            <w:vMerge w:val="restart"/>
            <w:shd w:val="clear" w:color="auto" w:fill="auto"/>
            <w:vAlign w:val="center"/>
          </w:tcPr>
          <w:p>
            <w:pPr>
              <w:spacing w:line="260" w:lineRule="exact"/>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介质损耗角</w:t>
            </w:r>
          </w:p>
        </w:tc>
        <w:tc>
          <w:tcPr>
            <w:tcW w:w="679" w:type="pct"/>
            <w:shd w:val="clear" w:color="auto" w:fill="auto"/>
            <w:vAlign w:val="center"/>
          </w:tcPr>
          <w:p>
            <w:pPr>
              <w:spacing w:line="260" w:lineRule="exact"/>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＜35kV</w:t>
            </w:r>
          </w:p>
        </w:tc>
        <w:tc>
          <w:tcPr>
            <w:tcW w:w="592" w:type="pct"/>
            <w:vMerge w:val="restart"/>
            <w:shd w:val="clear" w:color="auto" w:fill="auto"/>
            <w:vAlign w:val="center"/>
          </w:tcPr>
          <w:p>
            <w:pPr>
              <w:jc w:val="center"/>
              <w:rPr>
                <w:rFonts w:asciiTheme="minorEastAsia" w:hAnsiTheme="minorEastAsia"/>
                <w:sz w:val="18"/>
                <w:szCs w:val="18"/>
              </w:rPr>
            </w:pPr>
            <w:r>
              <w:rPr>
                <w:rFonts w:cs="Times New Roman" w:asciiTheme="minorEastAsia" w:hAnsiTheme="minorEastAsia"/>
                <w:kern w:val="0"/>
                <w:sz w:val="18"/>
                <w:szCs w:val="18"/>
              </w:rPr>
              <w:t xml:space="preserve">GB/T </w:t>
            </w:r>
            <w:r>
              <w:rPr>
                <w:rFonts w:hint="eastAsia" w:asciiTheme="minorEastAsia" w:hAnsiTheme="minorEastAsia"/>
                <w:sz w:val="18"/>
                <w:szCs w:val="18"/>
              </w:rPr>
              <w:t>33606</w:t>
            </w:r>
          </w:p>
        </w:tc>
        <w:tc>
          <w:tcPr>
            <w:tcW w:w="518"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≤0.005</w:t>
            </w:r>
          </w:p>
        </w:tc>
        <w:tc>
          <w:tcPr>
            <w:tcW w:w="667"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≤0.020</w:t>
            </w:r>
          </w:p>
        </w:tc>
        <w:tc>
          <w:tcPr>
            <w:tcW w:w="740"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≤0.040</w:t>
            </w:r>
          </w:p>
        </w:tc>
        <w:tc>
          <w:tcPr>
            <w:tcW w:w="796" w:type="pct"/>
            <w:vMerge w:val="restart"/>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rPr>
              <w:t>GB/T</w:t>
            </w:r>
            <w:r>
              <w:rPr>
                <w:rFonts w:hint="eastAsia" w:cs="Times New Roman" w:asciiTheme="minorEastAsia" w:hAnsiTheme="minorEastAsia"/>
                <w:sz w:val="18"/>
                <w:szCs w:val="18"/>
                <w:lang w:eastAsia="zh-CN"/>
              </w:rPr>
              <w:t xml:space="preserve"> </w:t>
            </w:r>
            <w:r>
              <w:rPr>
                <w:rFonts w:hint="eastAsia" w:cs="Times New Roman" w:asciiTheme="minorEastAsia" w:hAnsiTheme="minorEastAsia"/>
                <w:sz w:val="18"/>
                <w:szCs w:val="18"/>
              </w:rPr>
              <w:t>3048.</w:t>
            </w:r>
            <w:r>
              <w:rPr>
                <w:rFonts w:hint="eastAsia" w:cs="Times New Roman" w:asciiTheme="minorEastAsia" w:hAnsiTheme="minorEastAsia"/>
                <w:sz w:val="18"/>
                <w:szCs w:val="18"/>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88" w:type="pct"/>
            <w:vMerge w:val="continue"/>
            <w:vAlign w:val="center"/>
          </w:tcPr>
          <w:p>
            <w:pPr>
              <w:widowControl/>
              <w:jc w:val="center"/>
              <w:rPr>
                <w:rFonts w:cs="Times New Roman" w:asciiTheme="minorEastAsia" w:hAnsiTheme="minorEastAsia"/>
                <w:kern w:val="0"/>
                <w:sz w:val="18"/>
                <w:szCs w:val="18"/>
              </w:rPr>
            </w:pP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357" w:type="pct"/>
            <w:vMerge w:val="continue"/>
            <w:shd w:val="clear" w:color="auto" w:fill="auto"/>
            <w:vAlign w:val="center"/>
          </w:tcPr>
          <w:p>
            <w:pPr>
              <w:jc w:val="center"/>
              <w:rPr>
                <w:rFonts w:cs="Times New Roman" w:asciiTheme="minorEastAsia" w:hAnsiTheme="minorEastAsia"/>
                <w:color w:val="000000" w:themeColor="text1"/>
                <w:sz w:val="18"/>
                <w:szCs w:val="18"/>
                <w:highlight w:val="yellow"/>
              </w:rPr>
            </w:pPr>
          </w:p>
        </w:tc>
        <w:tc>
          <w:tcPr>
            <w:tcW w:w="679" w:type="pct"/>
            <w:shd w:val="clear" w:color="auto" w:fill="auto"/>
            <w:vAlign w:val="center"/>
          </w:tcPr>
          <w:p>
            <w:pPr>
              <w:jc w:val="center"/>
              <w:rPr>
                <w:rFonts w:cs="Times New Roman" w:asciiTheme="minorEastAsia" w:hAnsiTheme="minorEastAsia"/>
                <w:color w:val="000000" w:themeColor="text1"/>
                <w:sz w:val="18"/>
                <w:szCs w:val="18"/>
                <w:highlight w:val="yellow"/>
              </w:rPr>
            </w:pPr>
            <w:r>
              <w:rPr>
                <w:rFonts w:hint="eastAsia" w:cs="Times New Roman" w:asciiTheme="minorEastAsia" w:hAnsiTheme="minorEastAsia"/>
                <w:color w:val="000000" w:themeColor="text1"/>
                <w:sz w:val="18"/>
                <w:szCs w:val="18"/>
              </w:rPr>
              <w:t>35kV</w:t>
            </w:r>
          </w:p>
        </w:tc>
        <w:tc>
          <w:tcPr>
            <w:tcW w:w="592" w:type="pct"/>
            <w:vMerge w:val="continue"/>
            <w:shd w:val="clear" w:color="auto" w:fill="auto"/>
            <w:vAlign w:val="center"/>
          </w:tcPr>
          <w:p>
            <w:pPr>
              <w:jc w:val="center"/>
              <w:rPr>
                <w:rFonts w:asciiTheme="minorEastAsia" w:hAnsiTheme="minorEastAsia"/>
                <w:sz w:val="18"/>
                <w:szCs w:val="18"/>
              </w:rPr>
            </w:pPr>
          </w:p>
        </w:tc>
        <w:tc>
          <w:tcPr>
            <w:tcW w:w="518"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≤0.002</w:t>
            </w:r>
          </w:p>
        </w:tc>
        <w:tc>
          <w:tcPr>
            <w:tcW w:w="667"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≤0.003</w:t>
            </w:r>
          </w:p>
        </w:tc>
        <w:tc>
          <w:tcPr>
            <w:tcW w:w="740" w:type="pct"/>
            <w:shd w:val="clear" w:color="auto" w:fill="auto"/>
            <w:vAlign w:val="center"/>
          </w:tcPr>
          <w:p>
            <w:pPr>
              <w:pStyle w:val="80"/>
              <w:spacing w:line="260" w:lineRule="exact"/>
              <w:ind w:right="32"/>
              <w:jc w:val="center"/>
              <w:rPr>
                <w:rFonts w:cs="Times New Roman" w:asciiTheme="minorEastAsia" w:hAnsiTheme="minorEastAsia"/>
                <w:sz w:val="18"/>
                <w:szCs w:val="18"/>
                <w:lang w:eastAsia="zh-CN"/>
              </w:rPr>
            </w:pPr>
            <w:r>
              <w:rPr>
                <w:rFonts w:hint="eastAsia" w:cs="Times New Roman" w:asciiTheme="minorEastAsia" w:hAnsiTheme="minorEastAsia"/>
                <w:sz w:val="18"/>
                <w:szCs w:val="18"/>
                <w:lang w:eastAsia="zh-CN"/>
              </w:rPr>
              <w:t>≤0.005</w:t>
            </w:r>
          </w:p>
        </w:tc>
        <w:tc>
          <w:tcPr>
            <w:tcW w:w="796" w:type="pct"/>
            <w:vMerge w:val="continue"/>
            <w:vAlign w:val="center"/>
          </w:tcPr>
          <w:p>
            <w:pPr>
              <w:pStyle w:val="80"/>
              <w:spacing w:line="260" w:lineRule="exact"/>
              <w:ind w:right="32"/>
              <w:jc w:val="center"/>
              <w:rPr>
                <w:rFonts w:cs="Times New Roman" w:asciiTheme="minorEastAsia" w:hAnsi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10</w:t>
            </w:r>
          </w:p>
        </w:tc>
        <w:tc>
          <w:tcPr>
            <w:tcW w:w="363"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1036" w:type="pct"/>
            <w:gridSpan w:val="2"/>
            <w:shd w:val="clear" w:color="auto" w:fill="auto"/>
            <w:vAlign w:val="center"/>
          </w:tcPr>
          <w:p>
            <w:pPr>
              <w:spacing w:line="260" w:lineRule="exact"/>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扭转后的局放</w:t>
            </w:r>
          </w:p>
        </w:tc>
        <w:tc>
          <w:tcPr>
            <w:tcW w:w="592" w:type="pct"/>
            <w:shd w:val="clear" w:color="auto" w:fill="auto"/>
            <w:vAlign w:val="center"/>
          </w:tcPr>
          <w:p>
            <w:pPr>
              <w:widowControl/>
              <w:spacing w:line="260" w:lineRule="exact"/>
              <w:ind w:left="90" w:hanging="90" w:hangingChars="50"/>
              <w:jc w:val="center"/>
              <w:rPr>
                <w:rFonts w:cs="Times New Roman" w:asciiTheme="minorEastAsia" w:hAnsiTheme="minorEastAsia"/>
                <w:sz w:val="18"/>
                <w:szCs w:val="18"/>
              </w:rPr>
            </w:pPr>
            <w:r>
              <w:rPr>
                <w:rFonts w:hint="eastAsia" w:asciiTheme="minorEastAsia" w:hAnsiTheme="minorEastAsia"/>
                <w:sz w:val="18"/>
                <w:szCs w:val="18"/>
              </w:rPr>
              <w:t>GB/T33606</w:t>
            </w:r>
          </w:p>
        </w:tc>
        <w:tc>
          <w:tcPr>
            <w:tcW w:w="518" w:type="pct"/>
            <w:shd w:val="clear" w:color="auto" w:fill="auto"/>
            <w:vAlign w:val="center"/>
          </w:tcPr>
          <w:p>
            <w:pPr>
              <w:pStyle w:val="80"/>
              <w:spacing w:line="260" w:lineRule="exact"/>
              <w:ind w:left="89" w:right="82"/>
              <w:jc w:val="center"/>
              <w:rPr>
                <w:rFonts w:asciiTheme="minorEastAsia" w:hAnsiTheme="minorEastAsia"/>
                <w:sz w:val="18"/>
                <w:szCs w:val="18"/>
                <w:highlight w:val="yellow"/>
                <w:lang w:eastAsia="zh-CN"/>
              </w:rPr>
            </w:pPr>
            <w:r>
              <w:rPr>
                <w:rFonts w:hint="eastAsia" w:cs="Times New Roman" w:asciiTheme="minorEastAsia" w:hAnsiTheme="minorEastAsia"/>
                <w:sz w:val="18"/>
                <w:szCs w:val="18"/>
                <w:lang w:eastAsia="zh-CN"/>
              </w:rPr>
              <w:t>≤1.5pC</w:t>
            </w:r>
          </w:p>
        </w:tc>
        <w:tc>
          <w:tcPr>
            <w:tcW w:w="667" w:type="pct"/>
            <w:shd w:val="clear" w:color="auto" w:fill="auto"/>
            <w:vAlign w:val="center"/>
          </w:tcPr>
          <w:p>
            <w:pPr>
              <w:pStyle w:val="80"/>
              <w:spacing w:line="260" w:lineRule="exact"/>
              <w:ind w:left="89" w:right="82"/>
              <w:jc w:val="center"/>
              <w:rPr>
                <w:rFonts w:asciiTheme="minorEastAsia" w:hAnsiTheme="minorEastAsia"/>
                <w:sz w:val="18"/>
                <w:szCs w:val="18"/>
                <w:highlight w:val="yellow"/>
              </w:rPr>
            </w:pPr>
            <w:r>
              <w:rPr>
                <w:rFonts w:hint="eastAsia" w:cs="Times New Roman" w:asciiTheme="minorEastAsia" w:hAnsiTheme="minorEastAsia"/>
                <w:sz w:val="18"/>
                <w:szCs w:val="18"/>
                <w:lang w:eastAsia="zh-CN"/>
              </w:rPr>
              <w:t>≤3pC</w:t>
            </w:r>
          </w:p>
        </w:tc>
        <w:tc>
          <w:tcPr>
            <w:tcW w:w="740" w:type="pct"/>
            <w:shd w:val="clear" w:color="auto" w:fill="auto"/>
            <w:vAlign w:val="center"/>
          </w:tcPr>
          <w:p>
            <w:pPr>
              <w:pStyle w:val="80"/>
              <w:spacing w:line="260" w:lineRule="exact"/>
              <w:ind w:left="89" w:right="82"/>
              <w:jc w:val="center"/>
              <w:rPr>
                <w:rFonts w:asciiTheme="minorEastAsia" w:hAnsiTheme="minorEastAsia"/>
                <w:sz w:val="18"/>
                <w:szCs w:val="18"/>
                <w:highlight w:val="yellow"/>
              </w:rPr>
            </w:pPr>
            <w:r>
              <w:rPr>
                <w:rFonts w:hint="eastAsia" w:cs="Times New Roman" w:asciiTheme="minorEastAsia" w:hAnsiTheme="minorEastAsia"/>
                <w:sz w:val="18"/>
                <w:szCs w:val="18"/>
                <w:lang w:eastAsia="zh-CN"/>
              </w:rPr>
              <w:t>≤5pC</w:t>
            </w:r>
          </w:p>
        </w:tc>
        <w:tc>
          <w:tcPr>
            <w:tcW w:w="796" w:type="pct"/>
            <w:vAlign w:val="center"/>
          </w:tcPr>
          <w:p>
            <w:pPr>
              <w:pStyle w:val="80"/>
              <w:spacing w:line="260" w:lineRule="exact"/>
              <w:ind w:left="89" w:right="82"/>
              <w:jc w:val="center"/>
              <w:rPr>
                <w:rFonts w:cs="Times New Roman" w:asciiTheme="minorEastAsia" w:hAnsiTheme="minorEastAsia"/>
                <w:sz w:val="18"/>
                <w:szCs w:val="18"/>
                <w:lang w:eastAsia="zh-CN"/>
              </w:rPr>
            </w:pPr>
            <w:r>
              <w:rPr>
                <w:rFonts w:hint="eastAsia" w:cs="Times New Roman" w:asciiTheme="minorEastAsia" w:hAnsiTheme="minorEastAsia"/>
                <w:sz w:val="18"/>
                <w:szCs w:val="18"/>
              </w:rPr>
              <w:t>GB/T</w:t>
            </w:r>
            <w:r>
              <w:rPr>
                <w:rFonts w:hint="eastAsia" w:cs="Times New Roman" w:asciiTheme="minorEastAsia" w:hAnsiTheme="minorEastAsia"/>
                <w:sz w:val="18"/>
                <w:szCs w:val="18"/>
                <w:lang w:eastAsia="zh-CN"/>
              </w:rPr>
              <w:t xml:space="preserve"> </w:t>
            </w:r>
            <w:r>
              <w:rPr>
                <w:rFonts w:hint="eastAsia" w:cs="Times New Roman" w:asciiTheme="minorEastAsia" w:hAnsiTheme="minorEastAsia"/>
                <w:sz w:val="18"/>
                <w:szCs w:val="18"/>
              </w:rPr>
              <w:t>3048.</w:t>
            </w:r>
            <w:r>
              <w:rPr>
                <w:rFonts w:hint="eastAsia" w:cs="Times New Roman" w:asciiTheme="minorEastAsia" w:hAnsiTheme="minorEastAsia"/>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11</w:t>
            </w:r>
          </w:p>
        </w:tc>
        <w:tc>
          <w:tcPr>
            <w:tcW w:w="36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创新性指标</w:t>
            </w:r>
          </w:p>
        </w:tc>
        <w:tc>
          <w:tcPr>
            <w:tcW w:w="1036" w:type="pct"/>
            <w:gridSpan w:val="2"/>
            <w:shd w:val="clear" w:color="auto" w:fill="auto"/>
            <w:vAlign w:val="center"/>
          </w:tcPr>
          <w:p>
            <w:pPr>
              <w:jc w:val="center"/>
              <w:rPr>
                <w:rFonts w:cs="Times New Roman" w:asciiTheme="minorEastAsia" w:hAnsiTheme="minorEastAsia"/>
                <w:color w:val="000000" w:themeColor="text1"/>
                <w:sz w:val="18"/>
                <w:szCs w:val="18"/>
              </w:rPr>
            </w:pPr>
            <w:r>
              <w:rPr>
                <w:rFonts w:hint="eastAsia" w:cs="Times New Roman" w:asciiTheme="minorEastAsia" w:hAnsiTheme="minorEastAsia"/>
                <w:color w:val="000000" w:themeColor="text1"/>
                <w:sz w:val="18"/>
                <w:szCs w:val="18"/>
              </w:rPr>
              <w:t>耐霉菌性能</w:t>
            </w:r>
          </w:p>
        </w:tc>
        <w:tc>
          <w:tcPr>
            <w:tcW w:w="592"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GJB 150.10A-2009</w:t>
            </w:r>
          </w:p>
        </w:tc>
        <w:tc>
          <w:tcPr>
            <w:tcW w:w="518" w:type="pct"/>
            <w:shd w:val="clear" w:color="auto" w:fill="auto"/>
            <w:vAlign w:val="center"/>
          </w:tcPr>
          <w:p>
            <w:pPr>
              <w:pStyle w:val="80"/>
              <w:spacing w:line="240" w:lineRule="auto"/>
              <w:ind w:left="89" w:right="82"/>
              <w:jc w:val="center"/>
              <w:rPr>
                <w:rFonts w:asciiTheme="minorEastAsia" w:hAnsiTheme="minorEastAsia"/>
                <w:sz w:val="18"/>
                <w:szCs w:val="18"/>
                <w:highlight w:val="yellow"/>
                <w:lang w:eastAsia="zh-CN"/>
              </w:rPr>
            </w:pPr>
            <w:r>
              <w:rPr>
                <w:rFonts w:hint="eastAsia" w:cs="Times New Roman" w:asciiTheme="minorEastAsia" w:hAnsiTheme="minorEastAsia"/>
                <w:kern w:val="2"/>
                <w:sz w:val="18"/>
                <w:szCs w:val="18"/>
                <w:lang w:eastAsia="zh-CN"/>
              </w:rPr>
              <w:t>0级</w:t>
            </w:r>
          </w:p>
        </w:tc>
        <w:tc>
          <w:tcPr>
            <w:tcW w:w="667" w:type="pct"/>
            <w:shd w:val="clear" w:color="auto" w:fill="auto"/>
            <w:vAlign w:val="center"/>
          </w:tcPr>
          <w:p>
            <w:pPr>
              <w:pStyle w:val="80"/>
              <w:spacing w:line="240" w:lineRule="auto"/>
              <w:ind w:left="89" w:right="82"/>
              <w:jc w:val="center"/>
              <w:rPr>
                <w:rFonts w:asciiTheme="minorEastAsia" w:hAnsiTheme="minorEastAsia"/>
                <w:sz w:val="18"/>
                <w:szCs w:val="18"/>
                <w:highlight w:val="yellow"/>
                <w:lang w:eastAsia="zh-CN"/>
              </w:rPr>
            </w:pPr>
            <w:r>
              <w:rPr>
                <w:rFonts w:hint="eastAsia" w:cs="Times New Roman" w:asciiTheme="minorEastAsia" w:hAnsiTheme="minorEastAsia"/>
                <w:kern w:val="2"/>
                <w:sz w:val="18"/>
                <w:szCs w:val="18"/>
                <w:lang w:eastAsia="zh-CN"/>
              </w:rPr>
              <w:t>1级</w:t>
            </w:r>
          </w:p>
        </w:tc>
        <w:tc>
          <w:tcPr>
            <w:tcW w:w="740" w:type="pct"/>
            <w:shd w:val="clear" w:color="auto" w:fill="auto"/>
            <w:vAlign w:val="center"/>
          </w:tcPr>
          <w:p>
            <w:pPr>
              <w:pStyle w:val="80"/>
              <w:spacing w:line="240" w:lineRule="auto"/>
              <w:ind w:left="89" w:right="82"/>
              <w:jc w:val="center"/>
              <w:rPr>
                <w:rFonts w:asciiTheme="minorEastAsia" w:hAnsiTheme="minorEastAsia"/>
                <w:sz w:val="18"/>
                <w:szCs w:val="18"/>
                <w:highlight w:val="yellow"/>
                <w:lang w:eastAsia="zh-CN"/>
              </w:rPr>
            </w:pPr>
            <w:r>
              <w:rPr>
                <w:rFonts w:hint="eastAsia" w:cs="Times New Roman" w:asciiTheme="minorEastAsia" w:hAnsiTheme="minorEastAsia"/>
                <w:kern w:val="2"/>
                <w:sz w:val="18"/>
                <w:szCs w:val="18"/>
                <w:lang w:eastAsia="zh-CN"/>
              </w:rPr>
              <w:t>—</w:t>
            </w:r>
          </w:p>
        </w:tc>
        <w:tc>
          <w:tcPr>
            <w:tcW w:w="796" w:type="pct"/>
            <w:vAlign w:val="center"/>
          </w:tcPr>
          <w:p>
            <w:pPr>
              <w:pStyle w:val="80"/>
              <w:spacing w:line="240" w:lineRule="auto"/>
              <w:ind w:left="89" w:right="82"/>
              <w:jc w:val="center"/>
              <w:rPr>
                <w:rFonts w:cs="Times New Roman" w:asciiTheme="minorEastAsia" w:hAnsiTheme="minorEastAsia"/>
                <w:kern w:val="2"/>
                <w:sz w:val="18"/>
                <w:szCs w:val="18"/>
                <w:lang w:eastAsia="zh-CN"/>
              </w:rPr>
            </w:pPr>
            <w:r>
              <w:rPr>
                <w:rFonts w:hint="eastAsia" w:asciiTheme="minorEastAsia" w:hAnsiTheme="minorEastAsia"/>
                <w:sz w:val="18"/>
                <w:szCs w:val="18"/>
              </w:rPr>
              <w:t>GJB 150.10A-2009</w:t>
            </w:r>
          </w:p>
        </w:tc>
      </w:tr>
      <w:bookmarkEnd w:id="55"/>
    </w:tbl>
    <w:p>
      <w:pPr>
        <w:pStyle w:val="41"/>
        <w:spacing w:before="312" w:after="312"/>
        <w:ind w:left="0"/>
        <w:rPr>
          <w:rFonts w:ascii="Times New Roman"/>
        </w:rPr>
      </w:pPr>
      <w:r>
        <w:rPr>
          <w:rFonts w:hint="eastAsia" w:ascii="Times New Roman"/>
        </w:rPr>
        <w:t>评价方法及等级划分</w:t>
      </w:r>
    </w:p>
    <w:p>
      <w:pPr>
        <w:pStyle w:val="65"/>
        <w:numPr>
          <w:ilvl w:val="0"/>
          <w:numId w:val="3"/>
        </w:numPr>
        <w:ind w:firstLine="420"/>
        <w:jc w:val="left"/>
        <w:rPr>
          <w:rFonts w:asciiTheme="minorEastAsia" w:hAnsiTheme="minorEastAsia"/>
          <w:color w:val="000000" w:themeColor="text1"/>
          <w:highlight w:val="yellow"/>
        </w:rPr>
      </w:pPr>
      <w:r>
        <w:rPr>
          <w:rFonts w:hint="eastAsia" w:asciiTheme="minorEastAsia" w:hAnsiTheme="minorEastAsia"/>
          <w:color w:val="000000" w:themeColor="text1"/>
        </w:rPr>
        <w:t>评价结果划分为一级、二级和三级，各等级所对应的划分依据见表3。达到三级要求及以上的企业标准并按照有关要求进行自我声明公开后均可进入</w:t>
      </w:r>
      <w:r>
        <w:rPr>
          <w:rFonts w:hint="eastAsia" w:asciiTheme="minorEastAsia" w:hAnsiTheme="minorEastAsia"/>
        </w:rPr>
        <w:t>风力电缆企业标准</w:t>
      </w:r>
      <w:r>
        <w:rPr>
          <w:rFonts w:hint="eastAsia" w:asciiTheme="minorEastAsia" w:hAnsiTheme="minorEastAsia"/>
          <w:color w:val="000000" w:themeColor="text1"/>
        </w:rPr>
        <w:t>排行榜。达到一级要求的企业标准，且按照有关要求进行自我声明公开后，其标准和符合标准的产品或服务可以直接进入</w:t>
      </w:r>
      <w:r>
        <w:rPr>
          <w:rFonts w:hint="eastAsia" w:asciiTheme="minorEastAsia" w:hAnsiTheme="minorEastAsia"/>
        </w:rPr>
        <w:t>风力电缆</w:t>
      </w:r>
      <w:r>
        <w:rPr>
          <w:rFonts w:hint="eastAsia" w:asciiTheme="minorEastAsia" w:hAnsiTheme="minorEastAsia"/>
          <w:color w:val="000000" w:themeColor="text1"/>
        </w:rPr>
        <w:t>企业标准“领跑者”候选名单。</w:t>
      </w:r>
    </w:p>
    <w:bookmarkEnd w:id="56"/>
    <w:bookmarkEnd w:id="57"/>
    <w:bookmarkEnd w:id="58"/>
    <w:bookmarkEnd w:id="59"/>
    <w:bookmarkEnd w:id="60"/>
    <w:p>
      <w:pPr>
        <w:pStyle w:val="39"/>
        <w:tabs>
          <w:tab w:val="clear" w:pos="360"/>
          <w:tab w:val="clear" w:pos="720"/>
        </w:tabs>
        <w:spacing w:before="156" w:after="156"/>
        <w:ind w:left="0"/>
        <w:rPr>
          <w:rFonts w:hAnsi="黑体" w:cs="黑体"/>
          <w:szCs w:val="21"/>
        </w:rPr>
      </w:pPr>
      <w:r>
        <w:rPr>
          <w:rFonts w:hint="eastAsia" w:hAnsi="黑体" w:cs="黑体"/>
          <w:szCs w:val="21"/>
        </w:rPr>
        <w:t>指标评价要求及等级划分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1910"/>
        <w:gridCol w:w="1910"/>
        <w:gridCol w:w="1911"/>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评价等级</w:t>
            </w:r>
          </w:p>
        </w:tc>
        <w:tc>
          <w:tcPr>
            <w:tcW w:w="2075" w:type="dxa"/>
            <w:gridSpan w:val="4"/>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一</w:t>
            </w:r>
            <w:r>
              <w:rPr>
                <w:rFonts w:asciiTheme="minorEastAsia" w:hAnsiTheme="minorEastAsia" w:cstheme="majorEastAsia"/>
                <w:bCs/>
                <w:color w:val="000000" w:themeColor="text1"/>
                <w:sz w:val="18"/>
                <w:szCs w:val="18"/>
              </w:rPr>
              <w:t>级</w:t>
            </w:r>
            <w:r>
              <w:rPr>
                <w:rFonts w:hint="eastAsia" w:asciiTheme="minorEastAsia" w:hAnsiTheme="minorEastAsia" w:cstheme="majorEastAsia"/>
                <w:bCs/>
                <w:color w:val="000000" w:themeColor="text1"/>
                <w:sz w:val="18"/>
                <w:szCs w:val="18"/>
              </w:rPr>
              <w:t>应同时满足</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核心指标先进水平要求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二级应同时满足</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核心指标平均水平要求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三级应同时满足</w:t>
            </w:r>
          </w:p>
        </w:tc>
        <w:tc>
          <w:tcPr>
            <w:tcW w:w="2075" w:type="dxa"/>
            <w:vAlign w:val="center"/>
          </w:tcPr>
          <w:p>
            <w:pPr>
              <w:pStyle w:val="33"/>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2075" w:type="dxa"/>
            <w:vAlign w:val="center"/>
          </w:tcPr>
          <w:p>
            <w:pPr>
              <w:pStyle w:val="33"/>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核心指标基准水平要求</w:t>
            </w:r>
          </w:p>
        </w:tc>
        <w:tc>
          <w:tcPr>
            <w:tcW w:w="2075" w:type="dxa"/>
            <w:vAlign w:val="center"/>
          </w:tcPr>
          <w:p>
            <w:pPr>
              <w:pStyle w:val="33"/>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w:t>
            </w:r>
          </w:p>
        </w:tc>
      </w:tr>
      <w:bookmarkEnd w:id="44"/>
      <w:bookmarkEnd w:id="45"/>
      <w:bookmarkEnd w:id="46"/>
      <w:bookmarkEnd w:id="47"/>
      <w:bookmarkEnd w:id="48"/>
      <w:bookmarkEnd w:id="49"/>
      <w:bookmarkEnd w:id="51"/>
      <w:bookmarkEnd w:id="52"/>
      <w:bookmarkEnd w:id="53"/>
    </w:tbl>
    <w:p>
      <w:pPr>
        <w:rPr>
          <w:rFonts w:ascii="Times New Roman" w:hAnsi="Times New Roman"/>
          <w:color w:val="000000" w:themeColor="text1"/>
        </w:rPr>
      </w:pPr>
      <w:r>
        <w:rPr>
          <w:rFonts w:ascii="Times New Roman" w:hAnsi="Times New Roman"/>
          <w:color w:val="000000" w:themeColor="text1"/>
        </w:rPr>
        <w:pict>
          <v:shape id="AutoShape 18" o:spid="_x0000_s1031" o:spt="32" type="#_x0000_t32" style="position:absolute;left:0pt;margin-left:151.1pt;margin-top:10.3pt;height:0pt;width:178.95pt;z-index:251659264;mso-width-relative:page;mso-height-relative:page;" filled="f"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Iix4OzaAQAAwQ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qc7k7bswXz04u7mD5rTFq1E82dzb&#10;ZQvT6ry+Zztf/rz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PoMAHWAAAACQEAAA8AAAAAAAAA&#10;AQAgAAAAIgAAAGRycy9kb3ducmV2LnhtbFBLAQIUABQAAAAIAIdO4kCIseDs2gEAAMEDAAAOAAAA&#10;AAAAAAEAIAAAACUBAABkcnMvZTJvRG9jLnhtbFBLBQYAAAAABgAGAFkBAABxBQAAAAA=&#10;">
            <v:path arrowok="t"/>
            <v:fill on="f" focussize="0,0"/>
            <v:stroke/>
            <v:imagedata o:title=""/>
            <o:lock v:ext="edit"/>
          </v:shape>
        </w:pict>
      </w:r>
    </w:p>
    <w:sectPr>
      <w:footerReference r:id="rId7" w:type="default"/>
      <w:footerReference r:id="rId8" w:type="even"/>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黑体" w:hAnsi="黑体" w:eastAsia="黑体"/>
      </w:rPr>
    </w:pPr>
    <w:r>
      <w:rPr>
        <w:rFonts w:ascii="黑体" w:hAnsi="黑体" w:eastAsia="黑体"/>
        <w:lang w:val="zh-CN"/>
      </w:rPr>
      <w:fldChar w:fldCharType="begin"/>
    </w:r>
    <w:r>
      <w:rPr>
        <w:rFonts w:ascii="黑体" w:hAnsi="黑体" w:eastAsia="黑体"/>
        <w:lang w:val="zh-CN"/>
      </w:rPr>
      <w:instrText xml:space="preserve"> PAGE   \* MERGEFORMAT </w:instrText>
    </w:r>
    <w:r>
      <w:rPr>
        <w:rFonts w:ascii="黑体" w:hAnsi="黑体" w:eastAsia="黑体"/>
        <w:lang w:val="zh-CN"/>
      </w:rPr>
      <w:fldChar w:fldCharType="separate"/>
    </w:r>
    <w:r>
      <w:rPr>
        <w:rFonts w:ascii="黑体" w:hAnsi="黑体" w:eastAsia="黑体"/>
        <w:lang w:val="zh-CN"/>
      </w:rPr>
      <w:t>3</w:t>
    </w:r>
    <w:r>
      <w:rPr>
        <w:rFonts w:ascii="黑体" w:hAnsi="黑体" w:eastAsia="黑体"/>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8913"/>
      <w:docPartObj>
        <w:docPartGallery w:val="autotext"/>
      </w:docPartObj>
    </w:sdtPr>
    <w:sdtEndPr>
      <w:rPr>
        <w:rFonts w:ascii="黑体" w:hAnsi="黑体" w:eastAsia="黑体"/>
      </w:rPr>
    </w:sdtEndPr>
    <w:sdtContent>
      <w:p>
        <w:pPr>
          <w:pStyle w:val="13"/>
          <w:rPr>
            <w:rFonts w:ascii="黑体" w:hAnsi="黑体" w:eastAsia="黑体"/>
          </w:rPr>
        </w:pP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4</w:t>
        </w:r>
        <w:r>
          <w:rPr>
            <w:rFonts w:ascii="黑体" w:hAnsi="黑体" w:eastAsia="黑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jc w:val="left"/>
      <w:rPr>
        <w:rFonts w:hAnsi="黑体"/>
        <w:color w:val="000000" w:themeColor="text1"/>
      </w:rPr>
    </w:pPr>
    <w:r>
      <w:rPr>
        <w:rFonts w:hAnsi="黑体"/>
      </w:rPr>
      <w:t xml:space="preserve">T/XXX </w:t>
    </w:r>
    <w:r>
      <w:rPr>
        <w:rFonts w:hint="eastAsia" w:hAnsi="黑体"/>
      </w:rPr>
      <w:t>XX</w:t>
    </w:r>
    <w:r>
      <w:rPr>
        <w:rFonts w:hAnsi="黑体"/>
      </w:rPr>
      <w:t>-</w:t>
    </w:r>
    <w:r>
      <w:rPr>
        <w:rFonts w:hint="eastAsia" w:hAnsi="黑体"/>
        <w:color w:val="000000" w:themeColor="text1"/>
      </w:rPr>
      <w:t>XXXX</w:t>
    </w:r>
  </w:p>
  <w:p>
    <w:pPr>
      <w:jc w:val="left"/>
      <w:rPr>
        <w:rFonts w:ascii="黑体" w:hAnsi="黑体" w:eastAsia="黑体"/>
      </w:rPr>
    </w:pPr>
    <w:r>
      <w:rPr>
        <w:rFonts w:hint="eastAsia" w:ascii="黑体" w:hAnsi="黑体" w:eastAsia="黑体"/>
        <w:color w:val="000000" w:themeColor="text1"/>
      </w:rPr>
      <w:t>T/CSTE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rFonts w:hAnsi="黑体"/>
        <w:color w:val="000000" w:themeColor="text1"/>
      </w:rPr>
    </w:pPr>
    <w:r>
      <w:rPr>
        <w:rFonts w:hAnsi="黑体"/>
      </w:rPr>
      <w:t xml:space="preserve">T/XXX </w:t>
    </w:r>
    <w:r>
      <w:rPr>
        <w:rFonts w:hint="eastAsia" w:hAnsi="黑体"/>
      </w:rPr>
      <w:t>XX</w:t>
    </w:r>
    <w:r>
      <w:rPr>
        <w:rFonts w:hAnsi="黑体"/>
      </w:rPr>
      <w:t>-</w:t>
    </w:r>
    <w:r>
      <w:rPr>
        <w:rFonts w:hint="eastAsia" w:hAnsi="黑体"/>
        <w:color w:val="000000" w:themeColor="text1"/>
      </w:rPr>
      <w:t>XXXX</w:t>
    </w:r>
  </w:p>
  <w:p>
    <w:pPr>
      <w:jc w:val="right"/>
      <w:rPr>
        <w:rFonts w:ascii="黑体" w:hAnsi="黑体" w:eastAsia="黑体"/>
      </w:rPr>
    </w:pPr>
    <w:r>
      <w:rPr>
        <w:rFonts w:hint="eastAsia" w:ascii="黑体" w:hAnsi="黑体" w:eastAsia="黑体"/>
        <w:color w:val="000000" w:themeColor="text1"/>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39"/>
      <w:suff w:val="nothing"/>
      <w:lvlText w:val="表%1　"/>
      <w:lvlJc w:val="left"/>
      <w:pPr>
        <w:ind w:left="3261" w:firstLine="0"/>
      </w:pPr>
      <w:rPr>
        <w:rFonts w:hint="eastAsia" w:ascii="黑体" w:hAnsi="Times New Roman" w:eastAsia="黑体"/>
        <w:b w:val="0"/>
        <w:i w:val="0"/>
        <w:sz w:val="21"/>
      </w:rPr>
    </w:lvl>
    <w:lvl w:ilvl="1" w:tentative="0">
      <w:start w:val="1"/>
      <w:numFmt w:val="decimal"/>
      <w:lvlText w:val="%1.%2"/>
      <w:lvlJc w:val="left"/>
      <w:pPr>
        <w:tabs>
          <w:tab w:val="left" w:pos="424"/>
        </w:tabs>
        <w:ind w:left="424" w:hanging="567"/>
      </w:pPr>
      <w:rPr>
        <w:rFonts w:hint="eastAsia"/>
      </w:rPr>
    </w:lvl>
    <w:lvl w:ilvl="2" w:tentative="0">
      <w:start w:val="1"/>
      <w:numFmt w:val="decimal"/>
      <w:lvlText w:val="%1.%2.%3"/>
      <w:lvlJc w:val="left"/>
      <w:pPr>
        <w:tabs>
          <w:tab w:val="left" w:pos="850"/>
        </w:tabs>
        <w:ind w:left="850" w:hanging="567"/>
      </w:pPr>
      <w:rPr>
        <w:rFonts w:hint="eastAsia"/>
      </w:rPr>
    </w:lvl>
    <w:lvl w:ilvl="3" w:tentative="0">
      <w:start w:val="1"/>
      <w:numFmt w:val="decimal"/>
      <w:lvlText w:val="%1.%2.%3.%4"/>
      <w:lvlJc w:val="left"/>
      <w:pPr>
        <w:tabs>
          <w:tab w:val="left" w:pos="1416"/>
        </w:tabs>
        <w:ind w:left="1416" w:hanging="708"/>
      </w:pPr>
      <w:rPr>
        <w:rFonts w:hint="eastAsia"/>
      </w:rPr>
    </w:lvl>
    <w:lvl w:ilvl="4" w:tentative="0">
      <w:start w:val="1"/>
      <w:numFmt w:val="decimal"/>
      <w:lvlText w:val="%1.%2.%3.%4.%5"/>
      <w:lvlJc w:val="left"/>
      <w:pPr>
        <w:tabs>
          <w:tab w:val="left" w:pos="1983"/>
        </w:tabs>
        <w:ind w:left="1983" w:hanging="850"/>
      </w:pPr>
      <w:rPr>
        <w:rFonts w:hint="eastAsia"/>
      </w:rPr>
    </w:lvl>
    <w:lvl w:ilvl="5" w:tentative="0">
      <w:start w:val="1"/>
      <w:numFmt w:val="decimal"/>
      <w:lvlText w:val="%1.%2.%3.%4.%5.%6"/>
      <w:lvlJc w:val="left"/>
      <w:pPr>
        <w:tabs>
          <w:tab w:val="left" w:pos="2692"/>
        </w:tabs>
        <w:ind w:left="2692" w:hanging="1134"/>
      </w:pPr>
      <w:rPr>
        <w:rFonts w:hint="eastAsia"/>
      </w:rPr>
    </w:lvl>
    <w:lvl w:ilvl="6" w:tentative="0">
      <w:start w:val="1"/>
      <w:numFmt w:val="decimal"/>
      <w:lvlText w:val="%1.%2.%3.%4.%5.%6.%7"/>
      <w:lvlJc w:val="left"/>
      <w:pPr>
        <w:tabs>
          <w:tab w:val="left" w:pos="3259"/>
        </w:tabs>
        <w:ind w:left="3259" w:hanging="1276"/>
      </w:pPr>
      <w:rPr>
        <w:rFonts w:hint="eastAsia"/>
      </w:rPr>
    </w:lvl>
    <w:lvl w:ilvl="7" w:tentative="0">
      <w:start w:val="1"/>
      <w:numFmt w:val="decimal"/>
      <w:lvlText w:val="%1.%2.%3.%4.%5.%6.%7.%8"/>
      <w:lvlJc w:val="left"/>
      <w:pPr>
        <w:tabs>
          <w:tab w:val="left" w:pos="3826"/>
        </w:tabs>
        <w:ind w:left="3826" w:hanging="1418"/>
      </w:pPr>
      <w:rPr>
        <w:rFonts w:hint="eastAsia"/>
      </w:rPr>
    </w:lvl>
    <w:lvl w:ilvl="8" w:tentative="0">
      <w:start w:val="1"/>
      <w:numFmt w:val="decimal"/>
      <w:lvlText w:val="%1.%2.%3.%4.%5.%6.%7.%8.%9"/>
      <w:lvlJc w:val="left"/>
      <w:pPr>
        <w:tabs>
          <w:tab w:val="left" w:pos="4534"/>
        </w:tabs>
        <w:ind w:left="4534"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3BF"/>
    <w:rsid w:val="00016680"/>
    <w:rsid w:val="0002296E"/>
    <w:rsid w:val="000A54C1"/>
    <w:rsid w:val="000D6BCA"/>
    <w:rsid w:val="000D746D"/>
    <w:rsid w:val="000E4D03"/>
    <w:rsid w:val="000F34D8"/>
    <w:rsid w:val="0010156E"/>
    <w:rsid w:val="0012224D"/>
    <w:rsid w:val="001236C1"/>
    <w:rsid w:val="0014544C"/>
    <w:rsid w:val="001670B3"/>
    <w:rsid w:val="00195260"/>
    <w:rsid w:val="00195DD8"/>
    <w:rsid w:val="001C11D0"/>
    <w:rsid w:val="001C3D49"/>
    <w:rsid w:val="001C5913"/>
    <w:rsid w:val="001D3324"/>
    <w:rsid w:val="001D5E3A"/>
    <w:rsid w:val="001E631B"/>
    <w:rsid w:val="00211F5C"/>
    <w:rsid w:val="00234A3B"/>
    <w:rsid w:val="00247E26"/>
    <w:rsid w:val="002707E9"/>
    <w:rsid w:val="00293F32"/>
    <w:rsid w:val="00294203"/>
    <w:rsid w:val="00294404"/>
    <w:rsid w:val="002A0E12"/>
    <w:rsid w:val="002C68D8"/>
    <w:rsid w:val="002D397D"/>
    <w:rsid w:val="002E657F"/>
    <w:rsid w:val="002F6C01"/>
    <w:rsid w:val="002F7D36"/>
    <w:rsid w:val="00315FA8"/>
    <w:rsid w:val="003505D3"/>
    <w:rsid w:val="00383BFC"/>
    <w:rsid w:val="00387267"/>
    <w:rsid w:val="0039289F"/>
    <w:rsid w:val="00397EDF"/>
    <w:rsid w:val="003C5810"/>
    <w:rsid w:val="003C66B5"/>
    <w:rsid w:val="003F0FE4"/>
    <w:rsid w:val="00432B0E"/>
    <w:rsid w:val="00444B34"/>
    <w:rsid w:val="0048060C"/>
    <w:rsid w:val="004918D8"/>
    <w:rsid w:val="004A243A"/>
    <w:rsid w:val="004E30A3"/>
    <w:rsid w:val="00510E7A"/>
    <w:rsid w:val="00511B59"/>
    <w:rsid w:val="00567AE5"/>
    <w:rsid w:val="00583F64"/>
    <w:rsid w:val="0059325A"/>
    <w:rsid w:val="005A0884"/>
    <w:rsid w:val="005B2181"/>
    <w:rsid w:val="005B2D52"/>
    <w:rsid w:val="005C4744"/>
    <w:rsid w:val="005F5628"/>
    <w:rsid w:val="00602768"/>
    <w:rsid w:val="006162D2"/>
    <w:rsid w:val="00620535"/>
    <w:rsid w:val="006449A5"/>
    <w:rsid w:val="006509D2"/>
    <w:rsid w:val="00665205"/>
    <w:rsid w:val="006715D6"/>
    <w:rsid w:val="00692996"/>
    <w:rsid w:val="006C6A53"/>
    <w:rsid w:val="006D6817"/>
    <w:rsid w:val="00700DED"/>
    <w:rsid w:val="00743D59"/>
    <w:rsid w:val="00764771"/>
    <w:rsid w:val="007754A8"/>
    <w:rsid w:val="00790B88"/>
    <w:rsid w:val="00796CAF"/>
    <w:rsid w:val="007A3157"/>
    <w:rsid w:val="007A3256"/>
    <w:rsid w:val="007C3477"/>
    <w:rsid w:val="007E117A"/>
    <w:rsid w:val="007E2C20"/>
    <w:rsid w:val="00803D38"/>
    <w:rsid w:val="0080478B"/>
    <w:rsid w:val="00807F1C"/>
    <w:rsid w:val="008146AC"/>
    <w:rsid w:val="00821941"/>
    <w:rsid w:val="00852545"/>
    <w:rsid w:val="00854255"/>
    <w:rsid w:val="00860F82"/>
    <w:rsid w:val="008731BE"/>
    <w:rsid w:val="00875484"/>
    <w:rsid w:val="008803BF"/>
    <w:rsid w:val="00883D73"/>
    <w:rsid w:val="008D0BEA"/>
    <w:rsid w:val="008F2958"/>
    <w:rsid w:val="008F4A01"/>
    <w:rsid w:val="00913506"/>
    <w:rsid w:val="009308E0"/>
    <w:rsid w:val="009339A0"/>
    <w:rsid w:val="00941E67"/>
    <w:rsid w:val="00970967"/>
    <w:rsid w:val="0097270D"/>
    <w:rsid w:val="009824D2"/>
    <w:rsid w:val="009866ED"/>
    <w:rsid w:val="00986F22"/>
    <w:rsid w:val="00987042"/>
    <w:rsid w:val="009912B2"/>
    <w:rsid w:val="009D0518"/>
    <w:rsid w:val="009D1018"/>
    <w:rsid w:val="009D7294"/>
    <w:rsid w:val="009E0A31"/>
    <w:rsid w:val="009E1695"/>
    <w:rsid w:val="009E33F1"/>
    <w:rsid w:val="009F2D17"/>
    <w:rsid w:val="00A17356"/>
    <w:rsid w:val="00A72542"/>
    <w:rsid w:val="00A76AE5"/>
    <w:rsid w:val="00AC1E32"/>
    <w:rsid w:val="00AD5111"/>
    <w:rsid w:val="00AE2510"/>
    <w:rsid w:val="00AF015E"/>
    <w:rsid w:val="00B34C19"/>
    <w:rsid w:val="00B51AB3"/>
    <w:rsid w:val="00B66067"/>
    <w:rsid w:val="00BB1CFE"/>
    <w:rsid w:val="00BB65E7"/>
    <w:rsid w:val="00BC2766"/>
    <w:rsid w:val="00C13802"/>
    <w:rsid w:val="00C408C0"/>
    <w:rsid w:val="00C43E56"/>
    <w:rsid w:val="00C83661"/>
    <w:rsid w:val="00CB29AE"/>
    <w:rsid w:val="00CB4382"/>
    <w:rsid w:val="00D55BB7"/>
    <w:rsid w:val="00D66BE8"/>
    <w:rsid w:val="00D726EE"/>
    <w:rsid w:val="00D903A7"/>
    <w:rsid w:val="00D920EB"/>
    <w:rsid w:val="00D93A19"/>
    <w:rsid w:val="00DA6926"/>
    <w:rsid w:val="00DC048A"/>
    <w:rsid w:val="00DC333F"/>
    <w:rsid w:val="00DE4431"/>
    <w:rsid w:val="00E066F9"/>
    <w:rsid w:val="00E102E0"/>
    <w:rsid w:val="00E5036C"/>
    <w:rsid w:val="00E52B5B"/>
    <w:rsid w:val="00E535B8"/>
    <w:rsid w:val="00E819A4"/>
    <w:rsid w:val="00E822CD"/>
    <w:rsid w:val="00E94F93"/>
    <w:rsid w:val="00EA7E95"/>
    <w:rsid w:val="00EB7292"/>
    <w:rsid w:val="00EC066E"/>
    <w:rsid w:val="00EF0EC9"/>
    <w:rsid w:val="00EF48E1"/>
    <w:rsid w:val="00F1423D"/>
    <w:rsid w:val="00F2248D"/>
    <w:rsid w:val="00F33A0F"/>
    <w:rsid w:val="00F451F6"/>
    <w:rsid w:val="00F567FB"/>
    <w:rsid w:val="00F70A05"/>
    <w:rsid w:val="00F80745"/>
    <w:rsid w:val="00F81B02"/>
    <w:rsid w:val="00FB7C61"/>
    <w:rsid w:val="00FC70D8"/>
    <w:rsid w:val="03B20846"/>
    <w:rsid w:val="04231082"/>
    <w:rsid w:val="05984824"/>
    <w:rsid w:val="0AFE52DB"/>
    <w:rsid w:val="0B365A0F"/>
    <w:rsid w:val="0DB86B48"/>
    <w:rsid w:val="0E364E7D"/>
    <w:rsid w:val="12132744"/>
    <w:rsid w:val="1D606375"/>
    <w:rsid w:val="2D651128"/>
    <w:rsid w:val="3A1B2A88"/>
    <w:rsid w:val="3AEF5FFD"/>
    <w:rsid w:val="3FC773DA"/>
    <w:rsid w:val="418B3C4A"/>
    <w:rsid w:val="44862689"/>
    <w:rsid w:val="475615C3"/>
    <w:rsid w:val="4A0A4CB5"/>
    <w:rsid w:val="4CDC29F0"/>
    <w:rsid w:val="508841A6"/>
    <w:rsid w:val="55BC7E95"/>
    <w:rsid w:val="5EAD5ABD"/>
    <w:rsid w:val="67D42632"/>
    <w:rsid w:val="68126C69"/>
    <w:rsid w:val="697421C6"/>
    <w:rsid w:val="6B5C26BA"/>
    <w:rsid w:val="70364C82"/>
    <w:rsid w:val="76A515D7"/>
    <w:rsid w:val="7B543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18"/>
        <o:r id="V:Rule2" type="connector" idref="#AutoShape 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Char"/>
    <w:basedOn w:val="24"/>
    <w:link w:val="14"/>
    <w:qFormat/>
    <w:uiPriority w:val="99"/>
    <w:rPr>
      <w:sz w:val="18"/>
      <w:szCs w:val="18"/>
    </w:rPr>
  </w:style>
  <w:style w:type="character" w:customStyle="1" w:styleId="29">
    <w:name w:val="页脚 Char"/>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numPr>
        <w:ilvl w:val="0"/>
        <w:numId w:val="2"/>
      </w:numPr>
      <w:tabs>
        <w:tab w:val="left" w:pos="360"/>
        <w:tab w:val="left" w:pos="720"/>
      </w:tabs>
      <w:spacing w:beforeLines="50" w:afterLines="5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Char"/>
    <w:basedOn w:val="24"/>
    <w:link w:val="2"/>
    <w:qFormat/>
    <w:uiPriority w:val="9"/>
    <w:rPr>
      <w:b/>
      <w:bCs/>
      <w:kern w:val="44"/>
      <w:sz w:val="44"/>
      <w:szCs w:val="44"/>
    </w:rPr>
  </w:style>
  <w:style w:type="character" w:customStyle="1" w:styleId="62">
    <w:name w:val="标题 2 Char"/>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4">
    <w:name w:val="批注框文本 Char"/>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Char"/>
    <w:basedOn w:val="24"/>
    <w:link w:val="4"/>
    <w:qFormat/>
    <w:uiPriority w:val="9"/>
    <w:rPr>
      <w:b/>
      <w:bCs/>
      <w:sz w:val="32"/>
      <w:szCs w:val="32"/>
    </w:rPr>
  </w:style>
  <w:style w:type="character" w:customStyle="1" w:styleId="67">
    <w:name w:val="正文文本 Char"/>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Char"/>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Char"/>
    <w:basedOn w:val="24"/>
    <w:link w:val="6"/>
    <w:qFormat/>
    <w:uiPriority w:val="0"/>
  </w:style>
  <w:style w:type="character" w:customStyle="1" w:styleId="73">
    <w:name w:val="批注主题 Char"/>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sz w:val="21"/>
    </w:rPr>
  </w:style>
  <w:style w:type="paragraph" w:customStyle="1" w:styleId="82">
    <w:name w:val="二级无"/>
    <w:basedOn w:val="1"/>
    <w:qFormat/>
    <w:uiPriority w:val="0"/>
    <w:pPr>
      <w:widowControl/>
      <w:numPr>
        <w:ilvl w:val="2"/>
        <w:numId w:val="3"/>
      </w:numPr>
      <w:jc w:val="left"/>
      <w:outlineLvl w:val="3"/>
    </w:pPr>
    <w:rPr>
      <w:rFonts w:ascii="宋体" w:hAnsi="Times New Roman" w:eastAsia="宋体" w:cs="Times New Roman"/>
      <w:kern w:val="0"/>
      <w:szCs w:val="21"/>
    </w:rPr>
  </w:style>
  <w:style w:type="paragraph" w:customStyle="1" w:styleId="83">
    <w:name w:val="src"/>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33"/>
    <customShpInfo spid="_x0000_s1029"/>
    <customShpInfo spid="_x0000_s1032"/>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3D7D8-8898-4DBD-8A83-28E63CB3D6F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675</Words>
  <Characters>3851</Characters>
  <Lines>32</Lines>
  <Paragraphs>9</Paragraphs>
  <TotalTime>2</TotalTime>
  <ScaleCrop>false</ScaleCrop>
  <LinksUpToDate>false</LinksUpToDate>
  <CharactersWithSpaces>4517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2021-08-26T03:42:00Z</dcterms:created>
  <dc:creator>Lenovo</dc:creator>
  <cp:lastModifiedBy>果C的味道</cp:lastModifiedBy>
  <cp:lastPrinted>2019-02-12T09:03:00Z</cp:lastPrinted>
  <dcterms:modified xsi:type="dcterms:W3CDTF">2021-09-13T07:44:34Z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5567B585C7F14B0EB9A99CDA9C51C0E5</vt:lpwstr>
  </property>
</Properties>
</file>