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hAnsi="黑体" w:cs="黑体"/>
          <w:szCs w:val="20"/>
        </w:rPr>
      </w:pPr>
      <w:bookmarkStart w:id="0" w:name="_Toc873628"/>
      <w:bookmarkStart w:id="1" w:name="_Toc509826185"/>
      <w:bookmarkStart w:id="2" w:name="_Toc525046548"/>
      <w:bookmarkStart w:id="3" w:name="_Toc530051741"/>
      <w:bookmarkStart w:id="4" w:name="_Toc415043548"/>
      <w:bookmarkStart w:id="5" w:name="_Toc385602845"/>
      <w:bookmarkStart w:id="6" w:name="_Toc13964"/>
      <w:bookmarkStart w:id="7" w:name="_Toc415043487"/>
      <w:r>
        <w:rPr>
          <w:rFonts w:hint="eastAsia" w:hAnsi="黑体" w:cs="黑体"/>
          <w:szCs w:val="20"/>
        </w:rPr>
        <w:t xml:space="preserve">ICS </w:t>
      </w:r>
      <w:r>
        <w:rPr>
          <w:rFonts w:hAnsi="黑体" w:cs="黑体"/>
          <w:szCs w:val="20"/>
        </w:rPr>
        <w:t>19.060</w:t>
      </w:r>
    </w:p>
    <w:p>
      <w:pPr>
        <w:pStyle w:val="35"/>
        <w:rPr>
          <w:rFonts w:hAnsi="黑体" w:cs="黑体"/>
          <w:szCs w:val="20"/>
        </w:rPr>
      </w:pPr>
      <w:r>
        <w:rPr>
          <w:rFonts w:hint="eastAsia" w:hAnsi="黑体" w:cs="黑体"/>
          <w:szCs w:val="20"/>
        </w:rPr>
        <w:t>CCS N</w:t>
      </w:r>
      <w:r>
        <w:rPr>
          <w:rFonts w:hAnsi="黑体" w:cs="黑体"/>
          <w:szCs w:val="20"/>
        </w:rPr>
        <w:t>71</w:t>
      </w:r>
    </w:p>
    <w:p>
      <w:pPr>
        <w:pStyle w:val="35"/>
        <w:rPr>
          <w:rFonts w:hAnsi="黑体" w:cs="黑体"/>
          <w:szCs w:val="20"/>
        </w:rPr>
      </w:pPr>
    </w:p>
    <w:p>
      <w:pPr>
        <w:rPr>
          <w:rFonts w:ascii="黑体" w:hAnsi="黑体" w:eastAsia="黑体" w:cs="黑体"/>
          <w:sz w:val="18"/>
          <w:szCs w:val="18"/>
        </w:rPr>
      </w:pPr>
    </w:p>
    <w:p>
      <w:pPr>
        <w:jc w:val="center"/>
        <w:rPr>
          <w:rFonts w:ascii="黑体" w:hAnsi="黑体" w:eastAsia="黑体" w:cs="黑体"/>
          <w:sz w:val="84"/>
        </w:rPr>
      </w:pPr>
      <w:r>
        <w:rPr>
          <w:rFonts w:hint="eastAsia" w:ascii="黑体" w:hAnsi="黑体" w:eastAsia="黑体" w:cs="黑体"/>
          <w:sz w:val="84"/>
        </w:rPr>
        <w:t>团   体   标   准</w:t>
      </w:r>
    </w:p>
    <w:p>
      <w:pPr>
        <w:pStyle w:val="33"/>
        <w:ind w:right="-2" w:firstLine="0" w:firstLineChars="0"/>
        <w:jc w:val="right"/>
        <w:rPr>
          <w:rFonts w:ascii="黑体" w:hAnsi="黑体" w:eastAsia="黑体" w:cs="黑体"/>
          <w:kern w:val="0"/>
          <w:sz w:val="28"/>
          <w:szCs w:val="20"/>
        </w:rPr>
      </w:pPr>
      <w:r>
        <w:rPr>
          <w:rFonts w:hint="eastAsia" w:ascii="黑体" w:hAnsi="黑体" w:eastAsia="黑体" w:cs="黑体"/>
          <w:kern w:val="0"/>
          <w:sz w:val="28"/>
          <w:szCs w:val="20"/>
        </w:rPr>
        <w:t>T</w:t>
      </w:r>
      <w:r>
        <w:rPr>
          <w:rFonts w:ascii="黑体" w:hAnsi="黑体" w:eastAsia="黑体" w:cs="黑体"/>
          <w:kern w:val="0"/>
          <w:sz w:val="28"/>
          <w:szCs w:val="20"/>
        </w:rPr>
        <w:t>/CIMA  XXXX-XXXX</w:t>
      </w:r>
    </w:p>
    <w:p>
      <w:pPr>
        <w:pStyle w:val="33"/>
        <w:ind w:right="-2" w:firstLine="0" w:firstLineChars="0"/>
        <w:jc w:val="right"/>
        <w:rPr>
          <w:rFonts w:ascii="黑体" w:hAnsi="黑体" w:eastAsia="黑体" w:cs="黑体"/>
          <w:kern w:val="0"/>
          <w:sz w:val="28"/>
          <w:szCs w:val="20"/>
        </w:rPr>
      </w:pPr>
      <w:r>
        <w:rPr>
          <w:rFonts w:ascii="黑体" w:hAnsi="黑体" w:eastAsia="黑体" w:cs="黑体"/>
          <w:kern w:val="0"/>
          <w:sz w:val="28"/>
          <w:szCs w:val="20"/>
        </w:rPr>
        <w:t>T</w:t>
      </w:r>
      <w:r>
        <w:rPr>
          <w:rFonts w:hint="eastAsia" w:ascii="黑体" w:hAnsi="黑体" w:eastAsia="黑体" w:cs="黑体"/>
          <w:kern w:val="0"/>
          <w:sz w:val="28"/>
          <w:szCs w:val="20"/>
        </w:rPr>
        <w:t>/CSTE XXXX-XXXX</w:t>
      </w:r>
    </w:p>
    <w:p>
      <w:pPr>
        <w:pStyle w:val="33"/>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97155</wp:posOffset>
                </wp:positionV>
                <wp:extent cx="6121400" cy="0"/>
                <wp:effectExtent l="0" t="0" r="3175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top:7.65pt;height:0pt;width:482pt;mso-position-horizontal:right;mso-position-horizontal-relative:margin;z-index:251660288;mso-width-relative:page;mso-height-relative:page;" filled="f" stroked="t" coordsize="21600,21600" o:gfxdata="UEsDBAoAAAAAAIdO4kAAAAAAAAAAAAAAAAAEAAAAZHJzL1BLAwQUAAAACACHTuJAgwpSXtQAAAAG&#10;AQAADwAAAGRycy9kb3ducmV2LnhtbE2PwU7DMAyG70i8Q2QkLoilA7ZBaTqJil24bSDE0WtMW2ic&#10;qEm3wdPjiQMc/f3W78/F8uB6taMhdp4NTCcZKOLa244bAy/Pq8tbUDEhW+w9k4EvirAsT08KzK3f&#10;85p2m9QoKeGYo4E2pZBrHeuWHMaJD8SSvfvBYZJxaLQdcC/lrtdXWTbXDjuWCy0GqlqqPzejM/Bx&#10;8TquHIdq0Tw9fi9m47p6Cw/GnJ9Ns3tQiQ7pbxmO+qIOpTht/cg2qt6APJKEzq5BSXo3vxGw/QW6&#10;LPR//fIHUEsDBBQAAAAIAIdO4kCkvIsX5QEAAK0DAAAOAAAAZHJzL2Uyb0RvYy54bWytU81uEzEQ&#10;viPxDpbvZDerqlSrbHpIVC4FIrU8wMTrzVrYHst2sslL8AJI3ODEkTtvQ3kMxs4PNL30wB5GHs/M&#10;N/N9451cb41mG+mDQtvw8ajkTFqBrbKrhn+4v3l1xVmIYFvQaGXDdzLw6+nLF5PB1bLCHnUrPSMQ&#10;G+rBNbyP0dVFEUQvDYQROmkp2KE3EMn1q6L1MBC60UVVlpfFgL51HoUMgW7n+yA/IPrnAGLXKSHn&#10;KNZG2rhH9VJDJEqhVy7waZ6266SI77suyMh0w4lpzJaa0HmZbDGdQL3y4HolDiPAc0Y442RAWWp6&#10;gppDBLb26gmUUcJjwC6OBJpiTyQrQizG5Zk2dz04mbmQ1MGdRA//D1a82yw8U23DqwvOLBja+MPn&#10;H78+ff398wvZh+/fWFUlmQYXasqe2YVPRMXW3rlbFB8Dszjrwa5kHvd+5whinCqKRyXJCY6aLYe3&#10;2FIOrCNmzbadNwmS1GDbvJrdaTVyG5mgy8txNb4oaWviGCugPhY6H+IbiYalQ8O1skk1qGFzG2Ia&#10;BOpjSrq2eKO0zpvXlg00bfWaoFMooFZtimbHr5Yz7dkG0uO5KunLtM7SPK5tu++i7YF1IrqXbInt&#10;buGPatAW8ziHF5eeyb9+rv77l0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MKUl7UAAAABgEA&#10;AA8AAAAAAAAAAQAgAAAAIgAAAGRycy9kb3ducmV2LnhtbFBLAQIUABQAAAAIAIdO4kCkvIsX5QEA&#10;AK0DAAAOAAAAAAAAAAEAIAAAACMBAABkcnMvZTJvRG9jLnhtbFBLBQYAAAAABgAGAFkBAAB6BQAA&#10;AAA=&#10;">
                <v:fill on="f" focussize="0,0"/>
                <v:stroke weight="1pt" color="#080000" joinstyle="round"/>
                <v:imagedata o:title=""/>
                <o:lock v:ext="edit" aspectratio="f"/>
              </v:line>
            </w:pict>
          </mc:Fallback>
        </mc:AlternateContent>
      </w:r>
    </w:p>
    <w:p>
      <w:pPr>
        <w:pStyle w:val="33"/>
        <w:ind w:firstLine="0" w:firstLineChars="0"/>
        <w:rPr>
          <w:rFonts w:ascii="黑体" w:hAnsi="黑体" w:eastAsia="黑体" w:cs="黑体"/>
          <w:b/>
          <w:spacing w:val="40"/>
          <w:kern w:val="0"/>
          <w:sz w:val="52"/>
          <w:szCs w:val="52"/>
        </w:rPr>
      </w:pPr>
    </w:p>
    <w:p>
      <w:pPr>
        <w:pStyle w:val="33"/>
        <w:ind w:firstLine="0" w:firstLineChars="0"/>
        <w:jc w:val="center"/>
        <w:rPr>
          <w:rFonts w:ascii="黑体" w:hAnsi="黑体" w:eastAsia="黑体" w:cs="黑体"/>
          <w:bCs/>
          <w:spacing w:val="40"/>
          <w:kern w:val="0"/>
          <w:sz w:val="52"/>
          <w:szCs w:val="52"/>
        </w:rPr>
      </w:pPr>
      <w:r>
        <w:rPr>
          <w:rFonts w:hint="eastAsia" w:ascii="黑体" w:hAnsi="黑体" w:eastAsia="黑体" w:cs="黑体"/>
          <w:bCs/>
          <w:spacing w:val="40"/>
          <w:kern w:val="0"/>
          <w:sz w:val="52"/>
          <w:szCs w:val="52"/>
        </w:rPr>
        <w:t xml:space="preserve">“领跑者”标准评价要求 </w:t>
      </w:r>
      <w:r>
        <w:rPr>
          <w:rFonts w:ascii="黑体" w:hAnsi="黑体" w:eastAsia="黑体" w:cs="黑体"/>
          <w:bCs/>
          <w:spacing w:val="40"/>
          <w:kern w:val="0"/>
          <w:sz w:val="52"/>
          <w:szCs w:val="52"/>
        </w:rPr>
        <w:t xml:space="preserve"> </w:t>
      </w:r>
      <w:r>
        <w:rPr>
          <w:rFonts w:hint="eastAsia" w:ascii="黑体" w:hAnsi="黑体" w:eastAsia="黑体" w:cs="黑体"/>
          <w:bCs/>
          <w:spacing w:val="40"/>
          <w:kern w:val="0"/>
          <w:sz w:val="52"/>
          <w:szCs w:val="52"/>
        </w:rPr>
        <w:t>蠕变、松弛、持久试验机</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Assessment requirements for forerunner standards</w:t>
      </w:r>
      <w:r>
        <w:rPr>
          <w:rFonts w:hint="eastAsia" w:ascii="黑体" w:hAnsi="黑体" w:eastAsia="黑体" w:cs="黑体"/>
          <w:kern w:val="0"/>
          <w:sz w:val="28"/>
          <w:szCs w:val="28"/>
          <w:shd w:val="clear" w:color="auto" w:fill="FFFFFF"/>
        </w:rPr>
        <w:t>—</w:t>
      </w:r>
      <w:r>
        <w:rPr>
          <w:rFonts w:ascii="黑体" w:hAnsi="黑体" w:eastAsia="黑体" w:cs="黑体"/>
          <w:kern w:val="0"/>
          <w:sz w:val="28"/>
          <w:szCs w:val="28"/>
          <w:shd w:val="clear" w:color="auto" w:fill="FFFFFF"/>
        </w:rPr>
        <w:t>creep relaxation and stress rupture strength testing machines</w:t>
      </w:r>
    </w:p>
    <w:p>
      <w:pPr>
        <w:pStyle w:val="33"/>
        <w:ind w:firstLine="0" w:firstLineChars="0"/>
        <w:rPr>
          <w:rFonts w:ascii="黑体" w:hAnsi="黑体" w:eastAsia="黑体" w:cs="黑体"/>
          <w:kern w:val="0"/>
          <w:sz w:val="36"/>
          <w:szCs w:val="20"/>
        </w:rPr>
      </w:pPr>
    </w:p>
    <w:p>
      <w:pPr>
        <w:pStyle w:val="33"/>
        <w:ind w:firstLine="0" w:firstLineChars="0"/>
        <w:rPr>
          <w:rFonts w:ascii="黑体" w:hAnsi="黑体" w:eastAsia="黑体" w:cs="黑体"/>
          <w:sz w:val="18"/>
          <w:szCs w:val="18"/>
        </w:rPr>
      </w:pPr>
    </w:p>
    <w:p>
      <w:pPr>
        <w:pStyle w:val="33"/>
        <w:ind w:firstLine="0" w:firstLineChars="0"/>
        <w:rPr>
          <w:rFonts w:ascii="黑体" w:hAnsi="黑体" w:eastAsia="黑体" w:cs="黑体"/>
          <w:sz w:val="18"/>
          <w:szCs w:val="18"/>
        </w:rPr>
      </w:pPr>
    </w:p>
    <w:p>
      <w:pPr>
        <w:pStyle w:val="33"/>
        <w:ind w:firstLine="0" w:firstLineChars="0"/>
        <w:jc w:val="center"/>
        <w:rPr>
          <w:rFonts w:ascii="黑体" w:hAnsi="黑体" w:eastAsia="黑体" w:cs="黑体"/>
          <w:sz w:val="40"/>
          <w:szCs w:val="40"/>
        </w:rPr>
      </w:pPr>
      <w:r>
        <w:rPr>
          <w:rFonts w:hint="eastAsia" w:ascii="黑体" w:hAnsi="黑体" w:eastAsia="黑体" w:cs="黑体"/>
          <w:sz w:val="40"/>
          <w:szCs w:val="40"/>
        </w:rPr>
        <w:t>（征求意见稿）</w:t>
      </w:r>
    </w:p>
    <w:p>
      <w:pPr>
        <w:pStyle w:val="33"/>
        <w:ind w:firstLine="0" w:firstLineChars="0"/>
        <w:rPr>
          <w:rFonts w:ascii="黑体" w:hAnsi="黑体" w:eastAsia="黑体" w:cs="黑体"/>
          <w:sz w:val="18"/>
          <w:szCs w:val="18"/>
        </w:rPr>
      </w:pPr>
    </w:p>
    <w:bookmarkEnd w:id="0"/>
    <w:bookmarkEnd w:id="1"/>
    <w:bookmarkEnd w:id="2"/>
    <w:bookmarkEnd w:id="3"/>
    <w:p>
      <w:pPr>
        <w:rPr>
          <w:rFonts w:ascii="宋体"/>
          <w:szCs w:val="21"/>
        </w:rPr>
      </w:pPr>
      <w:bookmarkStart w:id="8" w:name="_Toc415043894"/>
      <w:bookmarkStart w:id="9" w:name="_Toc65687976"/>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ind w:left="-424" w:leftChars="-202" w:firstLine="420" w:firstLineChars="200"/>
        <w:jc w:val="left"/>
        <w:rPr>
          <w:rFonts w:ascii="黑体" w:hAnsi="微软雅黑" w:eastAsia="黑体"/>
          <w:sz w:val="28"/>
        </w:rPr>
      </w:pPr>
      <w:r>
        <w:rPr>
          <w:rFonts w:hint="eastAsia" w:ascii="黑体" w:hAnsi="黑体" w:eastAsia="黑体" w:cs="黑体"/>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3360;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w w:val="99"/>
          <w:sz w:val="28"/>
        </w:rPr>
        <w:t xml:space="preserve"> 2021-</w:t>
      </w:r>
      <w:r>
        <w:rPr>
          <w:rFonts w:hint="eastAsia" w:ascii="黑体" w:hAnsi="黑体" w:eastAsia="黑体" w:cs="黑体"/>
          <w:kern w:val="0"/>
          <w:sz w:val="28"/>
          <w:szCs w:val="20"/>
        </w:rPr>
        <w:t>XX</w:t>
      </w:r>
      <w:r>
        <w:rPr>
          <w:rFonts w:hint="eastAsia" w:ascii="黑体" w:hAnsi="微软雅黑" w:eastAsia="黑体"/>
          <w:w w:val="99"/>
          <w:sz w:val="28"/>
        </w:rPr>
        <w:t>-</w:t>
      </w:r>
      <w:r>
        <w:rPr>
          <w:rFonts w:hint="eastAsia" w:ascii="黑体" w:hAnsi="黑体" w:eastAsia="黑体" w:cs="黑体"/>
          <w:kern w:val="0"/>
          <w:sz w:val="28"/>
          <w:szCs w:val="20"/>
        </w:rPr>
        <w:t>XX</w:t>
      </w:r>
      <w:r>
        <w:rPr>
          <w:rFonts w:hint="eastAsia" w:ascii="黑体" w:hAnsi="微软雅黑" w:eastAsia="黑体"/>
          <w:w w:val="99"/>
          <w:sz w:val="28"/>
        </w:rPr>
        <w:t xml:space="preserve"> </w:t>
      </w:r>
      <w:r>
        <w:rPr>
          <w:rFonts w:hint="eastAsia" w:ascii="黑体" w:hAnsi="黑体" w:eastAsia="黑体"/>
          <w:w w:val="99"/>
          <w:sz w:val="28"/>
        </w:rPr>
        <w:t xml:space="preserve">发布                                 </w:t>
      </w:r>
      <w:r>
        <w:rPr>
          <w:rFonts w:ascii="黑体" w:hAnsi="黑体" w:eastAsia="黑体"/>
          <w:w w:val="99"/>
          <w:sz w:val="28"/>
        </w:rPr>
        <w:t xml:space="preserve"> </w:t>
      </w:r>
      <w:r>
        <w:rPr>
          <w:rFonts w:hint="eastAsia" w:ascii="黑体" w:hAnsi="黑体" w:eastAsia="黑体"/>
          <w:w w:val="99"/>
          <w:sz w:val="28"/>
        </w:rPr>
        <w:t xml:space="preserve">  2021</w:t>
      </w:r>
      <w:r>
        <w:rPr>
          <w:rFonts w:hint="eastAsia" w:ascii="黑体" w:hAnsi="微软雅黑" w:eastAsia="黑体"/>
          <w:w w:val="99"/>
          <w:sz w:val="28"/>
        </w:rPr>
        <w:t>-</w:t>
      </w:r>
      <w:r>
        <w:rPr>
          <w:rFonts w:hint="eastAsia" w:ascii="黑体" w:hAnsi="黑体" w:eastAsia="黑体" w:cs="黑体"/>
          <w:kern w:val="0"/>
          <w:sz w:val="28"/>
          <w:szCs w:val="20"/>
        </w:rPr>
        <w:t>XX</w:t>
      </w:r>
      <w:r>
        <w:rPr>
          <w:rFonts w:hint="eastAsia" w:ascii="黑体" w:hAnsi="微软雅黑" w:eastAsia="黑体"/>
          <w:w w:val="99"/>
          <w:sz w:val="28"/>
        </w:rPr>
        <w:t>-</w:t>
      </w:r>
      <w:r>
        <w:rPr>
          <w:rFonts w:hint="eastAsia" w:ascii="黑体" w:hAnsi="黑体" w:eastAsia="黑体" w:cs="黑体"/>
          <w:kern w:val="0"/>
          <w:sz w:val="28"/>
          <w:szCs w:val="20"/>
        </w:rPr>
        <w:t>XX</w:t>
      </w:r>
      <w:r>
        <w:rPr>
          <w:rFonts w:hint="eastAsia" w:ascii="黑体" w:hAnsi="微软雅黑" w:eastAsia="黑体"/>
          <w:w w:val="99"/>
          <w:sz w:val="28"/>
        </w:rPr>
        <w:t xml:space="preserve"> </w:t>
      </w:r>
      <w:r>
        <w:rPr>
          <w:rFonts w:hint="eastAsia" w:ascii="黑体" w:hAnsi="黑体" w:eastAsia="黑体"/>
          <w:w w:val="99"/>
          <w:sz w:val="28"/>
        </w:rPr>
        <w:t>实施</w:t>
      </w:r>
    </w:p>
    <w:p>
      <w:pPr>
        <w:rPr>
          <w:rFonts w:ascii="宋体"/>
          <w:szCs w:val="21"/>
        </w:rPr>
      </w:pPr>
    </w:p>
    <w:p>
      <w:pPr>
        <w:rPr>
          <w:rFonts w:ascii="宋体"/>
          <w:szCs w:val="21"/>
        </w:rPr>
      </w:pPr>
      <w:r>
        <w:rPr>
          <w:rFonts w:eastAsia="等线"/>
        </w:rPr>
        <mc:AlternateContent>
          <mc:Choice Requires="wps">
            <w:drawing>
              <wp:anchor distT="0" distB="0" distL="114300" distR="114300" simplePos="0" relativeHeight="251662336" behindDoc="0" locked="0" layoutInCell="1" allowOverlap="1">
                <wp:simplePos x="0" y="0"/>
                <wp:positionH relativeFrom="column">
                  <wp:posOffset>4773930</wp:posOffset>
                </wp:positionH>
                <wp:positionV relativeFrom="paragraph">
                  <wp:posOffset>90170</wp:posOffset>
                </wp:positionV>
                <wp:extent cx="866775" cy="501015"/>
                <wp:effectExtent l="0" t="0" r="0" b="0"/>
                <wp:wrapNone/>
                <wp:docPr id="2" name="矩形 21"/>
                <wp:cNvGraphicFramePr/>
                <a:graphic xmlns:a="http://schemas.openxmlformats.org/drawingml/2006/main">
                  <a:graphicData uri="http://schemas.microsoft.com/office/word/2010/wordprocessingShape">
                    <wps:wsp>
                      <wps:cNvSpPr>
                        <a:spLocks noChangeArrowheads="1"/>
                      </wps:cNvSpPr>
                      <wps:spPr bwMode="auto">
                        <a:xfrm>
                          <a:off x="0" y="0"/>
                          <a:ext cx="866692" cy="500933"/>
                        </a:xfrm>
                        <a:prstGeom prst="rect">
                          <a:avLst/>
                        </a:prstGeom>
                        <a:solidFill>
                          <a:srgbClr val="FFFFFF"/>
                        </a:solidFill>
                        <a:ln>
                          <a:noFill/>
                        </a:ln>
                      </wps:spPr>
                      <wps:txbx>
                        <w:txbxContent>
                          <w:p>
                            <w:pPr>
                              <w:rPr>
                                <w:sz w:val="30"/>
                                <w:szCs w:val="30"/>
                              </w:rPr>
                            </w:pPr>
                            <w:r>
                              <w:rPr>
                                <w:rStyle w:val="34"/>
                                <w:rFonts w:hint="eastAsia"/>
                                <w:sz w:val="30"/>
                                <w:szCs w:val="30"/>
                              </w:rPr>
                              <w:t>发布</w:t>
                            </w:r>
                          </w:p>
                        </w:txbxContent>
                      </wps:txbx>
                      <wps:bodyPr rot="0" vert="horz" wrap="square" lIns="91440" tIns="45720" rIns="91440" bIns="45720" anchor="t" anchorCtr="0" upright="1">
                        <a:noAutofit/>
                      </wps:bodyPr>
                    </wps:wsp>
                  </a:graphicData>
                </a:graphic>
              </wp:anchor>
            </w:drawing>
          </mc:Choice>
          <mc:Fallback>
            <w:pict>
              <v:rect id="矩形 21" o:spid="_x0000_s1026" o:spt="1" style="position:absolute;left:0pt;margin-left:375.9pt;margin-top:7.1pt;height:39.45pt;width:68.25pt;z-index:251662336;mso-width-relative:page;mso-height-relative:page;" fillcolor="#FFFFFF" filled="t" stroked="f" coordsize="21600,21600" o:gfxdata="UEsDBAoAAAAAAIdO4kAAAAAAAAAAAAAAAAAEAAAAZHJzL1BLAwQUAAAACACHTuJANhOiJNcAAAAJ&#10;AQAADwAAAGRycy9kb3ducmV2LnhtbE2PMU/DMBSEdyT+g/WQ2Kidpg1piNMBqRMw0CKxvsavSURs&#10;h9hpw7/nMdHxdKe778rtbHtxpjF03mlIFgoEudqbzjUaPg67hxxEiOgM9t6Rhh8KsK1ub0osjL+4&#10;dzrvYyO4xIUCNbQxDoWUoW7JYlj4gRx7Jz9ajCzHRpoRL1xue7lUKpMWO8cLLQ703FL9tZ+sBsxW&#10;5vvtlL4eXqYMN82sdutPpfX9XaKeQESa438Y/vAZHSpmOvrJmSB6DY/rhNEjG6slCA7keZ6COGrY&#10;pAnIqpTXD6pfUEsDBBQAAAAIAIdO4kBEGeXRIAIAADEEAAAOAAAAZHJzL2Uyb0RvYy54bWytU8GO&#10;0zAQvSPxD5bvNG23W7ZR09WqVRHSAistfIDrOImF4zFjt2n5GSRu+xF8DuI3GDvdUpbLHsgh8njG&#10;z++9Gc+v961hO4Vegy34aDDkTFkJpbZ1wT99XL+64swHYUthwKqCH5Tn14uXL+ady9UYGjClQkYg&#10;1uedK3gTgsuzzMtGtcIPwClLyQqwFYFCrLMSRUforcnGw+E06wBLhyCV97S76pP8iIjPAYSq0lKt&#10;QG5bZUOPisqIQJJ8o53ni8S2qpQMH6rKq8BMwUlpSH+6hNab+M8Wc5HXKFyj5ZGCeA6FJ5paoS1d&#10;eoJaiSDYFvU/UK2WCB6qMJDQZr2Q5AipGA2feHPfCKeSFrLau5Pp/v/Byve7O2S6LPiYMytaaviv&#10;bw8/f3xn41E0p3M+p5p7d4dRnne3ID97ZmHZCFurG0ToGiVKopTqs78OxMDTUbbp3kFJ2GIbIPm0&#10;r7CNgOQA26d2HE7tUPvAJG1eTafTGdGSlLocDmcXF5FRJvLHww59eKOgZXFRcKRuJ3Cxu/WhL30s&#10;SeTB6HKtjUkB1pulQbYTNBnr9B3R/XmZsbHYQjzWI8adpDIK6w0K+83+6NUGygPpRegnjd4ZLRrA&#10;r5x1NGUF91+2AhVn5q0lz2ajySSOZQoml6/HFOB5ZnOeEVYSVMEDZ/1yGfpR3jrUdUM3jZJ+Czfk&#10;c6WTB7EHPasjb5qk5OJx6uOonsep6s9LX/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hOiJNcA&#10;AAAJAQAADwAAAAAAAAABACAAAAAiAAAAZHJzL2Rvd25yZXYueG1sUEsBAhQAFAAAAAgAh07iQEQZ&#10;5dEgAgAAMQQAAA4AAAAAAAAAAQAgAAAAJgEAAGRycy9lMm9Eb2MueG1sUEsFBgAAAAAGAAYAWQEA&#10;ALgFAAAAAA==&#10;">
                <v:fill on="t" focussize="0,0"/>
                <v:stroke on="f"/>
                <v:imagedata o:title=""/>
                <o:lock v:ext="edit" aspectratio="f"/>
                <v:textbox>
                  <w:txbxContent>
                    <w:p>
                      <w:pPr>
                        <w:rPr>
                          <w:sz w:val="30"/>
                          <w:szCs w:val="30"/>
                        </w:rPr>
                      </w:pPr>
                      <w:r>
                        <w:rPr>
                          <w:rStyle w:val="34"/>
                          <w:rFonts w:hint="eastAsia"/>
                          <w:sz w:val="30"/>
                          <w:szCs w:val="30"/>
                        </w:rPr>
                        <w:t>发布</w:t>
                      </w:r>
                    </w:p>
                  </w:txbxContent>
                </v:textbox>
              </v:rect>
            </w:pict>
          </mc:Fallback>
        </mc:AlternateContent>
      </w:r>
    </w:p>
    <w:p>
      <w:pPr>
        <w:rPr>
          <w:rFonts w:ascii="宋体"/>
          <w:szCs w:val="21"/>
        </w:rPr>
      </w:pPr>
    </w:p>
    <w:p>
      <w:pPr>
        <w:pStyle w:val="83"/>
        <w:framePr w:w="5496" w:h="1404" w:hRule="exact" w:vAnchor="page" w:hAnchor="page" w:x="3002" w:y="14101"/>
        <w:spacing w:line="580" w:lineRule="exact"/>
        <w:jc w:val="distribute"/>
        <w:rPr>
          <w:rFonts w:ascii="黑体" w:hAnsi="黑体" w:eastAsia="黑体" w:cs="黑体"/>
          <w:b w:val="0"/>
          <w:spacing w:val="0"/>
          <w:w w:val="100"/>
          <w:szCs w:val="36"/>
        </w:rPr>
      </w:pPr>
      <w:r>
        <w:rPr>
          <w:rFonts w:hint="eastAsia" w:ascii="黑体" w:hAnsi="黑体" w:eastAsia="黑体" w:cs="黑体"/>
          <w:b w:val="0"/>
          <w:spacing w:val="0"/>
          <w:w w:val="100"/>
          <w:szCs w:val="36"/>
        </w:rPr>
        <w:t>中 国 仪 器 仪 表 行 业 协 会</w:t>
      </w:r>
    </w:p>
    <w:p>
      <w:pPr>
        <w:pStyle w:val="83"/>
        <w:framePr w:w="5496" w:h="1404" w:hRule="exact" w:vAnchor="page" w:hAnchor="page" w:x="3002" w:y="14101"/>
        <w:spacing w:line="580" w:lineRule="exact"/>
        <w:jc w:val="distribute"/>
        <w:rPr>
          <w:rFonts w:ascii="黑体" w:hAnsi="黑体" w:eastAsia="黑体" w:cs="黑体"/>
          <w:b w:val="0"/>
          <w:spacing w:val="0"/>
          <w:w w:val="100"/>
          <w:szCs w:val="36"/>
        </w:rPr>
      </w:pPr>
      <w:r>
        <w:rPr>
          <w:rFonts w:hint="eastAsia" w:ascii="黑体" w:hAnsi="黑体" w:eastAsia="黑体" w:cs="黑体"/>
          <w:b w:val="0"/>
          <w:spacing w:val="0"/>
          <w:w w:val="100"/>
          <w:szCs w:val="36"/>
        </w:rPr>
        <w:t>中 国 技 术 经 济 学 会</w:t>
      </w:r>
    </w:p>
    <w:p>
      <w:pPr>
        <w:rPr>
          <w:rFonts w:ascii="宋体"/>
          <w:szCs w:val="21"/>
        </w:rPr>
        <w:sectPr>
          <w:headerReference r:id="rId3" w:type="default"/>
          <w:pgSz w:w="11906" w:h="16838"/>
          <w:pgMar w:top="1134" w:right="1134" w:bottom="1134" w:left="1134" w:header="850" w:footer="880" w:gutter="0"/>
          <w:cols w:space="720" w:num="1"/>
          <w:formProt w:val="0"/>
          <w:titlePg/>
          <w:docGrid w:type="lines" w:linePitch="312" w:charSpace="0"/>
        </w:sect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spacing w:before="468" w:beforeLines="150"/>
      </w:pPr>
      <w:r>
        <w:rPr>
          <w:rFonts w:hint="eastAsia"/>
        </w:rPr>
        <w:t>前</w:t>
      </w:r>
      <w:bookmarkStart w:id="10" w:name="BKQY"/>
      <w:r>
        <w:rPr>
          <w:rFonts w:hint="eastAsia"/>
        </w:rPr>
        <w:t>  言</w:t>
      </w:r>
      <w:bookmarkEnd w:id="4"/>
      <w:bookmarkEnd w:id="5"/>
      <w:bookmarkEnd w:id="6"/>
      <w:bookmarkEnd w:id="7"/>
      <w:bookmarkEnd w:id="8"/>
      <w:bookmarkEnd w:id="9"/>
      <w:bookmarkEnd w:id="10"/>
      <w:bookmarkStart w:id="59" w:name="_GoBack"/>
      <w:bookmarkEnd w:id="59"/>
    </w:p>
    <w:p>
      <w:pPr>
        <w:spacing w:line="360" w:lineRule="auto"/>
        <w:ind w:firstLine="420" w:firstLineChars="200"/>
        <w:rPr>
          <w:rFonts w:ascii="宋体" w:hAnsi="宋体"/>
          <w:szCs w:val="21"/>
        </w:rPr>
      </w:pPr>
      <w:r>
        <w:rPr>
          <w:rFonts w:hint="eastAsia" w:ascii="宋体" w:hAnsi="宋体"/>
          <w:szCs w:val="21"/>
        </w:rPr>
        <w:t>本文件按照GB/T 1.1—2020《标准化工作导则  第1部分：标准化文件的结构和起草规则》和</w:t>
      </w:r>
      <w:r>
        <w:rPr>
          <w:rFonts w:hint="eastAsia" w:ascii="宋体" w:hAnsi="宋体" w:cs="Arial"/>
          <w:szCs w:val="21"/>
        </w:rPr>
        <w:t>T/CAQP 015—2020、 T/ESF 0001—2020 《“领跑者”标准编制通则》</w:t>
      </w:r>
      <w:r>
        <w:rPr>
          <w:rFonts w:hint="eastAsia" w:ascii="宋体" w:hAnsi="宋体"/>
          <w:szCs w:val="21"/>
        </w:rPr>
        <w:t>的规定起草。</w:t>
      </w:r>
    </w:p>
    <w:p>
      <w:pPr>
        <w:autoSpaceDE w:val="0"/>
        <w:autoSpaceDN w:val="0"/>
        <w:adjustRightInd w:val="0"/>
        <w:spacing w:line="276" w:lineRule="auto"/>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360" w:lineRule="auto"/>
        <w:ind w:firstLine="420" w:firstLineChars="200"/>
        <w:rPr>
          <w:rFonts w:cs="宋体"/>
        </w:rPr>
      </w:pPr>
      <w:r>
        <w:rPr>
          <w:rFonts w:cs="宋体"/>
        </w:rPr>
        <w:t>本</w:t>
      </w:r>
      <w:r>
        <w:rPr>
          <w:rFonts w:hint="eastAsia" w:cs="宋体"/>
        </w:rPr>
        <w:t>文件</w:t>
      </w:r>
      <w:r>
        <w:rPr>
          <w:rFonts w:cs="宋体"/>
        </w:rPr>
        <w:t>由</w:t>
      </w:r>
      <w:r>
        <w:rPr>
          <w:rFonts w:hint="eastAsia" w:cs="宋体"/>
        </w:rPr>
        <w:t>企业标准“领跑者”工作委员会提出。</w:t>
      </w:r>
    </w:p>
    <w:p>
      <w:pPr>
        <w:spacing w:line="360" w:lineRule="auto"/>
        <w:ind w:firstLine="420" w:firstLineChars="200"/>
        <w:rPr>
          <w:szCs w:val="21"/>
        </w:rPr>
      </w:pPr>
      <w:bookmarkStart w:id="11" w:name="_Toc65687977"/>
      <w:r>
        <w:rPr>
          <w:rFonts w:hint="eastAsia"/>
          <w:szCs w:val="21"/>
        </w:rPr>
        <w:t>本</w:t>
      </w:r>
      <w:r>
        <w:rPr>
          <w:rFonts w:hint="eastAsia" w:cs="宋体"/>
        </w:rPr>
        <w:t>文件</w:t>
      </w:r>
      <w:r>
        <w:rPr>
          <w:rFonts w:hint="eastAsia"/>
          <w:szCs w:val="21"/>
        </w:rPr>
        <w:t>由中国技术经济学会、中国仪器仪表行业协会归口。</w:t>
      </w:r>
    </w:p>
    <w:p>
      <w:pPr>
        <w:spacing w:line="360" w:lineRule="auto"/>
        <w:ind w:firstLine="420" w:firstLineChars="200"/>
        <w:rPr>
          <w:szCs w:val="21"/>
        </w:rPr>
      </w:pPr>
      <w:r>
        <w:rPr>
          <w:rFonts w:hint="eastAsia"/>
          <w:szCs w:val="21"/>
        </w:rPr>
        <w:t>本</w:t>
      </w:r>
      <w:r>
        <w:rPr>
          <w:rFonts w:hint="eastAsia" w:cs="宋体"/>
        </w:rPr>
        <w:t>文件</w:t>
      </w:r>
      <w:r>
        <w:rPr>
          <w:rFonts w:hint="eastAsia"/>
          <w:szCs w:val="21"/>
        </w:rPr>
        <w:t>起草单位：国家试验机质量监督检验中心、中机试验装备股份有限公司、吉林省产品质量监督检验院。</w:t>
      </w:r>
    </w:p>
    <w:p>
      <w:pPr>
        <w:spacing w:line="360" w:lineRule="auto"/>
        <w:ind w:firstLine="420" w:firstLineChars="200"/>
        <w:rPr>
          <w:szCs w:val="21"/>
        </w:rPr>
      </w:pPr>
      <w:r>
        <w:rPr>
          <w:rFonts w:hint="eastAsia"/>
          <w:szCs w:val="21"/>
        </w:rPr>
        <w:t>本</w:t>
      </w:r>
      <w:r>
        <w:rPr>
          <w:rFonts w:hint="eastAsia" w:cs="宋体"/>
        </w:rPr>
        <w:t>文件</w:t>
      </w:r>
      <w:r>
        <w:rPr>
          <w:rFonts w:hint="eastAsia"/>
          <w:szCs w:val="21"/>
        </w:rPr>
        <w:t>主要起草人：焦杰、白爽、齐嘉卉、马双伟、王佳旭、马伟、任霞、张金伟。</w:t>
      </w:r>
    </w:p>
    <w:p>
      <w:pPr>
        <w:spacing w:line="360" w:lineRule="auto"/>
        <w:ind w:firstLine="420" w:firstLineChars="200"/>
        <w:rPr>
          <w:szCs w:val="21"/>
        </w:rPr>
      </w:pPr>
      <w:r>
        <w:rPr>
          <w:rFonts w:hint="eastAsia"/>
          <w:szCs w:val="21"/>
        </w:rPr>
        <w:t>本文件为首次发布。</w:t>
      </w:r>
    </w:p>
    <w:p>
      <w:pPr>
        <w:pStyle w:val="58"/>
        <w:spacing w:before="312" w:beforeLines="100" w:after="312" w:afterLines="100"/>
        <w:outlineLvl w:val="9"/>
        <w:sectPr>
          <w:footerReference r:id="rId4" w:type="default"/>
          <w:pgSz w:w="11906" w:h="16838"/>
          <w:pgMar w:top="1134" w:right="1134" w:bottom="1134" w:left="1134" w:header="907" w:footer="880" w:gutter="0"/>
          <w:pgNumType w:fmt="upperRoman" w:start="1"/>
          <w:cols w:space="720" w:num="1"/>
          <w:formProt w:val="0"/>
          <w:docGrid w:type="lines" w:linePitch="312" w:charSpace="0"/>
        </w:sectPr>
      </w:pPr>
    </w:p>
    <w:p>
      <w:pPr>
        <w:pStyle w:val="58"/>
        <w:spacing w:before="468" w:beforeLines="150" w:after="312" w:afterLines="100"/>
        <w:outlineLvl w:val="9"/>
      </w:pPr>
      <w:r>
        <w:tab/>
      </w:r>
      <w:bookmarkEnd w:id="11"/>
      <w:r>
        <w:rPr>
          <w:rFonts w:hint="eastAsia"/>
        </w:rPr>
        <w:t>“领跑者”标准评价要求—蠕变、松弛、持久试验机</w:t>
      </w:r>
    </w:p>
    <w:p>
      <w:pPr>
        <w:pStyle w:val="2"/>
        <w:spacing w:before="0" w:after="0"/>
        <w:rPr>
          <w:rFonts w:ascii="黑体" w:hAnsi="黑体" w:eastAsia="黑体"/>
          <w:b w:val="0"/>
          <w:sz w:val="24"/>
          <w:szCs w:val="24"/>
        </w:rPr>
      </w:pPr>
      <w:bookmarkStart w:id="12" w:name="_Toc415043549"/>
      <w:bookmarkStart w:id="13" w:name="_Toc415043895"/>
      <w:bookmarkStart w:id="14" w:name="_Toc415043488"/>
      <w:bookmarkStart w:id="15" w:name="_Toc23920"/>
      <w:bookmarkStart w:id="16" w:name="_Toc385601798"/>
      <w:bookmarkStart w:id="17" w:name="_Toc65687978"/>
      <w:bookmarkStart w:id="18" w:name="_Toc385602847"/>
      <w:r>
        <w:rPr>
          <w:rFonts w:hint="eastAsia" w:ascii="黑体" w:hAnsi="黑体" w:eastAsia="黑体"/>
          <w:b w:val="0"/>
          <w:sz w:val="24"/>
          <w:szCs w:val="24"/>
        </w:rPr>
        <w:t>1 范围</w:t>
      </w:r>
      <w:bookmarkEnd w:id="12"/>
      <w:bookmarkEnd w:id="13"/>
      <w:bookmarkEnd w:id="14"/>
      <w:bookmarkEnd w:id="15"/>
      <w:bookmarkEnd w:id="16"/>
      <w:bookmarkEnd w:id="17"/>
      <w:bookmarkEnd w:id="18"/>
    </w:p>
    <w:p>
      <w:pPr>
        <w:pStyle w:val="33"/>
      </w:pPr>
      <w:r>
        <w:rPr>
          <w:rFonts w:hint="eastAsia"/>
        </w:rPr>
        <w:t>本文件规定了蠕变、松弛、持久试验机“领跑者”</w:t>
      </w:r>
      <w:r>
        <w:rPr>
          <w:rFonts w:hint="eastAsia" w:hAnsi="宋体" w:eastAsia="宋体" w:cs="Arial"/>
          <w:szCs w:val="21"/>
        </w:rPr>
        <w:t>标准评价的指标体系、</w:t>
      </w:r>
      <w:r>
        <w:rPr>
          <w:rFonts w:ascii="Times New Roman"/>
          <w:szCs w:val="21"/>
        </w:rPr>
        <w:t>评价</w:t>
      </w:r>
      <w:r>
        <w:rPr>
          <w:rFonts w:hint="eastAsia" w:ascii="Times New Roman"/>
          <w:szCs w:val="21"/>
        </w:rPr>
        <w:t>方法及等级划分</w:t>
      </w:r>
      <w:r>
        <w:rPr>
          <w:rFonts w:hint="eastAsia"/>
        </w:rPr>
        <w:t>。</w:t>
      </w:r>
    </w:p>
    <w:p>
      <w:pPr>
        <w:pStyle w:val="33"/>
      </w:pPr>
      <w:r>
        <w:rPr>
          <w:rFonts w:hint="eastAsia"/>
        </w:rPr>
        <w:t>本文件适用于蠕变、松弛、持久试验机（以下简称试验机）的企业标准水平评价。</w:t>
      </w:r>
      <w:r>
        <w:rPr>
          <w:rFonts w:hint="eastAsia" w:hAnsi="宋体" w:eastAsia="宋体" w:cs="宋体"/>
          <w:szCs w:val="21"/>
        </w:rPr>
        <w:t>企业在制定企业标准时可参照使用，</w:t>
      </w:r>
      <w:r>
        <w:rPr>
          <w:rFonts w:hint="eastAsia" w:hAnsi="宋体" w:eastAsia="宋体" w:cs="Arial"/>
          <w:szCs w:val="21"/>
        </w:rPr>
        <w:t>相关机构在制定企业标准“领跑者”评估方案时可参照使用。</w:t>
      </w:r>
    </w:p>
    <w:p>
      <w:pPr>
        <w:pStyle w:val="2"/>
        <w:spacing w:before="0" w:after="0"/>
        <w:rPr>
          <w:rFonts w:ascii="黑体" w:hAnsi="黑体" w:eastAsia="黑体"/>
          <w:b w:val="0"/>
          <w:sz w:val="24"/>
          <w:szCs w:val="24"/>
        </w:rPr>
      </w:pPr>
      <w:bookmarkStart w:id="19" w:name="_Toc415043896"/>
      <w:bookmarkStart w:id="20" w:name="_Toc65687979"/>
      <w:bookmarkStart w:id="21" w:name="_Toc415043550"/>
      <w:bookmarkStart w:id="22" w:name="_Toc385602848"/>
      <w:bookmarkStart w:id="23" w:name="_Toc415043489"/>
      <w:bookmarkStart w:id="24" w:name="_Toc17469"/>
      <w:bookmarkStart w:id="25" w:name="_Toc385601799"/>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spacing w:line="440" w:lineRule="exact"/>
        <w:ind w:firstLine="420" w:firstLineChars="200"/>
        <w:rPr>
          <w:rFonts w:ascii="Times New Roman" w:hAnsi="Times New Roman" w:cs="Times New Roman"/>
        </w:rPr>
      </w:pPr>
      <w:r>
        <w:rPr>
          <w:rFonts w:hint="eastAsia" w:ascii="Times New Roman" w:hAnsi="Times New Roman" w:cs="Times New Roman"/>
        </w:rPr>
        <w:t>GB/T 2611—2007  试验机  通用技术要求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GB/T 19001  质量管理体系  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GB/T 24001  环境管理体系  要求及使用指南</w:t>
      </w:r>
    </w:p>
    <w:p>
      <w:pPr>
        <w:spacing w:line="440" w:lineRule="exact"/>
        <w:ind w:firstLine="420" w:firstLineChars="200"/>
        <w:rPr>
          <w:rFonts w:ascii="Times New Roman" w:hAnsi="Times New Roman" w:cs="Times New Roman"/>
        </w:rPr>
      </w:pPr>
      <w:r>
        <w:rPr>
          <w:rFonts w:hint="eastAsia" w:ascii="Times New Roman" w:hAnsi="Times New Roman" w:cs="Times New Roman"/>
          <w:kern w:val="0"/>
        </w:rPr>
        <w:t>GB</w:t>
      </w:r>
      <w:r>
        <w:rPr>
          <w:rFonts w:ascii="Times New Roman" w:hAnsi="Times New Roman" w:cs="Times New Roman"/>
          <w:kern w:val="0"/>
        </w:rPr>
        <w:t>/T 34104</w:t>
      </w:r>
      <w:r>
        <w:rPr>
          <w:rFonts w:hint="eastAsia" w:ascii="Times New Roman" w:hAnsi="Times New Roman" w:cs="Times New Roman"/>
          <w:kern w:val="0"/>
        </w:rPr>
        <w:t>—</w:t>
      </w:r>
      <w:r>
        <w:rPr>
          <w:rFonts w:ascii="Times New Roman" w:hAnsi="Times New Roman" w:cs="Times New Roman"/>
          <w:kern w:val="0"/>
        </w:rPr>
        <w:t xml:space="preserve">2017  </w:t>
      </w:r>
      <w:r>
        <w:rPr>
          <w:rFonts w:hint="eastAsia" w:ascii="Times New Roman" w:hAnsi="Times New Roman" w:cs="Times New Roman"/>
          <w:kern w:val="0"/>
        </w:rPr>
        <w:t>金属材料 试验机加载同轴度的检验</w:t>
      </w:r>
    </w:p>
    <w:p>
      <w:pPr>
        <w:spacing w:line="440" w:lineRule="exact"/>
        <w:ind w:firstLine="420" w:firstLineChars="200"/>
        <w:rPr>
          <w:rFonts w:ascii="Times New Roman" w:hAnsi="Times New Roman" w:cs="Times New Roman"/>
        </w:rPr>
      </w:pPr>
      <w:r>
        <w:rPr>
          <w:rFonts w:hint="eastAsia" w:ascii="Times New Roman" w:hAnsi="Times New Roman" w:cs="Times New Roman"/>
        </w:rPr>
        <w:t>GB</w:t>
      </w:r>
      <w:r>
        <w:rPr>
          <w:rFonts w:ascii="Times New Roman" w:hAnsi="Times New Roman" w:cs="Times New Roman"/>
        </w:rPr>
        <w:t>/T 36416.1</w:t>
      </w:r>
      <w:r>
        <w:rPr>
          <w:rFonts w:hint="eastAsia" w:ascii="Times New Roman" w:hAnsi="Times New Roman" w:cs="Times New Roman"/>
        </w:rPr>
        <w:t>—</w:t>
      </w:r>
      <w:r>
        <w:rPr>
          <w:rFonts w:ascii="Times New Roman" w:hAnsi="Times New Roman" w:cs="Times New Roman"/>
        </w:rPr>
        <w:t xml:space="preserve">2018  </w:t>
      </w:r>
      <w:r>
        <w:rPr>
          <w:rFonts w:hint="eastAsia" w:ascii="Times New Roman" w:hAnsi="Times New Roman" w:cs="Times New Roman"/>
        </w:rPr>
        <w:t>试验机词汇 第1部分：材料试验机</w:t>
      </w:r>
      <w:r>
        <w:rPr>
          <w:rFonts w:ascii="Times New Roman" w:hAnsi="Times New Roman" w:cs="Times New Roman"/>
        </w:rPr>
        <w:t xml:space="preserve"> </w:t>
      </w:r>
    </w:p>
    <w:p>
      <w:pPr>
        <w:spacing w:line="440" w:lineRule="exact"/>
        <w:ind w:firstLine="420" w:firstLineChars="200"/>
        <w:rPr>
          <w:rFonts w:ascii="Times New Roman" w:hAnsi="Times New Roman" w:cs="Times New Roman"/>
        </w:rPr>
      </w:pPr>
      <w:r>
        <w:rPr>
          <w:rFonts w:hint="eastAsia" w:ascii="Times New Roman" w:hAnsi="Times New Roman" w:cs="Times New Roman"/>
        </w:rPr>
        <w:t>GB/T 45001  职业健康安全管理体系  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JB/T 9373—2014</w:t>
      </w:r>
      <w:r>
        <w:rPr>
          <w:rFonts w:ascii="Times New Roman" w:hAnsi="Times New Roman" w:cs="Times New Roman"/>
        </w:rPr>
        <w:t xml:space="preserve">  </w:t>
      </w:r>
      <w:r>
        <w:rPr>
          <w:rFonts w:hint="eastAsia" w:ascii="Times New Roman" w:hAnsi="Times New Roman" w:cs="Times New Roman"/>
        </w:rPr>
        <w:t>拉力蠕变试验机</w:t>
      </w:r>
    </w:p>
    <w:p>
      <w:pPr>
        <w:spacing w:line="440" w:lineRule="exact"/>
        <w:ind w:firstLine="420" w:firstLineChars="200"/>
        <w:rPr>
          <w:rFonts w:ascii="Times New Roman" w:hAnsi="Times New Roman" w:cs="Times New Roman"/>
        </w:rPr>
      </w:pPr>
      <w:r>
        <w:rPr>
          <w:rFonts w:hint="eastAsia" w:ascii="Times New Roman" w:hAnsi="Times New Roman" w:cs="Times New Roman"/>
        </w:rPr>
        <w:t>JB/T 11583—2013</w:t>
      </w:r>
      <w:r>
        <w:rPr>
          <w:rFonts w:ascii="Times New Roman" w:hAnsi="Times New Roman" w:cs="Times New Roman"/>
        </w:rPr>
        <w:t xml:space="preserve">  </w:t>
      </w:r>
      <w:r>
        <w:rPr>
          <w:rFonts w:hint="eastAsia" w:ascii="Times New Roman" w:hAnsi="Times New Roman" w:cs="Times New Roman"/>
        </w:rPr>
        <w:t>试验机用高温炉  技术条件</w:t>
      </w:r>
    </w:p>
    <w:p>
      <w:pPr>
        <w:spacing w:line="440" w:lineRule="exact"/>
        <w:ind w:firstLine="420" w:firstLineChars="200"/>
        <w:rPr>
          <w:rFonts w:ascii="Times New Roman" w:hAnsi="Times New Roman" w:cs="Times New Roman"/>
        </w:rPr>
      </w:pPr>
      <w:r>
        <w:rPr>
          <w:rFonts w:hint="eastAsia" w:ascii="Times New Roman" w:hAnsi="Times New Roman" w:cs="Times New Roman"/>
        </w:rPr>
        <w:t>JB/T 12276—2015</w:t>
      </w:r>
      <w:r>
        <w:rPr>
          <w:rFonts w:ascii="Times New Roman" w:hAnsi="Times New Roman" w:cs="Times New Roman"/>
        </w:rPr>
        <w:t xml:space="preserve">  </w:t>
      </w:r>
      <w:r>
        <w:rPr>
          <w:rFonts w:hint="eastAsia" w:ascii="Times New Roman" w:hAnsi="Times New Roman" w:cs="Times New Roman"/>
        </w:rPr>
        <w:t>电子蠕变、松弛、持久试验机</w:t>
      </w:r>
    </w:p>
    <w:p>
      <w:pPr>
        <w:pStyle w:val="2"/>
        <w:spacing w:before="0" w:after="0"/>
        <w:rPr>
          <w:rFonts w:ascii="黑体" w:hAnsi="黑体" w:eastAsia="黑体"/>
          <w:b w:val="0"/>
          <w:sz w:val="24"/>
          <w:szCs w:val="24"/>
        </w:rPr>
      </w:pPr>
      <w:bookmarkStart w:id="26" w:name="_Toc385601800"/>
      <w:bookmarkEnd w:id="26"/>
      <w:bookmarkStart w:id="27" w:name="_Toc415043490"/>
      <w:bookmarkStart w:id="28" w:name="_Toc415043897"/>
      <w:bookmarkStart w:id="29" w:name="_Toc19706"/>
      <w:bookmarkStart w:id="30" w:name="_Toc415043551"/>
      <w:bookmarkStart w:id="31" w:name="_Toc65687980"/>
      <w:bookmarkStart w:id="32" w:name="_Toc385602849"/>
      <w:r>
        <w:rPr>
          <w:rFonts w:hint="eastAsia" w:ascii="黑体" w:hAnsi="黑体" w:eastAsia="黑体"/>
          <w:b w:val="0"/>
          <w:sz w:val="24"/>
          <w:szCs w:val="24"/>
        </w:rPr>
        <w:t>3 术语和定义</w:t>
      </w:r>
      <w:bookmarkEnd w:id="27"/>
      <w:bookmarkEnd w:id="28"/>
      <w:bookmarkEnd w:id="29"/>
      <w:bookmarkEnd w:id="30"/>
      <w:bookmarkEnd w:id="31"/>
      <w:bookmarkEnd w:id="32"/>
    </w:p>
    <w:p>
      <w:pPr>
        <w:ind w:firstLine="420" w:firstLineChars="200"/>
        <w:rPr>
          <w:rFonts w:ascii="Times New Roman" w:hAnsi="Times New Roman" w:cs="Times New Roman"/>
        </w:rPr>
      </w:pPr>
      <w:bookmarkStart w:id="33" w:name="_Toc415043491"/>
      <w:bookmarkEnd w:id="33"/>
      <w:bookmarkStart w:id="34" w:name="_Toc415043899"/>
      <w:bookmarkEnd w:id="34"/>
      <w:bookmarkStart w:id="35" w:name="_Toc375076815"/>
      <w:bookmarkEnd w:id="35"/>
      <w:bookmarkStart w:id="36" w:name="_Toc415043553"/>
      <w:bookmarkEnd w:id="36"/>
      <w:bookmarkStart w:id="37" w:name="_Toc415043492"/>
      <w:bookmarkEnd w:id="37"/>
      <w:bookmarkStart w:id="38" w:name="_Toc415043898"/>
      <w:bookmarkEnd w:id="38"/>
      <w:bookmarkStart w:id="39" w:name="_Toc415043552"/>
      <w:bookmarkEnd w:id="39"/>
      <w:bookmarkStart w:id="40" w:name="_Toc65687981"/>
      <w:bookmarkStart w:id="41" w:name="_Toc385602850"/>
      <w:bookmarkStart w:id="42" w:name="_Toc415043903"/>
      <w:bookmarkStart w:id="43" w:name="_Toc415043496"/>
      <w:bookmarkStart w:id="44" w:name="_Toc25668"/>
      <w:bookmarkStart w:id="45" w:name="_Toc528835813"/>
      <w:bookmarkStart w:id="46" w:name="_Toc415043557"/>
      <w:r>
        <w:rPr>
          <w:rFonts w:hint="eastAsia" w:ascii="Times New Roman" w:hAnsi="Times New Roman" w:cs="Times New Roman"/>
        </w:rPr>
        <w:t>GB</w:t>
      </w:r>
      <w:r>
        <w:rPr>
          <w:rFonts w:ascii="Times New Roman" w:hAnsi="Times New Roman" w:cs="Times New Roman"/>
        </w:rPr>
        <w:t>/T 36416.1</w:t>
      </w:r>
      <w:r>
        <w:rPr>
          <w:rFonts w:hint="eastAsia" w:ascii="Times New Roman" w:hAnsi="Times New Roman" w:cs="Times New Roman"/>
        </w:rPr>
        <w:t>—</w:t>
      </w:r>
      <w:r>
        <w:rPr>
          <w:rFonts w:ascii="Times New Roman" w:hAnsi="Times New Roman" w:cs="Times New Roman"/>
        </w:rPr>
        <w:t>2018</w:t>
      </w:r>
      <w:r>
        <w:rPr>
          <w:rFonts w:hint="eastAsia" w:ascii="Times New Roman" w:hAnsi="Times New Roman" w:cs="Times New Roman"/>
        </w:rPr>
        <w:t>界定的术语和定义适用于本文件。</w:t>
      </w:r>
    </w:p>
    <w:p>
      <w:pPr>
        <w:pStyle w:val="2"/>
        <w:spacing w:before="0" w:after="0"/>
        <w:rPr>
          <w:rFonts w:ascii="黑体" w:hAnsi="黑体" w:eastAsia="黑体"/>
          <w:b w:val="0"/>
          <w:sz w:val="24"/>
          <w:szCs w:val="24"/>
        </w:rPr>
      </w:pPr>
      <w:r>
        <w:rPr>
          <w:rFonts w:hint="eastAsia" w:ascii="黑体" w:hAnsi="黑体" w:eastAsia="黑体"/>
          <w:b w:val="0"/>
          <w:sz w:val="24"/>
          <w:szCs w:val="24"/>
        </w:rPr>
        <w:t>4 评价指标体系</w:t>
      </w:r>
      <w:bookmarkEnd w:id="40"/>
    </w:p>
    <w:p>
      <w:pPr>
        <w:pStyle w:val="80"/>
        <w:spacing w:before="156" w:beforeLines="50" w:after="156" w:afterLines="50"/>
        <w:rPr>
          <w:rFonts w:ascii="黑体" w:hAnsi="黑体" w:eastAsia="黑体" w:cs="Times New Roman"/>
          <w:sz w:val="21"/>
          <w:szCs w:val="21"/>
          <w:lang w:eastAsia="zh-CN"/>
        </w:rPr>
      </w:pPr>
      <w:bookmarkStart w:id="47" w:name="_Toc65687984"/>
      <w:bookmarkStart w:id="48" w:name="_Toc401669933"/>
      <w:bookmarkStart w:id="49" w:name="_Toc33563757"/>
      <w:bookmarkStart w:id="50" w:name="_Toc35259974"/>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4.1.1 </w:t>
      </w:r>
      <w:r>
        <w:rPr>
          <w:rFonts w:hint="eastAsia" w:ascii="Times New Roman" w:hAnsi="Times New Roman" w:cs="Times New Roman"/>
          <w:sz w:val="21"/>
          <w:szCs w:val="21"/>
          <w:lang w:eastAsia="zh-CN"/>
        </w:rPr>
        <w:t>近三年，生产企业无较大环境、安全、质量事故。</w:t>
      </w:r>
    </w:p>
    <w:p>
      <w:pPr>
        <w:pStyle w:val="80"/>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4.1.2 </w:t>
      </w:r>
      <w:r>
        <w:rPr>
          <w:rFonts w:hint="eastAsia" w:ascii="Times New Roman" w:hAnsi="Times New Roman" w:cs="Times New Roman"/>
          <w:sz w:val="21"/>
          <w:szCs w:val="21"/>
          <w:lang w:eastAsia="zh-CN"/>
        </w:rPr>
        <w:t>企业应未列入国家信用信息严重失信主体相关名录。</w:t>
      </w:r>
    </w:p>
    <w:p>
      <w:pPr>
        <w:pStyle w:val="80"/>
        <w:rPr>
          <w:rFonts w:ascii="Times New Roman" w:hAnsi="Times New Roman" w:cs="Times New Roman"/>
          <w:sz w:val="21"/>
          <w:szCs w:val="21"/>
          <w:lang w:eastAsia="zh-CN"/>
        </w:rPr>
      </w:pPr>
      <w:r>
        <w:rPr>
          <w:rFonts w:ascii="Times New Roman" w:hAnsi="Times New Roman" w:cs="Times New Roman"/>
          <w:sz w:val="21"/>
          <w:szCs w:val="21"/>
          <w:lang w:eastAsia="zh-CN"/>
        </w:rPr>
        <w:t xml:space="preserve">4.1.3 </w:t>
      </w:r>
      <w:r>
        <w:rPr>
          <w:rFonts w:hint="eastAsia" w:ascii="Times New Roman" w:hAnsi="Times New Roman"/>
          <w:bCs/>
          <w:lang w:eastAsia="zh-CN"/>
        </w:rPr>
        <w:t>企</w:t>
      </w:r>
      <w:r>
        <w:rPr>
          <w:rFonts w:hint="eastAsia" w:ascii="Times New Roman" w:hAnsi="Times New Roman" w:cs="Times New Roman"/>
          <w:sz w:val="21"/>
          <w:szCs w:val="21"/>
          <w:lang w:eastAsia="zh-CN"/>
        </w:rPr>
        <w:t>业可根据GB/T 19001 、GB/T 24001、 GB/T 28001 建立并运行相应质量、环境、职业健康安全和能源管理体系，鼓励企业根据自身运营情况建立更高水平的相关管理体系。</w:t>
      </w:r>
    </w:p>
    <w:p>
      <w:pPr>
        <w:pStyle w:val="80"/>
        <w:rPr>
          <w:rFonts w:ascii="Times New Roman" w:hAnsi="Times New Roman"/>
          <w:bCs/>
          <w:lang w:eastAsia="zh-CN"/>
        </w:rPr>
      </w:pPr>
      <w:r>
        <w:rPr>
          <w:rFonts w:hint="eastAsia" w:ascii="Times New Roman" w:hAnsi="Times New Roman"/>
          <w:bCs/>
          <w:lang w:eastAsia="zh-CN"/>
        </w:rPr>
        <w:t>4.1.4</w:t>
      </w:r>
      <w:r>
        <w:rPr>
          <w:rFonts w:hint="eastAsia" w:ascii="Times New Roman" w:hAnsi="Times New Roman" w:cs="Times New Roman"/>
          <w:sz w:val="21"/>
          <w:szCs w:val="21"/>
          <w:lang w:eastAsia="zh-CN"/>
        </w:rPr>
        <w:t>产品应为量产产品，试验机领跑标准应满足国家强制性标准及JB</w:t>
      </w:r>
      <w:r>
        <w:rPr>
          <w:rFonts w:ascii="Times New Roman" w:hAnsi="Times New Roman" w:cs="Times New Roman"/>
          <w:sz w:val="21"/>
          <w:szCs w:val="21"/>
          <w:lang w:eastAsia="zh-CN"/>
        </w:rPr>
        <w:t>/T 9373</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2014</w:t>
      </w:r>
      <w:r>
        <w:rPr>
          <w:rFonts w:hint="eastAsia" w:ascii="Times New Roman" w:hAnsi="Times New Roman" w:cs="Times New Roman"/>
          <w:sz w:val="21"/>
          <w:szCs w:val="21"/>
          <w:lang w:eastAsia="zh-CN"/>
        </w:rPr>
        <w:t>和JB</w:t>
      </w:r>
      <w:r>
        <w:rPr>
          <w:rFonts w:ascii="Times New Roman" w:hAnsi="Times New Roman" w:cs="Times New Roman"/>
          <w:sz w:val="21"/>
          <w:szCs w:val="21"/>
          <w:lang w:eastAsia="zh-CN"/>
        </w:rPr>
        <w:t>/T 12276</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2015</w:t>
      </w:r>
      <w:r>
        <w:rPr>
          <w:rFonts w:hint="eastAsia" w:ascii="Times New Roman" w:hAnsi="Times New Roman" w:cs="Times New Roman"/>
          <w:sz w:val="21"/>
          <w:szCs w:val="21"/>
          <w:lang w:eastAsia="zh-CN"/>
        </w:rPr>
        <w:t>产品标准的要求。</w:t>
      </w:r>
    </w:p>
    <w:p>
      <w:pPr>
        <w:pStyle w:val="65"/>
        <w:numPr>
          <w:ilvl w:val="1"/>
          <w:numId w:val="3"/>
        </w:numPr>
        <w:spacing w:before="156" w:beforeLines="50" w:after="156" w:afterLines="50" w:line="300" w:lineRule="auto"/>
        <w:ind w:left="357" w:hanging="357"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ascii="Times New Roman" w:hAnsi="Times New Roman"/>
        </w:rPr>
        <w:t xml:space="preserve"> </w:t>
      </w:r>
      <w:r>
        <w:rPr>
          <w:rFonts w:hint="eastAsia"/>
        </w:rPr>
        <w:t>试验机“领跑者”标准中所包括的指标分为基础指标和核心指标。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rPr>
        <w:t>基础指标包括：</w:t>
      </w:r>
    </w:p>
    <w:p>
      <w:pPr>
        <w:pStyle w:val="33"/>
      </w:pPr>
      <w:r>
        <w:t>a</w:t>
      </w:r>
      <w:r>
        <w:rPr>
          <w:rFonts w:hint="eastAsia"/>
        </w:rPr>
        <w:t>） 试验机的装配质量、机械安全防护和外观质量等，应符合 GB/T 2611—2007中第 4 章和第 10章的规定。</w:t>
      </w:r>
    </w:p>
    <w:p>
      <w:pPr>
        <w:spacing w:line="300" w:lineRule="auto"/>
        <w:ind w:firstLine="420" w:firstLineChars="200"/>
        <w:rPr>
          <w:rFonts w:ascii="Times New Roman" w:hAnsi="Times New Roman"/>
        </w:rPr>
      </w:pPr>
      <w:r>
        <w:t>b</w:t>
      </w:r>
      <w:r>
        <w:rPr>
          <w:rFonts w:hint="eastAsia"/>
        </w:rPr>
        <w:t>）试验</w:t>
      </w:r>
      <w:r>
        <w:t>机</w:t>
      </w:r>
      <w:r>
        <w:rPr>
          <w:rFonts w:hint="eastAsia"/>
        </w:rPr>
        <w:t>电气系统应符合 GB/T 2611-2007中第7章的规定。</w:t>
      </w:r>
    </w:p>
    <w:p>
      <w:pPr>
        <w:pStyle w:val="37"/>
        <w:numPr>
          <w:ilvl w:val="0"/>
          <w:numId w:val="0"/>
        </w:numPr>
        <w:spacing w:beforeLines="0" w:afterLines="0" w:line="400" w:lineRule="exact"/>
        <w:outlineLvl w:val="9"/>
        <w:rPr>
          <w:rFonts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包括力值精度及范围、变形分辨力、温度波动度、温度梯度和同轴度等。核心指标分为三个等级，包括先进水平，相当于企标排行榜中5星级水平；平均水平，相当于企标排行榜中4星级水平；基准水平，相当于企标排行榜中3星级水平。</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47"/>
    </w:p>
    <w:p>
      <w:pPr>
        <w:spacing w:after="156" w:afterLines="50"/>
        <w:rPr>
          <w:rFonts w:ascii="Times New Roman" w:hAnsi="Times New Roman"/>
        </w:rPr>
      </w:pPr>
      <w:r>
        <w:rPr>
          <w:rFonts w:hint="eastAsia" w:ascii="Times New Roman" w:hAnsi="Times New Roman"/>
        </w:rPr>
        <w:t>4.3.1  试验机“领跑者”标准评价指标体系框架见表1。</w:t>
      </w:r>
    </w:p>
    <w:p>
      <w:pPr>
        <w:spacing w:after="156" w:afterLines="50"/>
        <w:ind w:firstLine="420" w:firstLineChars="20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1</w:t>
      </w:r>
      <w:bookmarkStart w:id="51" w:name="_Hlk42778042"/>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试验机评价指标体系框架</w:t>
      </w:r>
      <w:bookmarkEnd w:id="51"/>
    </w:p>
    <w:tbl>
      <w:tblPr>
        <w:tblStyle w:val="22"/>
        <w:tblW w:w="10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426"/>
        <w:gridCol w:w="1268"/>
        <w:gridCol w:w="1275"/>
        <w:gridCol w:w="2268"/>
        <w:gridCol w:w="1701"/>
        <w:gridCol w:w="24"/>
        <w:gridCol w:w="181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Merge w:val="restart"/>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序号</w:t>
            </w:r>
          </w:p>
        </w:tc>
        <w:tc>
          <w:tcPr>
            <w:tcW w:w="42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指标类型</w:t>
            </w:r>
          </w:p>
        </w:tc>
        <w:tc>
          <w:tcPr>
            <w:tcW w:w="1268"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评价指标</w:t>
            </w:r>
          </w:p>
        </w:tc>
        <w:tc>
          <w:tcPr>
            <w:tcW w:w="1275"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指标来源</w:t>
            </w:r>
          </w:p>
        </w:tc>
        <w:tc>
          <w:tcPr>
            <w:tcW w:w="5812" w:type="dxa"/>
            <w:gridSpan w:val="4"/>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指标水平分级</w:t>
            </w:r>
          </w:p>
        </w:tc>
        <w:tc>
          <w:tcPr>
            <w:tcW w:w="1712"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判定依据</w:t>
            </w:r>
            <w:r>
              <w:rPr>
                <w:rFonts w:hint="eastAsia" w:ascii="Times New Roman" w:hAnsi="Times New Roman" w:cs="Times New Roman"/>
                <w:kern w:val="0"/>
              </w:rPr>
              <w:t>/</w:t>
            </w:r>
            <w:r>
              <w:rPr>
                <w:rFonts w:ascii="Times New Roman" w:hAnsi="Times New Roman" w:cs="Times New Roman"/>
                <w:kern w:val="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Merge w:val="continue"/>
            <w:vAlign w:val="center"/>
          </w:tcPr>
          <w:p>
            <w:pPr>
              <w:widowControl/>
              <w:spacing w:line="240" w:lineRule="exact"/>
              <w:jc w:val="left"/>
              <w:rPr>
                <w:rFonts w:ascii="Times New Roman" w:hAnsi="Times New Roman" w:cs="Times New Roman"/>
                <w:kern w:val="0"/>
              </w:rPr>
            </w:pPr>
          </w:p>
        </w:tc>
        <w:tc>
          <w:tcPr>
            <w:tcW w:w="426" w:type="dxa"/>
            <w:vMerge w:val="continue"/>
            <w:vAlign w:val="center"/>
          </w:tcPr>
          <w:p>
            <w:pPr>
              <w:widowControl/>
              <w:spacing w:line="240" w:lineRule="exact"/>
              <w:jc w:val="left"/>
              <w:rPr>
                <w:rFonts w:ascii="Times New Roman" w:hAnsi="Times New Roman" w:cs="Times New Roman"/>
                <w:kern w:val="0"/>
              </w:rPr>
            </w:pPr>
          </w:p>
        </w:tc>
        <w:tc>
          <w:tcPr>
            <w:tcW w:w="1268" w:type="dxa"/>
            <w:vMerge w:val="continue"/>
            <w:vAlign w:val="center"/>
          </w:tcPr>
          <w:p>
            <w:pPr>
              <w:widowControl/>
              <w:spacing w:line="240" w:lineRule="exact"/>
              <w:jc w:val="center"/>
              <w:rPr>
                <w:rFonts w:ascii="Times New Roman" w:hAnsi="Times New Roman" w:cs="Times New Roman"/>
                <w:kern w:val="0"/>
              </w:rPr>
            </w:pPr>
          </w:p>
        </w:tc>
        <w:tc>
          <w:tcPr>
            <w:tcW w:w="1275" w:type="dxa"/>
            <w:vMerge w:val="continue"/>
            <w:vAlign w:val="center"/>
          </w:tcPr>
          <w:p>
            <w:pPr>
              <w:widowControl/>
              <w:spacing w:line="240" w:lineRule="exact"/>
              <w:jc w:val="left"/>
              <w:rPr>
                <w:rFonts w:ascii="Times New Roman" w:hAnsi="Times New Roman" w:cs="Times New Roman"/>
                <w:kern w:val="0"/>
              </w:rPr>
            </w:pPr>
          </w:p>
        </w:tc>
        <w:tc>
          <w:tcPr>
            <w:tcW w:w="2268"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先进</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701"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平均</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843" w:type="dxa"/>
            <w:gridSpan w:val="2"/>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基准</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712" w:type="dxa"/>
            <w:vMerge w:val="continue"/>
            <w:shd w:val="clear" w:color="auto" w:fill="auto"/>
            <w:vAlign w:val="center"/>
          </w:tcPr>
          <w:p>
            <w:pPr>
              <w:widowControl/>
              <w:spacing w:line="240" w:lineRule="exact"/>
              <w:jc w:val="center"/>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1</w:t>
            </w:r>
          </w:p>
        </w:tc>
        <w:tc>
          <w:tcPr>
            <w:tcW w:w="42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基础指标</w:t>
            </w:r>
          </w:p>
        </w:tc>
        <w:tc>
          <w:tcPr>
            <w:tcW w:w="1268"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装配质量</w:t>
            </w:r>
          </w:p>
        </w:tc>
        <w:tc>
          <w:tcPr>
            <w:tcW w:w="1275" w:type="dxa"/>
            <w:shd w:val="clear" w:color="auto" w:fill="auto"/>
            <w:vAlign w:val="center"/>
          </w:tcPr>
          <w:p>
            <w:pPr>
              <w:widowControl/>
              <w:spacing w:line="240" w:lineRule="exact"/>
              <w:jc w:val="center"/>
              <w:rPr>
                <w:rFonts w:ascii="Times New Roman" w:hAnsi="Times New Roman" w:cs="Times New Roman"/>
                <w:kern w:val="0"/>
              </w:rPr>
            </w:pPr>
            <w:r>
              <w:t>GB/T 2611-2007</w:t>
            </w:r>
          </w:p>
        </w:tc>
        <w:tc>
          <w:tcPr>
            <w:tcW w:w="5812" w:type="dxa"/>
            <w:gridSpan w:val="4"/>
            <w:shd w:val="clear" w:color="auto" w:fill="auto"/>
            <w:vAlign w:val="center"/>
          </w:tcPr>
          <w:p>
            <w:pPr>
              <w:widowControl/>
              <w:spacing w:line="240" w:lineRule="exact"/>
              <w:rPr>
                <w:rFonts w:ascii="Times New Roman" w:hAnsi="Times New Roman" w:cs="Times New Roman"/>
                <w:kern w:val="0"/>
              </w:rPr>
            </w:pPr>
            <w:r>
              <w:rPr>
                <w:rFonts w:hint="eastAsia" w:ascii="Times New Roman" w:hAnsi="Times New Roman" w:cs="Times New Roman"/>
                <w:kern w:val="0"/>
              </w:rPr>
              <w:t>满足 GB/T 2611-2007</w:t>
            </w:r>
            <w:r>
              <w:rPr>
                <w:rFonts w:ascii="Times New Roman" w:hAnsi="Times New Roman" w:cs="Times New Roman"/>
                <w:kern w:val="0"/>
              </w:rPr>
              <w:t xml:space="preserve">  </w:t>
            </w:r>
            <w:r>
              <w:rPr>
                <w:rFonts w:hint="eastAsia" w:ascii="Times New Roman" w:hAnsi="Times New Roman" w:cs="Times New Roman"/>
                <w:kern w:val="0"/>
              </w:rPr>
              <w:t>4</w:t>
            </w:r>
            <w:r>
              <w:rPr>
                <w:rFonts w:ascii="Times New Roman" w:hAnsi="Times New Roman" w:cs="Times New Roman"/>
                <w:kern w:val="0"/>
              </w:rPr>
              <w:t>.1</w:t>
            </w:r>
          </w:p>
        </w:tc>
        <w:tc>
          <w:tcPr>
            <w:tcW w:w="1712" w:type="dxa"/>
            <w:shd w:val="clear" w:color="auto" w:fill="auto"/>
            <w:vAlign w:val="center"/>
          </w:tcPr>
          <w:p>
            <w:pPr>
              <w:widowControl/>
              <w:spacing w:line="240" w:lineRule="exact"/>
              <w:jc w:val="left"/>
              <w:rPr>
                <w:rFonts w:ascii="Times New Roman" w:hAnsi="Times New Roman" w:cs="Times New Roman"/>
                <w:kern w:val="0"/>
              </w:rPr>
            </w:pPr>
            <w:r>
              <w:rPr>
                <w:rFonts w:hint="eastAsia"/>
              </w:rPr>
              <w:t>见</w:t>
            </w:r>
            <w:r>
              <w:t>GB/T 2611-2007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2</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pStyle w:val="33"/>
              <w:numPr>
                <w:ilvl w:val="0"/>
                <w:numId w:val="4"/>
              </w:numPr>
              <w:spacing w:before="156" w:after="156" w:line="240" w:lineRule="exact"/>
              <w:ind w:firstLineChars="0"/>
              <w:jc w:val="center"/>
              <w:rPr>
                <w:rFonts w:ascii="Times New Roman" w:hAnsi="Times New Roman" w:cs="Times New Roman"/>
              </w:rPr>
            </w:pPr>
            <w:r>
              <w:rPr>
                <w:rFonts w:hint="eastAsia" w:ascii="Times New Roman" w:hAnsi="Times New Roman" w:cs="Times New Roman"/>
              </w:rPr>
              <w:t>机械安全防护</w:t>
            </w:r>
          </w:p>
        </w:tc>
        <w:tc>
          <w:tcPr>
            <w:tcW w:w="1275" w:type="dxa"/>
            <w:shd w:val="clear" w:color="auto" w:fill="auto"/>
            <w:vAlign w:val="center"/>
          </w:tcPr>
          <w:p>
            <w:pPr>
              <w:widowControl/>
              <w:spacing w:line="240" w:lineRule="exact"/>
              <w:jc w:val="center"/>
              <w:rPr>
                <w:rFonts w:ascii="Times New Roman" w:hAnsi="Times New Roman" w:cs="Times New Roman"/>
                <w:kern w:val="0"/>
              </w:rPr>
            </w:pPr>
            <w:r>
              <w:t>GB/T 2611-2007</w:t>
            </w:r>
          </w:p>
        </w:tc>
        <w:tc>
          <w:tcPr>
            <w:tcW w:w="5812" w:type="dxa"/>
            <w:gridSpan w:val="4"/>
            <w:shd w:val="clear" w:color="auto" w:fill="auto"/>
            <w:vAlign w:val="center"/>
          </w:tcPr>
          <w:p>
            <w:pPr>
              <w:widowControl/>
              <w:spacing w:line="240" w:lineRule="exact"/>
              <w:jc w:val="left"/>
              <w:rPr>
                <w:rFonts w:ascii="Times New Roman" w:hAnsi="Times New Roman" w:cs="Times New Roman"/>
                <w:kern w:val="0"/>
              </w:rPr>
            </w:pPr>
            <w:r>
              <w:rPr>
                <w:rFonts w:hint="eastAsia" w:ascii="Times New Roman" w:hAnsi="Times New Roman" w:cs="Times New Roman"/>
                <w:kern w:val="0"/>
              </w:rPr>
              <w:t>满足 GB/T 2611-2007</w:t>
            </w:r>
            <w:r>
              <w:rPr>
                <w:rFonts w:ascii="Times New Roman" w:hAnsi="Times New Roman" w:cs="Times New Roman"/>
                <w:kern w:val="0"/>
              </w:rPr>
              <w:t xml:space="preserve">  </w:t>
            </w:r>
            <w:r>
              <w:rPr>
                <w:rFonts w:hint="eastAsia" w:ascii="Times New Roman" w:hAnsi="Times New Roman" w:cs="Times New Roman"/>
                <w:kern w:val="0"/>
              </w:rPr>
              <w:t>4</w:t>
            </w:r>
            <w:r>
              <w:rPr>
                <w:rFonts w:ascii="Times New Roman" w:hAnsi="Times New Roman" w:cs="Times New Roman"/>
                <w:kern w:val="0"/>
              </w:rPr>
              <w:t>.2</w:t>
            </w:r>
          </w:p>
        </w:tc>
        <w:tc>
          <w:tcPr>
            <w:tcW w:w="1712" w:type="dxa"/>
            <w:shd w:val="clear" w:color="auto" w:fill="auto"/>
            <w:vAlign w:val="center"/>
          </w:tcPr>
          <w:p>
            <w:pPr>
              <w:widowControl/>
              <w:spacing w:line="240" w:lineRule="exact"/>
              <w:jc w:val="left"/>
              <w:rPr>
                <w:rFonts w:ascii="Times New Roman" w:hAnsi="Times New Roman" w:cs="Times New Roman"/>
                <w:kern w:val="0"/>
              </w:rPr>
            </w:pPr>
            <w:r>
              <w:rPr>
                <w:rFonts w:hint="eastAsia"/>
              </w:rPr>
              <w:t>见</w:t>
            </w:r>
            <w:r>
              <w:t>GB/T 2611-2007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3</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pStyle w:val="33"/>
              <w:numPr>
                <w:ilvl w:val="0"/>
                <w:numId w:val="4"/>
              </w:numPr>
              <w:spacing w:before="156" w:after="156" w:line="240" w:lineRule="exact"/>
              <w:ind w:firstLineChars="0"/>
              <w:jc w:val="center"/>
              <w:rPr>
                <w:rFonts w:ascii="Times New Roman" w:hAnsi="Times New Roman" w:cs="Times New Roman" w:eastAsiaTheme="majorEastAsia"/>
              </w:rPr>
            </w:pPr>
            <w:r>
              <w:rPr>
                <w:rFonts w:hint="eastAsia" w:ascii="Times New Roman" w:hAnsi="Times New Roman" w:cs="Times New Roman" w:eastAsiaTheme="majorEastAsia"/>
              </w:rPr>
              <w:t>外观质量</w:t>
            </w:r>
          </w:p>
        </w:tc>
        <w:tc>
          <w:tcPr>
            <w:tcW w:w="1275" w:type="dxa"/>
            <w:shd w:val="clear" w:color="auto" w:fill="auto"/>
            <w:vAlign w:val="center"/>
          </w:tcPr>
          <w:p>
            <w:pPr>
              <w:widowControl/>
              <w:spacing w:line="240" w:lineRule="exact"/>
              <w:jc w:val="center"/>
              <w:rPr>
                <w:rFonts w:ascii="Times New Roman" w:hAnsi="Times New Roman" w:cs="Times New Roman"/>
                <w:kern w:val="0"/>
              </w:rPr>
            </w:pPr>
            <w:r>
              <w:t>GB/T 2611-2007</w:t>
            </w:r>
          </w:p>
        </w:tc>
        <w:tc>
          <w:tcPr>
            <w:tcW w:w="5812" w:type="dxa"/>
            <w:gridSpan w:val="4"/>
            <w:shd w:val="clear" w:color="auto" w:fill="auto"/>
            <w:vAlign w:val="center"/>
          </w:tcPr>
          <w:p>
            <w:pPr>
              <w:widowControl/>
              <w:spacing w:line="240" w:lineRule="exact"/>
              <w:jc w:val="left"/>
              <w:rPr>
                <w:rFonts w:ascii="Times New Roman" w:hAnsi="Times New Roman" w:cs="Times New Roman"/>
                <w:kern w:val="0"/>
              </w:rPr>
            </w:pPr>
            <w:r>
              <w:rPr>
                <w:rFonts w:hint="eastAsia" w:ascii="Times New Roman" w:hAnsi="Times New Roman" w:cs="Times New Roman"/>
                <w:kern w:val="0"/>
              </w:rPr>
              <w:t>满足 GB/T 2611-2007</w:t>
            </w:r>
            <w:r>
              <w:rPr>
                <w:rFonts w:ascii="Times New Roman" w:hAnsi="Times New Roman" w:cs="Times New Roman"/>
                <w:kern w:val="0"/>
              </w:rPr>
              <w:t xml:space="preserve">  </w:t>
            </w:r>
            <w:r>
              <w:rPr>
                <w:rFonts w:hint="eastAsia" w:ascii="Times New Roman" w:hAnsi="Times New Roman" w:cs="Times New Roman"/>
                <w:kern w:val="0"/>
              </w:rPr>
              <w:t>第1</w:t>
            </w:r>
            <w:r>
              <w:rPr>
                <w:rFonts w:ascii="Times New Roman" w:hAnsi="Times New Roman" w:cs="Times New Roman"/>
                <w:kern w:val="0"/>
              </w:rPr>
              <w:t>0</w:t>
            </w:r>
            <w:r>
              <w:rPr>
                <w:rFonts w:hint="eastAsia" w:ascii="Times New Roman" w:hAnsi="Times New Roman" w:cs="Times New Roman"/>
                <w:kern w:val="0"/>
              </w:rPr>
              <w:t>章</w:t>
            </w:r>
          </w:p>
        </w:tc>
        <w:tc>
          <w:tcPr>
            <w:tcW w:w="1712" w:type="dxa"/>
            <w:shd w:val="clear" w:color="auto" w:fill="auto"/>
            <w:vAlign w:val="center"/>
          </w:tcPr>
          <w:p>
            <w:pPr>
              <w:widowControl/>
              <w:spacing w:line="240" w:lineRule="exact"/>
              <w:jc w:val="left"/>
              <w:rPr>
                <w:rFonts w:ascii="Times New Roman" w:hAnsi="Times New Roman" w:cs="Times New Roman"/>
                <w:kern w:val="0"/>
              </w:rPr>
            </w:pPr>
            <w:r>
              <w:rPr>
                <w:rFonts w:hint="eastAsia"/>
              </w:rPr>
              <w:t>见</w:t>
            </w:r>
            <w:r>
              <w:t xml:space="preserve">GB/T 2611-2007 </w:t>
            </w:r>
            <w:r>
              <w:rPr>
                <w:rFonts w:hint="eastAsia"/>
              </w:rPr>
              <w:t>第1</w:t>
            </w:r>
            <w:r>
              <w:t>0</w:t>
            </w:r>
            <w:r>
              <w:rPr>
                <w:rFonts w:hint="eastAsia"/>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4</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pStyle w:val="33"/>
              <w:spacing w:before="156" w:after="156" w:line="240" w:lineRule="exact"/>
              <w:ind w:firstLine="0" w:firstLineChars="0"/>
              <w:jc w:val="center"/>
              <w:rPr>
                <w:rFonts w:ascii="Times New Roman" w:hAnsi="Times New Roman" w:cs="Times New Roman" w:eastAsiaTheme="majorEastAsia"/>
              </w:rPr>
            </w:pPr>
            <w:r>
              <w:rPr>
                <w:rFonts w:hint="eastAsia" w:ascii="Times New Roman" w:hAnsi="Times New Roman" w:cs="Times New Roman" w:eastAsiaTheme="majorEastAsia"/>
              </w:rPr>
              <w:t>电气系统</w:t>
            </w:r>
          </w:p>
        </w:tc>
        <w:tc>
          <w:tcPr>
            <w:tcW w:w="1275" w:type="dxa"/>
            <w:shd w:val="clear" w:color="auto" w:fill="auto"/>
            <w:vAlign w:val="center"/>
          </w:tcPr>
          <w:p>
            <w:pPr>
              <w:widowControl/>
              <w:spacing w:line="240" w:lineRule="exact"/>
              <w:jc w:val="center"/>
              <w:rPr>
                <w:rFonts w:ascii="Times New Roman" w:hAnsi="Times New Roman" w:cs="Times New Roman"/>
                <w:kern w:val="0"/>
              </w:rPr>
            </w:pPr>
            <w:r>
              <w:t>GB/T 2611-2007</w:t>
            </w:r>
          </w:p>
        </w:tc>
        <w:tc>
          <w:tcPr>
            <w:tcW w:w="5812" w:type="dxa"/>
            <w:gridSpan w:val="4"/>
            <w:shd w:val="clear" w:color="auto" w:fill="auto"/>
            <w:vAlign w:val="center"/>
          </w:tcPr>
          <w:p>
            <w:pPr>
              <w:widowControl/>
              <w:spacing w:line="240" w:lineRule="exact"/>
              <w:jc w:val="left"/>
              <w:rPr>
                <w:rFonts w:ascii="Times New Roman" w:hAnsi="Times New Roman" w:cs="Times New Roman"/>
                <w:kern w:val="0"/>
              </w:rPr>
            </w:pPr>
            <w:r>
              <w:rPr>
                <w:rFonts w:hint="eastAsia" w:ascii="Times New Roman" w:hAnsi="Times New Roman" w:cs="Times New Roman"/>
                <w:kern w:val="0"/>
              </w:rPr>
              <w:t>满足 GB/T 2611-2007</w:t>
            </w:r>
            <w:r>
              <w:rPr>
                <w:rFonts w:ascii="Times New Roman" w:hAnsi="Times New Roman" w:cs="Times New Roman"/>
                <w:kern w:val="0"/>
              </w:rPr>
              <w:t xml:space="preserve">  </w:t>
            </w:r>
            <w:r>
              <w:rPr>
                <w:rFonts w:hint="eastAsia" w:ascii="Times New Roman" w:hAnsi="Times New Roman" w:cs="Times New Roman"/>
                <w:kern w:val="0"/>
              </w:rPr>
              <w:t>第</w:t>
            </w:r>
            <w:r>
              <w:rPr>
                <w:rFonts w:ascii="Times New Roman" w:hAnsi="Times New Roman" w:cs="Times New Roman"/>
                <w:kern w:val="0"/>
              </w:rPr>
              <w:t>7</w:t>
            </w:r>
            <w:r>
              <w:rPr>
                <w:rFonts w:hint="eastAsia" w:ascii="Times New Roman" w:hAnsi="Times New Roman" w:cs="Times New Roman"/>
                <w:kern w:val="0"/>
              </w:rPr>
              <w:t>章</w:t>
            </w:r>
          </w:p>
        </w:tc>
        <w:tc>
          <w:tcPr>
            <w:tcW w:w="1712" w:type="dxa"/>
            <w:shd w:val="clear" w:color="auto" w:fill="auto"/>
            <w:vAlign w:val="center"/>
          </w:tcPr>
          <w:p>
            <w:pPr>
              <w:widowControl/>
              <w:spacing w:line="240" w:lineRule="exact"/>
              <w:jc w:val="left"/>
            </w:pPr>
            <w:r>
              <w:rPr>
                <w:rFonts w:hint="eastAsia"/>
              </w:rPr>
              <w:t>见</w:t>
            </w:r>
            <w:r>
              <w:t xml:space="preserve">GB/T 2611-2007 </w:t>
            </w:r>
            <w:r>
              <w:rPr>
                <w:rFonts w:hint="eastAsia"/>
              </w:rPr>
              <w:t>第7章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5</w:t>
            </w:r>
          </w:p>
        </w:tc>
        <w:tc>
          <w:tcPr>
            <w:tcW w:w="426" w:type="dxa"/>
            <w:vMerge w:val="restart"/>
            <w:shd w:val="clear" w:color="auto" w:fill="auto"/>
            <w:vAlign w:val="center"/>
          </w:tcPr>
          <w:p>
            <w:pPr>
              <w:spacing w:line="240" w:lineRule="exact"/>
              <w:jc w:val="center"/>
              <w:rPr>
                <w:rFonts w:ascii="Times New Roman" w:hAnsi="Times New Roman" w:cs="Times New Roman"/>
                <w:kern w:val="0"/>
              </w:rPr>
            </w:pPr>
            <w:r>
              <w:rPr>
                <w:rFonts w:ascii="Times New Roman" w:hAnsi="Times New Roman" w:cs="Times New Roman"/>
                <w:kern w:val="0"/>
              </w:rPr>
              <w:t>核心指标</w:t>
            </w:r>
          </w:p>
        </w:tc>
        <w:tc>
          <w:tcPr>
            <w:tcW w:w="1268" w:type="dxa"/>
            <w:shd w:val="clear" w:color="auto" w:fill="auto"/>
            <w:vAlign w:val="center"/>
          </w:tcPr>
          <w:p>
            <w:pPr>
              <w:widowControl/>
              <w:spacing w:line="240" w:lineRule="exact"/>
              <w:jc w:val="center"/>
            </w:pPr>
            <w:r>
              <w:rPr>
                <w:rFonts w:hint="eastAsia"/>
              </w:rPr>
              <w:t>力值范围及精度</w:t>
            </w:r>
          </w:p>
        </w:tc>
        <w:tc>
          <w:tcPr>
            <w:tcW w:w="1275"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kern w:val="0"/>
              </w:rPr>
              <w:t>JB/T 12276-2015</w:t>
            </w:r>
          </w:p>
        </w:tc>
        <w:tc>
          <w:tcPr>
            <w:tcW w:w="2268" w:type="dxa"/>
            <w:shd w:val="clear" w:color="auto" w:fill="auto"/>
            <w:vAlign w:val="center"/>
          </w:tcPr>
          <w:p>
            <w:pPr>
              <w:widowControl/>
              <w:jc w:val="left"/>
              <w:rPr>
                <w:rFonts w:ascii="Times New Roman" w:hAnsi="Times New Roman" w:cs="Times New Roman"/>
                <w:kern w:val="0"/>
              </w:rPr>
            </w:pPr>
            <w:r>
              <w:rPr>
                <w:rFonts w:hint="eastAsia"/>
              </w:rPr>
              <w:t>0.4%～100%范围满足±0.5%</w:t>
            </w:r>
          </w:p>
        </w:tc>
        <w:tc>
          <w:tcPr>
            <w:tcW w:w="1725" w:type="dxa"/>
            <w:gridSpan w:val="2"/>
            <w:shd w:val="clear" w:color="auto" w:fill="auto"/>
            <w:vAlign w:val="center"/>
          </w:tcPr>
          <w:p>
            <w:pPr>
              <w:widowControl/>
              <w:jc w:val="left"/>
              <w:rPr>
                <w:rFonts w:ascii="Times New Roman" w:hAnsi="Times New Roman" w:cs="Times New Roman"/>
                <w:kern w:val="0"/>
              </w:rPr>
            </w:pPr>
            <w:r>
              <w:rPr>
                <w:rFonts w:hint="eastAsia"/>
              </w:rPr>
              <w:t>2%～100%范围满足±0.5%</w:t>
            </w:r>
          </w:p>
        </w:tc>
        <w:tc>
          <w:tcPr>
            <w:tcW w:w="1819" w:type="dxa"/>
            <w:shd w:val="clear" w:color="auto" w:fill="auto"/>
            <w:vAlign w:val="center"/>
          </w:tcPr>
          <w:p>
            <w:pPr>
              <w:widowControl/>
              <w:jc w:val="left"/>
              <w:rPr>
                <w:rFonts w:ascii="Times New Roman" w:hAnsi="Times New Roman" w:cs="Times New Roman"/>
                <w:kern w:val="0"/>
              </w:rPr>
            </w:pPr>
            <w:r>
              <w:t>2</w:t>
            </w:r>
            <w:r>
              <w:rPr>
                <w:rFonts w:hint="eastAsia"/>
              </w:rPr>
              <w:t>%～100%范围满足±</w:t>
            </w:r>
            <w:r>
              <w:t>1</w:t>
            </w:r>
            <w:r>
              <w:rPr>
                <w:rFonts w:hint="eastAsia"/>
              </w:rPr>
              <w:t>%</w:t>
            </w:r>
          </w:p>
        </w:tc>
        <w:tc>
          <w:tcPr>
            <w:tcW w:w="1712" w:type="dxa"/>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szCs w:val="21"/>
              </w:rPr>
              <w:t>见</w:t>
            </w:r>
            <w:r>
              <w:rPr>
                <w:rFonts w:ascii="Times New Roman" w:hAnsi="Times New Roman" w:cs="Times New Roman"/>
                <w:szCs w:val="21"/>
              </w:rPr>
              <w:t>JB/T 12276-2015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6</w:t>
            </w:r>
          </w:p>
        </w:tc>
        <w:tc>
          <w:tcPr>
            <w:tcW w:w="426" w:type="dxa"/>
            <w:vMerge w:val="continue"/>
            <w:shd w:val="clear" w:color="auto" w:fill="auto"/>
            <w:vAlign w:val="center"/>
          </w:tcPr>
          <w:p>
            <w:pPr>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pPr>
            <w:r>
              <w:rPr>
                <w:rFonts w:hint="eastAsia"/>
              </w:rPr>
              <w:t>力值控制稳定度</w:t>
            </w:r>
          </w:p>
        </w:tc>
        <w:tc>
          <w:tcPr>
            <w:tcW w:w="1275"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kern w:val="0"/>
              </w:rPr>
              <w:t>JB/T 12276-2015</w:t>
            </w:r>
          </w:p>
        </w:tc>
        <w:tc>
          <w:tcPr>
            <w:tcW w:w="2268" w:type="dxa"/>
            <w:shd w:val="clear" w:color="auto" w:fill="auto"/>
            <w:vAlign w:val="center"/>
          </w:tcPr>
          <w:p>
            <w:pPr>
              <w:widowControl/>
              <w:jc w:val="left"/>
              <w:rPr>
                <w:rFonts w:ascii="Times New Roman" w:hAnsi="Times New Roman" w:cs="Times New Roman"/>
                <w:kern w:val="0"/>
              </w:rPr>
            </w:pPr>
            <w:r>
              <w:rPr>
                <w:rFonts w:hint="eastAsia"/>
              </w:rPr>
              <w:t>2%～100%范围内为控制点的±0.2%</w:t>
            </w:r>
          </w:p>
        </w:tc>
        <w:tc>
          <w:tcPr>
            <w:tcW w:w="1725" w:type="dxa"/>
            <w:gridSpan w:val="2"/>
            <w:shd w:val="clear" w:color="auto" w:fill="auto"/>
            <w:vAlign w:val="center"/>
          </w:tcPr>
          <w:p>
            <w:pPr>
              <w:widowControl/>
              <w:jc w:val="left"/>
              <w:rPr>
                <w:rFonts w:ascii="Times New Roman" w:hAnsi="Times New Roman" w:cs="Times New Roman"/>
                <w:kern w:val="0"/>
              </w:rPr>
            </w:pPr>
            <w:r>
              <w:rPr>
                <w:rFonts w:hint="eastAsia"/>
              </w:rPr>
              <w:t>2%～100%范围内为控制点的±0.3%</w:t>
            </w:r>
          </w:p>
        </w:tc>
        <w:tc>
          <w:tcPr>
            <w:tcW w:w="1819" w:type="dxa"/>
            <w:shd w:val="clear" w:color="auto" w:fill="auto"/>
            <w:vAlign w:val="center"/>
          </w:tcPr>
          <w:p>
            <w:pPr>
              <w:widowControl/>
              <w:jc w:val="left"/>
              <w:rPr>
                <w:rFonts w:ascii="Times New Roman" w:hAnsi="Times New Roman" w:cs="Times New Roman"/>
                <w:kern w:val="0"/>
              </w:rPr>
            </w:pPr>
            <w:r>
              <w:rPr>
                <w:rFonts w:hint="eastAsia"/>
              </w:rPr>
              <w:t>2%～100%范围内为控制点的±0.5%</w:t>
            </w:r>
          </w:p>
        </w:tc>
        <w:tc>
          <w:tcPr>
            <w:tcW w:w="1712" w:type="dxa"/>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szCs w:val="21"/>
              </w:rPr>
              <w:t>见</w:t>
            </w:r>
            <w:r>
              <w:rPr>
                <w:rFonts w:ascii="Times New Roman" w:hAnsi="Times New Roman" w:cs="Times New Roman"/>
                <w:szCs w:val="21"/>
              </w:rPr>
              <w:t>JB/T 12276-2015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7</w:t>
            </w:r>
          </w:p>
        </w:tc>
        <w:tc>
          <w:tcPr>
            <w:tcW w:w="426" w:type="dxa"/>
            <w:vMerge w:val="continue"/>
            <w:shd w:val="clear" w:color="auto" w:fill="auto"/>
            <w:vAlign w:val="center"/>
          </w:tcPr>
          <w:p>
            <w:pPr>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pPr>
            <w:r>
              <w:rPr>
                <w:rFonts w:hint="eastAsia"/>
              </w:rPr>
              <w:t>零点漂移</w:t>
            </w:r>
          </w:p>
        </w:tc>
        <w:tc>
          <w:tcPr>
            <w:tcW w:w="1275"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kern w:val="0"/>
              </w:rPr>
              <w:t>JB/T 12276-2015</w:t>
            </w:r>
          </w:p>
        </w:tc>
        <w:tc>
          <w:tcPr>
            <w:tcW w:w="2268" w:type="dxa"/>
            <w:shd w:val="clear" w:color="auto" w:fill="auto"/>
            <w:vAlign w:val="center"/>
          </w:tcPr>
          <w:p>
            <w:pPr>
              <w:widowControl/>
              <w:jc w:val="left"/>
              <w:rPr>
                <w:rFonts w:ascii="Times New Roman" w:hAnsi="Times New Roman" w:cs="Times New Roman"/>
                <w:kern w:val="0"/>
              </w:rPr>
            </w:pPr>
            <w:r>
              <w:rPr>
                <w:rFonts w:hint="eastAsia"/>
              </w:rPr>
              <w:t>2%～100%范围内为控制点的±0.1%</w:t>
            </w:r>
          </w:p>
        </w:tc>
        <w:tc>
          <w:tcPr>
            <w:tcW w:w="1725" w:type="dxa"/>
            <w:gridSpan w:val="2"/>
            <w:shd w:val="clear" w:color="auto" w:fill="auto"/>
            <w:vAlign w:val="center"/>
          </w:tcPr>
          <w:p>
            <w:pPr>
              <w:widowControl/>
              <w:jc w:val="left"/>
              <w:rPr>
                <w:rFonts w:ascii="Times New Roman" w:hAnsi="Times New Roman" w:cs="Times New Roman"/>
                <w:kern w:val="0"/>
              </w:rPr>
            </w:pPr>
            <w:r>
              <w:rPr>
                <w:rFonts w:hint="eastAsia"/>
              </w:rPr>
              <w:t>2%～100%范围内为控制点的±0.2%</w:t>
            </w:r>
          </w:p>
        </w:tc>
        <w:tc>
          <w:tcPr>
            <w:tcW w:w="1819" w:type="dxa"/>
            <w:shd w:val="clear" w:color="auto" w:fill="auto"/>
            <w:vAlign w:val="center"/>
          </w:tcPr>
          <w:p>
            <w:pPr>
              <w:widowControl/>
              <w:jc w:val="left"/>
              <w:rPr>
                <w:rFonts w:ascii="Times New Roman" w:hAnsi="Times New Roman" w:cs="Times New Roman"/>
                <w:kern w:val="0"/>
              </w:rPr>
            </w:pPr>
            <w:r>
              <w:rPr>
                <w:rFonts w:hint="eastAsia"/>
              </w:rPr>
              <w:t>2%～100%范围内为控制点的±0.3%</w:t>
            </w:r>
          </w:p>
        </w:tc>
        <w:tc>
          <w:tcPr>
            <w:tcW w:w="1712" w:type="dxa"/>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szCs w:val="21"/>
              </w:rPr>
              <w:t>见</w:t>
            </w:r>
            <w:r>
              <w:rPr>
                <w:rFonts w:ascii="Times New Roman" w:hAnsi="Times New Roman" w:cs="Times New Roman"/>
                <w:szCs w:val="21"/>
              </w:rPr>
              <w:t>JB/T 12276-2015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8</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rPr>
                <w:rFonts w:ascii="Times New Roman" w:hAnsi="Times New Roman" w:cs="Times New Roman"/>
                <w:kern w:val="0"/>
              </w:rPr>
            </w:pPr>
            <w:r>
              <w:rPr>
                <w:rFonts w:hint="eastAsia"/>
              </w:rPr>
              <w:t>温度波动度</w:t>
            </w:r>
          </w:p>
        </w:tc>
        <w:tc>
          <w:tcPr>
            <w:tcW w:w="1275"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rPr>
              <w:t>JB/T 11583-2013</w:t>
            </w:r>
          </w:p>
        </w:tc>
        <w:tc>
          <w:tcPr>
            <w:tcW w:w="2268" w:type="dxa"/>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kern w:val="0"/>
              </w:rPr>
              <w:t>200≤T＜300</w:t>
            </w:r>
            <w:r>
              <w:rPr>
                <w:rFonts w:ascii="Times New Roman" w:hAnsi="Times New Roman" w:cs="Times New Roman"/>
                <w:kern w:val="0"/>
              </w:rPr>
              <w:t xml:space="preserve"> </w:t>
            </w:r>
            <w:r>
              <w:rPr>
                <w:rFonts w:hint="eastAsia" w:ascii="Times New Roman" w:hAnsi="Times New Roman" w:cs="Times New Roman"/>
                <w:kern w:val="0"/>
              </w:rPr>
              <w:t>±3℃</w:t>
            </w:r>
          </w:p>
          <w:p>
            <w:pPr>
              <w:widowControl/>
              <w:jc w:val="left"/>
              <w:rPr>
                <w:rFonts w:ascii="Times New Roman" w:hAnsi="Times New Roman" w:cs="Times New Roman"/>
                <w:kern w:val="0"/>
              </w:rPr>
            </w:pPr>
            <w:r>
              <w:rPr>
                <w:rFonts w:hint="eastAsia" w:ascii="Times New Roman" w:hAnsi="Times New Roman" w:cs="Times New Roman"/>
                <w:kern w:val="0"/>
              </w:rPr>
              <w:t>300≤T≤1200</w:t>
            </w:r>
            <w:r>
              <w:rPr>
                <w:rFonts w:ascii="Times New Roman" w:hAnsi="Times New Roman" w:cs="Times New Roman"/>
                <w:kern w:val="0"/>
              </w:rPr>
              <w:t xml:space="preserve"> </w:t>
            </w:r>
            <w:r>
              <w:rPr>
                <w:rFonts w:hint="eastAsia" w:ascii="Times New Roman" w:hAnsi="Times New Roman" w:cs="Times New Roman"/>
                <w:kern w:val="0"/>
              </w:rPr>
              <w:t>±2℃</w:t>
            </w:r>
          </w:p>
        </w:tc>
        <w:tc>
          <w:tcPr>
            <w:tcW w:w="3544" w:type="dxa"/>
            <w:gridSpan w:val="3"/>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kern w:val="0"/>
              </w:rPr>
              <w:t>300≤T≤900  ±3℃</w:t>
            </w:r>
          </w:p>
          <w:p>
            <w:pPr>
              <w:widowControl/>
              <w:jc w:val="left"/>
              <w:rPr>
                <w:rFonts w:ascii="Times New Roman" w:hAnsi="Times New Roman" w:cs="Times New Roman"/>
                <w:kern w:val="0"/>
              </w:rPr>
            </w:pPr>
            <w:r>
              <w:rPr>
                <w:rFonts w:hint="eastAsia" w:ascii="Times New Roman" w:hAnsi="Times New Roman" w:cs="Times New Roman"/>
                <w:kern w:val="0"/>
              </w:rPr>
              <w:t>900＜T＜1200  ±4℃</w:t>
            </w:r>
          </w:p>
        </w:tc>
        <w:tc>
          <w:tcPr>
            <w:tcW w:w="1712" w:type="dxa"/>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kern w:val="0"/>
              </w:rPr>
              <w:t>见</w:t>
            </w:r>
            <w:r>
              <w:rPr>
                <w:rFonts w:ascii="Times New Roman" w:hAnsi="Times New Roman" w:cs="Times New Roman"/>
                <w:kern w:val="0"/>
              </w:rPr>
              <w:t>JB/T 11583-2013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9</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rPr>
                <w:rFonts w:ascii="Times New Roman" w:hAnsi="Times New Roman" w:cs="Times New Roman"/>
                <w:kern w:val="0"/>
              </w:rPr>
            </w:pPr>
            <w:r>
              <w:rPr>
                <w:rFonts w:hint="eastAsia"/>
              </w:rPr>
              <w:t>温度梯度</w:t>
            </w:r>
          </w:p>
        </w:tc>
        <w:tc>
          <w:tcPr>
            <w:tcW w:w="1275" w:type="dxa"/>
            <w:shd w:val="clear" w:color="auto" w:fill="auto"/>
            <w:vAlign w:val="center"/>
          </w:tcPr>
          <w:p>
            <w:pPr>
              <w:widowControl/>
              <w:spacing w:line="240" w:lineRule="exact"/>
              <w:jc w:val="center"/>
              <w:rPr>
                <w:rFonts w:ascii="Times New Roman" w:hAnsi="Times New Roman" w:cs="Times New Roman"/>
              </w:rPr>
            </w:pPr>
            <w:r>
              <w:rPr>
                <w:rFonts w:ascii="Times New Roman" w:hAnsi="Times New Roman" w:cs="Times New Roman"/>
              </w:rPr>
              <w:t>JB/T 11583-2013</w:t>
            </w:r>
          </w:p>
        </w:tc>
        <w:tc>
          <w:tcPr>
            <w:tcW w:w="2268" w:type="dxa"/>
            <w:shd w:val="clear" w:color="auto" w:fill="auto"/>
            <w:vAlign w:val="center"/>
          </w:tcPr>
          <w:p>
            <w:pPr>
              <w:widowControl/>
              <w:spacing w:line="240" w:lineRule="exact"/>
              <w:jc w:val="left"/>
              <w:rPr>
                <w:rFonts w:ascii="Times New Roman" w:hAnsi="Times New Roman" w:cs="Times New Roman"/>
                <w:kern w:val="0"/>
              </w:rPr>
            </w:pPr>
            <w:r>
              <w:rPr>
                <w:rFonts w:hint="eastAsia" w:ascii="Times New Roman" w:hAnsi="Times New Roman" w:cs="Times New Roman"/>
                <w:kern w:val="0"/>
              </w:rPr>
              <w:t>200≤T≤1200</w:t>
            </w:r>
            <w:r>
              <w:rPr>
                <w:rFonts w:ascii="Times New Roman" w:hAnsi="Times New Roman" w:cs="Times New Roman"/>
                <w:kern w:val="0"/>
              </w:rPr>
              <w:t xml:space="preserve">  </w:t>
            </w:r>
            <w:r>
              <w:rPr>
                <w:rFonts w:hint="eastAsia" w:ascii="Times New Roman" w:hAnsi="Times New Roman" w:cs="Times New Roman"/>
                <w:kern w:val="0"/>
              </w:rPr>
              <w:t>3℃</w:t>
            </w:r>
          </w:p>
        </w:tc>
        <w:tc>
          <w:tcPr>
            <w:tcW w:w="3544" w:type="dxa"/>
            <w:gridSpan w:val="3"/>
            <w:shd w:val="clear" w:color="auto" w:fill="auto"/>
            <w:vAlign w:val="center"/>
          </w:tcPr>
          <w:p>
            <w:pPr>
              <w:widowControl/>
              <w:jc w:val="left"/>
              <w:rPr>
                <w:rFonts w:ascii="Times New Roman" w:hAnsi="Times New Roman" w:cs="Times New Roman"/>
                <w:kern w:val="0"/>
              </w:rPr>
            </w:pPr>
            <w:r>
              <w:rPr>
                <w:rFonts w:hint="eastAsia" w:ascii="Times New Roman" w:hAnsi="Times New Roman" w:cs="Times New Roman"/>
                <w:kern w:val="0"/>
              </w:rPr>
              <w:t>300≤T≤900  3℃</w:t>
            </w:r>
          </w:p>
          <w:p>
            <w:pPr>
              <w:widowControl/>
              <w:jc w:val="left"/>
              <w:rPr>
                <w:rFonts w:ascii="Times New Roman" w:hAnsi="Times New Roman" w:cs="Times New Roman"/>
                <w:szCs w:val="21"/>
              </w:rPr>
            </w:pPr>
            <w:r>
              <w:rPr>
                <w:rFonts w:hint="eastAsia" w:ascii="Times New Roman" w:hAnsi="Times New Roman" w:cs="Times New Roman"/>
                <w:kern w:val="0"/>
              </w:rPr>
              <w:t>900＜T＜1200  4℃</w:t>
            </w:r>
          </w:p>
        </w:tc>
        <w:tc>
          <w:tcPr>
            <w:tcW w:w="1712" w:type="dxa"/>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hint="eastAsia" w:ascii="Times New Roman" w:hAnsi="Times New Roman" w:cs="Times New Roman"/>
                <w:kern w:val="0"/>
              </w:rPr>
              <w:t>见</w:t>
            </w:r>
            <w:r>
              <w:rPr>
                <w:rFonts w:ascii="Times New Roman" w:hAnsi="Times New Roman" w:cs="Times New Roman"/>
                <w:kern w:val="0"/>
              </w:rPr>
              <w:t>JB/T 11583-2013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10</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rPr>
                <w:rFonts w:ascii="Times New Roman" w:hAnsi="Times New Roman" w:cs="Times New Roman"/>
              </w:rPr>
            </w:pPr>
            <w:r>
              <w:rPr>
                <w:rFonts w:hint="eastAsia"/>
              </w:rPr>
              <w:t>变形分辨力</w:t>
            </w:r>
          </w:p>
        </w:tc>
        <w:tc>
          <w:tcPr>
            <w:tcW w:w="1275" w:type="dxa"/>
            <w:shd w:val="clear" w:color="auto" w:fill="auto"/>
            <w:vAlign w:val="center"/>
          </w:tcPr>
          <w:p>
            <w:pPr>
              <w:widowControl/>
              <w:spacing w:line="240" w:lineRule="exact"/>
              <w:ind w:left="105" w:hanging="105" w:hangingChars="50"/>
              <w:jc w:val="center"/>
              <w:rPr>
                <w:rFonts w:ascii="Times New Roman" w:hAnsi="Times New Roman" w:cs="Times New Roman"/>
              </w:rPr>
            </w:pPr>
            <w:r>
              <w:rPr>
                <w:rFonts w:ascii="Times New Roman" w:hAnsi="Times New Roman" w:cs="Times New Roman"/>
              </w:rPr>
              <w:t>JB/T 9373-2014</w:t>
            </w:r>
          </w:p>
        </w:tc>
        <w:tc>
          <w:tcPr>
            <w:tcW w:w="2268" w:type="dxa"/>
            <w:shd w:val="clear" w:color="auto" w:fill="auto"/>
            <w:vAlign w:val="center"/>
          </w:tcPr>
          <w:p>
            <w:pPr>
              <w:widowControl/>
              <w:spacing w:line="240" w:lineRule="exact"/>
              <w:jc w:val="left"/>
              <w:rPr>
                <w:rFonts w:ascii="Times New Roman" w:hAnsi="Times New Roman" w:cs="Times New Roman"/>
                <w:kern w:val="0"/>
              </w:rPr>
            </w:pPr>
            <w:r>
              <w:rPr>
                <w:rFonts w:hint="eastAsia"/>
              </w:rPr>
              <w:t>≤0.1μm</w:t>
            </w:r>
          </w:p>
        </w:tc>
        <w:tc>
          <w:tcPr>
            <w:tcW w:w="1701" w:type="dxa"/>
            <w:shd w:val="clear" w:color="auto" w:fill="auto"/>
            <w:vAlign w:val="center"/>
          </w:tcPr>
          <w:p>
            <w:pPr>
              <w:widowControl/>
              <w:spacing w:line="240" w:lineRule="exact"/>
              <w:jc w:val="left"/>
              <w:rPr>
                <w:rFonts w:ascii="Times New Roman" w:hAnsi="Times New Roman" w:cs="Times New Roman"/>
                <w:kern w:val="0"/>
              </w:rPr>
            </w:pPr>
            <w:r>
              <w:rPr>
                <w:rFonts w:hint="eastAsia"/>
              </w:rPr>
              <w:t>≤0.5μm</w:t>
            </w:r>
          </w:p>
        </w:tc>
        <w:tc>
          <w:tcPr>
            <w:tcW w:w="1843" w:type="dxa"/>
            <w:gridSpan w:val="2"/>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hint="eastAsia"/>
              </w:rPr>
              <w:t>≤1.0μm</w:t>
            </w:r>
          </w:p>
        </w:tc>
        <w:tc>
          <w:tcPr>
            <w:tcW w:w="1712" w:type="dxa"/>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hint="eastAsia" w:ascii="Times New Roman" w:hAnsi="Times New Roman" w:cs="Times New Roman"/>
                <w:szCs w:val="21"/>
              </w:rPr>
              <w:t>见</w:t>
            </w:r>
            <w:r>
              <w:rPr>
                <w:rFonts w:ascii="Times New Roman" w:hAnsi="Times New Roman" w:cs="Times New Roman"/>
                <w:szCs w:val="21"/>
              </w:rPr>
              <w:t>JB/T 9373-2014 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11</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rPr>
                <w:rFonts w:ascii="Times New Roman" w:hAnsi="Times New Roman" w:cs="Times New Roman"/>
              </w:rPr>
            </w:pPr>
            <w:r>
              <w:rPr>
                <w:rFonts w:hint="eastAsia"/>
              </w:rPr>
              <w:t>引伸系统测量相对误差</w:t>
            </w:r>
          </w:p>
        </w:tc>
        <w:tc>
          <w:tcPr>
            <w:tcW w:w="1275"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rPr>
              <w:t>JB/T 12276-2015</w:t>
            </w:r>
          </w:p>
        </w:tc>
        <w:tc>
          <w:tcPr>
            <w:tcW w:w="2268" w:type="dxa"/>
            <w:shd w:val="clear" w:color="auto" w:fill="auto"/>
            <w:vAlign w:val="center"/>
          </w:tcPr>
          <w:p>
            <w:pPr>
              <w:widowControl/>
              <w:spacing w:line="240" w:lineRule="exact"/>
              <w:jc w:val="left"/>
              <w:rPr>
                <w:rFonts w:ascii="Times New Roman" w:hAnsi="Times New Roman" w:cs="Times New Roman"/>
                <w:kern w:val="0"/>
              </w:rPr>
            </w:pPr>
            <w:r>
              <w:rPr>
                <w:rFonts w:hint="eastAsia"/>
              </w:rPr>
              <w:t>±0.2%或±2μm取大值</w:t>
            </w:r>
          </w:p>
        </w:tc>
        <w:tc>
          <w:tcPr>
            <w:tcW w:w="1701" w:type="dxa"/>
            <w:shd w:val="clear" w:color="auto" w:fill="auto"/>
            <w:vAlign w:val="center"/>
          </w:tcPr>
          <w:p>
            <w:pPr>
              <w:widowControl/>
              <w:spacing w:line="240" w:lineRule="exact"/>
              <w:jc w:val="left"/>
              <w:rPr>
                <w:rFonts w:ascii="Times New Roman" w:hAnsi="Times New Roman" w:cs="Times New Roman"/>
                <w:kern w:val="0"/>
              </w:rPr>
            </w:pPr>
            <w:r>
              <w:rPr>
                <w:rFonts w:hint="eastAsia"/>
              </w:rPr>
              <w:t>±0.3%或±3μm取大值</w:t>
            </w:r>
          </w:p>
        </w:tc>
        <w:tc>
          <w:tcPr>
            <w:tcW w:w="1843" w:type="dxa"/>
            <w:gridSpan w:val="2"/>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hint="eastAsia"/>
              </w:rPr>
              <w:t>±0.5%或±5μm取大值</w:t>
            </w:r>
          </w:p>
        </w:tc>
        <w:tc>
          <w:tcPr>
            <w:tcW w:w="1712" w:type="dxa"/>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ascii="Times New Roman" w:hAnsi="Times New Roman" w:cs="Times New Roman"/>
              </w:rPr>
              <w:t xml:space="preserve">JB/T 12276-2015 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dxa"/>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1</w:t>
            </w:r>
            <w:r>
              <w:rPr>
                <w:rFonts w:ascii="Times New Roman" w:hAnsi="Times New Roman" w:cs="Times New Roman"/>
                <w:kern w:val="0"/>
              </w:rPr>
              <w:t>2</w:t>
            </w:r>
          </w:p>
        </w:tc>
        <w:tc>
          <w:tcPr>
            <w:tcW w:w="42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1268" w:type="dxa"/>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rPr>
              <w:t>同轴度</w:t>
            </w:r>
          </w:p>
        </w:tc>
        <w:tc>
          <w:tcPr>
            <w:tcW w:w="1275"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rPr>
              <w:t>GB</w:t>
            </w:r>
            <w:r>
              <w:rPr>
                <w:rFonts w:ascii="Times New Roman" w:hAnsi="Times New Roman" w:cs="Times New Roman"/>
                <w:kern w:val="0"/>
              </w:rPr>
              <w:t>/T 34104</w:t>
            </w:r>
            <w:r>
              <w:rPr>
                <w:rFonts w:hint="eastAsia" w:ascii="Times New Roman" w:hAnsi="Times New Roman" w:cs="Times New Roman"/>
                <w:kern w:val="0"/>
              </w:rPr>
              <w:t>-</w:t>
            </w:r>
            <w:r>
              <w:rPr>
                <w:rFonts w:ascii="Times New Roman" w:hAnsi="Times New Roman" w:cs="Times New Roman"/>
                <w:kern w:val="0"/>
              </w:rPr>
              <w:t>2017</w:t>
            </w:r>
          </w:p>
        </w:tc>
        <w:tc>
          <w:tcPr>
            <w:tcW w:w="2268" w:type="dxa"/>
            <w:shd w:val="clear" w:color="auto" w:fill="auto"/>
            <w:vAlign w:val="center"/>
          </w:tcPr>
          <w:p>
            <w:pPr>
              <w:widowControl/>
              <w:spacing w:line="240" w:lineRule="exact"/>
              <w:jc w:val="left"/>
              <w:rPr>
                <w:rFonts w:ascii="Times New Roman" w:hAnsi="Times New Roman" w:cs="Times New Roman"/>
                <w:kern w:val="0"/>
              </w:rPr>
            </w:pPr>
            <w:r>
              <w:t>5%</w:t>
            </w:r>
          </w:p>
        </w:tc>
        <w:tc>
          <w:tcPr>
            <w:tcW w:w="1701" w:type="dxa"/>
            <w:shd w:val="clear" w:color="auto" w:fill="auto"/>
            <w:vAlign w:val="center"/>
          </w:tcPr>
          <w:p>
            <w:pPr>
              <w:widowControl/>
              <w:spacing w:line="240" w:lineRule="exact"/>
              <w:jc w:val="left"/>
              <w:rPr>
                <w:rFonts w:ascii="Times New Roman" w:hAnsi="Times New Roman" w:cs="Times New Roman"/>
                <w:kern w:val="0"/>
              </w:rPr>
            </w:pPr>
            <w:r>
              <w:t>8%</w:t>
            </w:r>
          </w:p>
        </w:tc>
        <w:tc>
          <w:tcPr>
            <w:tcW w:w="1843" w:type="dxa"/>
            <w:gridSpan w:val="2"/>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t>10%</w:t>
            </w:r>
          </w:p>
        </w:tc>
        <w:tc>
          <w:tcPr>
            <w:tcW w:w="1712" w:type="dxa"/>
            <w:shd w:val="clear" w:color="auto" w:fill="auto"/>
            <w:vAlign w:val="center"/>
          </w:tcPr>
          <w:p>
            <w:pPr>
              <w:pStyle w:val="33"/>
              <w:spacing w:before="156" w:after="156" w:line="240" w:lineRule="exact"/>
              <w:ind w:firstLine="0" w:firstLineChars="0"/>
              <w:jc w:val="left"/>
              <w:rPr>
                <w:rFonts w:ascii="Times New Roman" w:hAnsi="Times New Roman" w:cs="Times New Roman"/>
                <w:szCs w:val="21"/>
              </w:rPr>
            </w:pPr>
            <w:r>
              <w:rPr>
                <w:rFonts w:hint="eastAsia" w:ascii="Times New Roman" w:hAnsi="Times New Roman" w:cs="Times New Roman"/>
                <w:kern w:val="0"/>
              </w:rPr>
              <w:t>GB</w:t>
            </w:r>
            <w:r>
              <w:rPr>
                <w:rFonts w:ascii="Times New Roman" w:hAnsi="Times New Roman" w:cs="Times New Roman"/>
                <w:kern w:val="0"/>
              </w:rPr>
              <w:t>/T 34104</w:t>
            </w:r>
            <w:r>
              <w:rPr>
                <w:rFonts w:hint="eastAsia" w:ascii="Times New Roman" w:hAnsi="Times New Roman" w:cs="Times New Roman"/>
                <w:kern w:val="0"/>
              </w:rPr>
              <w:t>-</w:t>
            </w:r>
            <w:r>
              <w:rPr>
                <w:rFonts w:ascii="Times New Roman" w:hAnsi="Times New Roman" w:cs="Times New Roman"/>
                <w:kern w:val="0"/>
              </w:rPr>
              <w:t>2017</w:t>
            </w:r>
          </w:p>
        </w:tc>
      </w:tr>
    </w:tbl>
    <w:p>
      <w:pPr>
        <w:rPr>
          <w:rFonts w:ascii="Times New Roman" w:hAnsi="Times New Roman"/>
        </w:rPr>
      </w:pPr>
    </w:p>
    <w:p>
      <w:pPr>
        <w:pStyle w:val="41"/>
        <w:numPr>
          <w:ilvl w:val="0"/>
          <w:numId w:val="0"/>
        </w:numPr>
        <w:spacing w:before="312" w:after="312"/>
      </w:pPr>
      <w:bookmarkStart w:id="52" w:name="_Toc35353330"/>
      <w:bookmarkStart w:id="53" w:name="_Toc323891329"/>
      <w:bookmarkStart w:id="54" w:name="_Toc324165027"/>
      <w:bookmarkStart w:id="55" w:name="_Toc353278168"/>
      <w:bookmarkStart w:id="56" w:name="_Toc324165077"/>
      <w:bookmarkStart w:id="57" w:name="_Toc323891250"/>
      <w:r>
        <w:rPr>
          <w:rFonts w:hint="eastAsia"/>
        </w:rPr>
        <w:t>5</w:t>
      </w:r>
      <w:r>
        <w:t xml:space="preserve"> </w:t>
      </w:r>
      <w:bookmarkEnd w:id="52"/>
      <w:r>
        <w:rPr>
          <w:rFonts w:hint="eastAsia" w:hAnsi="黑体"/>
          <w:b/>
          <w:szCs w:val="21"/>
        </w:rPr>
        <w:t>评价方法及等级划分</w:t>
      </w:r>
    </w:p>
    <w:p>
      <w:pPr>
        <w:spacing w:before="156" w:after="156" w:line="300" w:lineRule="auto"/>
        <w:ind w:firstLine="420" w:firstLineChars="200"/>
        <w:jc w:val="left"/>
        <w:rPr>
          <w:rFonts w:ascii="Times New Roman"/>
        </w:rPr>
      </w:pPr>
      <w:r>
        <w:rPr>
          <w:rFonts w:hint="eastAsia" w:ascii="Times New Roman" w:hAnsi="Times New Roman"/>
        </w:rPr>
        <w:t>评价结果划分为一级、二级和三级，各等级所对应的划分依据见表2。达到三级要求及以上的企业标准并按照有关要求进行自我声明公开后均可进入试验机企业标准排行榜。达到一级要求的企业标准，且按照有关要求进行自我声明公开后，其标准和符合标准的产品或服务可以直接进入试验机窗企业标准“领跑者”候选名单。</w:t>
      </w:r>
    </w:p>
    <w:bookmarkEnd w:id="53"/>
    <w:bookmarkEnd w:id="54"/>
    <w:bookmarkEnd w:id="55"/>
    <w:bookmarkEnd w:id="56"/>
    <w:bookmarkEnd w:id="57"/>
    <w:p>
      <w:pPr>
        <w:pStyle w:val="33"/>
        <w:numPr>
          <w:ilvl w:val="0"/>
          <w:numId w:val="2"/>
        </w:numPr>
        <w:spacing w:before="156" w:beforeLines="50"/>
        <w:ind w:firstLineChars="0"/>
        <w:jc w:val="center"/>
        <w:rPr>
          <w:rFonts w:ascii="黑体" w:eastAsia="黑体"/>
        </w:rPr>
      </w:pPr>
      <w:r>
        <w:rPr>
          <w:rFonts w:hint="eastAsia" w:ascii="黑体" w:eastAsia="黑体"/>
        </w:rPr>
        <w:t>表2</w:t>
      </w:r>
      <w:r>
        <w:rPr>
          <w:rFonts w:ascii="黑体" w:eastAsia="黑体"/>
        </w:rPr>
        <w:t xml:space="preserve">  </w:t>
      </w:r>
      <w:r>
        <w:rPr>
          <w:rFonts w:hint="eastAsia" w:ascii="黑体" w:eastAsia="黑体"/>
        </w:rPr>
        <w:t>指标评价要求及等级划分</w:t>
      </w:r>
    </w:p>
    <w:tbl>
      <w:tblPr>
        <w:tblStyle w:val="22"/>
        <w:tblpPr w:leftFromText="180" w:rightFromText="180" w:vertAnchor="text" w:horzAnchor="page" w:tblpX="1146" w:tblpY="295"/>
        <w:tblOverlap w:val="never"/>
        <w:tblW w:w="98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112"/>
        <w:gridCol w:w="2126"/>
        <w:gridCol w:w="2551"/>
        <w:gridCol w:w="30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2112" w:type="dxa"/>
            <w:tcBorders>
              <w:top w:val="single" w:color="000000" w:sz="12" w:space="0"/>
              <w:bottom w:val="single" w:color="000000" w:sz="12" w:space="0"/>
            </w:tcBorders>
            <w:shd w:val="clear" w:color="auto" w:fill="auto"/>
            <w:vAlign w:val="center"/>
          </w:tcPr>
          <w:p>
            <w:pPr>
              <w:spacing w:line="360" w:lineRule="auto"/>
              <w:jc w:val="center"/>
              <w:rPr>
                <w:sz w:val="18"/>
                <w:szCs w:val="18"/>
              </w:rPr>
            </w:pPr>
            <w:bookmarkStart w:id="58" w:name="_Hlk35975549"/>
            <w:r>
              <w:rPr>
                <w:sz w:val="18"/>
                <w:szCs w:val="18"/>
              </w:rPr>
              <w:t>评价等级</w:t>
            </w:r>
          </w:p>
        </w:tc>
        <w:tc>
          <w:tcPr>
            <w:tcW w:w="7722" w:type="dxa"/>
            <w:gridSpan w:val="3"/>
            <w:tcBorders>
              <w:top w:val="single" w:color="000000" w:sz="12" w:space="0"/>
              <w:bottom w:val="single" w:color="000000" w:sz="12" w:space="0"/>
            </w:tcBorders>
            <w:shd w:val="clear" w:color="auto" w:fill="auto"/>
            <w:vAlign w:val="center"/>
          </w:tcPr>
          <w:p>
            <w:pPr>
              <w:spacing w:line="360" w:lineRule="auto"/>
              <w:jc w:val="center"/>
              <w:rPr>
                <w:sz w:val="18"/>
                <w:szCs w:val="18"/>
              </w:rPr>
            </w:pPr>
            <w:r>
              <w:rPr>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112" w:type="dxa"/>
            <w:tcBorders>
              <w:top w:val="single" w:color="000000" w:sz="12" w:space="0"/>
            </w:tcBorders>
            <w:shd w:val="clear" w:color="auto" w:fill="auto"/>
            <w:vAlign w:val="center"/>
          </w:tcPr>
          <w:p>
            <w:pPr>
              <w:adjustRightInd w:val="0"/>
              <w:snapToGrid w:val="0"/>
              <w:jc w:val="center"/>
              <w:rPr>
                <w:sz w:val="18"/>
                <w:szCs w:val="18"/>
              </w:rPr>
            </w:pPr>
            <w:r>
              <w:rPr>
                <w:sz w:val="18"/>
                <w:szCs w:val="18"/>
              </w:rPr>
              <w:t>一级应同时满足</w:t>
            </w:r>
          </w:p>
        </w:tc>
        <w:tc>
          <w:tcPr>
            <w:tcW w:w="2126" w:type="dxa"/>
            <w:tcBorders>
              <w:top w:val="single" w:color="000000" w:sz="12" w:space="0"/>
            </w:tcBorders>
            <w:shd w:val="clear" w:color="auto" w:fill="auto"/>
            <w:vAlign w:val="center"/>
          </w:tcPr>
          <w:p>
            <w:pPr>
              <w:adjustRightInd w:val="0"/>
              <w:snapToGrid w:val="0"/>
              <w:jc w:val="center"/>
              <w:rPr>
                <w:sz w:val="18"/>
                <w:szCs w:val="18"/>
              </w:rPr>
            </w:pPr>
            <w:r>
              <w:rPr>
                <w:sz w:val="18"/>
                <w:szCs w:val="18"/>
              </w:rPr>
              <w:t>基本要求</w:t>
            </w:r>
          </w:p>
        </w:tc>
        <w:tc>
          <w:tcPr>
            <w:tcW w:w="2551" w:type="dxa"/>
            <w:tcBorders>
              <w:top w:val="single" w:color="000000" w:sz="12" w:space="0"/>
            </w:tcBorders>
            <w:shd w:val="clear" w:color="auto" w:fill="auto"/>
            <w:vAlign w:val="center"/>
          </w:tcPr>
          <w:p>
            <w:pPr>
              <w:adjustRightInd w:val="0"/>
              <w:snapToGrid w:val="0"/>
              <w:jc w:val="center"/>
              <w:rPr>
                <w:sz w:val="18"/>
                <w:szCs w:val="18"/>
              </w:rPr>
            </w:pPr>
            <w:r>
              <w:rPr>
                <w:sz w:val="18"/>
                <w:szCs w:val="18"/>
              </w:rPr>
              <w:t>基础指标要求</w:t>
            </w:r>
          </w:p>
        </w:tc>
        <w:tc>
          <w:tcPr>
            <w:tcW w:w="3045" w:type="dxa"/>
            <w:tcBorders>
              <w:top w:val="single" w:color="000000" w:sz="12" w:space="0"/>
            </w:tcBorders>
            <w:shd w:val="clear" w:color="auto" w:fill="auto"/>
            <w:vAlign w:val="center"/>
          </w:tcPr>
          <w:p>
            <w:pPr>
              <w:adjustRightInd w:val="0"/>
              <w:snapToGrid w:val="0"/>
              <w:jc w:val="center"/>
              <w:rPr>
                <w:snapToGrid w:val="0"/>
                <w:sz w:val="18"/>
                <w:szCs w:val="18"/>
              </w:rPr>
            </w:pPr>
            <w:r>
              <w:rPr>
                <w:sz w:val="18"/>
                <w:szCs w:val="18"/>
              </w:rPr>
              <w:t>核心指标先进水平要求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112" w:type="dxa"/>
            <w:tcBorders>
              <w:bottom w:val="single" w:color="000000" w:sz="4" w:space="0"/>
            </w:tcBorders>
            <w:shd w:val="clear" w:color="auto" w:fill="auto"/>
            <w:vAlign w:val="center"/>
          </w:tcPr>
          <w:p>
            <w:pPr>
              <w:adjustRightInd w:val="0"/>
              <w:snapToGrid w:val="0"/>
              <w:jc w:val="center"/>
              <w:rPr>
                <w:sz w:val="18"/>
                <w:szCs w:val="18"/>
              </w:rPr>
            </w:pPr>
            <w:r>
              <w:rPr>
                <w:sz w:val="18"/>
                <w:szCs w:val="18"/>
              </w:rPr>
              <w:t>二级应同时满足</w:t>
            </w:r>
          </w:p>
        </w:tc>
        <w:tc>
          <w:tcPr>
            <w:tcW w:w="2126" w:type="dxa"/>
            <w:tcBorders>
              <w:bottom w:val="single" w:color="000000" w:sz="4" w:space="0"/>
            </w:tcBorders>
            <w:shd w:val="clear" w:color="auto" w:fill="auto"/>
            <w:vAlign w:val="center"/>
          </w:tcPr>
          <w:p>
            <w:pPr>
              <w:adjustRightInd w:val="0"/>
              <w:snapToGrid w:val="0"/>
              <w:jc w:val="center"/>
              <w:rPr>
                <w:sz w:val="18"/>
                <w:szCs w:val="18"/>
              </w:rPr>
            </w:pPr>
            <w:r>
              <w:rPr>
                <w:sz w:val="18"/>
                <w:szCs w:val="18"/>
              </w:rPr>
              <w:t>基本要求</w:t>
            </w:r>
          </w:p>
        </w:tc>
        <w:tc>
          <w:tcPr>
            <w:tcW w:w="2551" w:type="dxa"/>
            <w:tcBorders>
              <w:bottom w:val="single" w:color="000000" w:sz="4" w:space="0"/>
            </w:tcBorders>
            <w:shd w:val="clear" w:color="auto" w:fill="auto"/>
            <w:vAlign w:val="center"/>
          </w:tcPr>
          <w:p>
            <w:pPr>
              <w:adjustRightInd w:val="0"/>
              <w:snapToGrid w:val="0"/>
              <w:jc w:val="center"/>
              <w:rPr>
                <w:sz w:val="18"/>
                <w:szCs w:val="18"/>
              </w:rPr>
            </w:pPr>
            <w:r>
              <w:rPr>
                <w:sz w:val="18"/>
                <w:szCs w:val="18"/>
              </w:rPr>
              <w:t>基础指标要求</w:t>
            </w:r>
          </w:p>
        </w:tc>
        <w:tc>
          <w:tcPr>
            <w:tcW w:w="3045" w:type="dxa"/>
            <w:tcBorders>
              <w:bottom w:val="single" w:color="000000" w:sz="4" w:space="0"/>
            </w:tcBorders>
            <w:shd w:val="clear" w:color="auto" w:fill="auto"/>
            <w:vAlign w:val="center"/>
          </w:tcPr>
          <w:p>
            <w:pPr>
              <w:adjustRightInd w:val="0"/>
              <w:snapToGrid w:val="0"/>
              <w:jc w:val="center"/>
              <w:rPr>
                <w:sz w:val="18"/>
                <w:szCs w:val="18"/>
              </w:rPr>
            </w:pPr>
            <w:r>
              <w:rPr>
                <w:sz w:val="18"/>
                <w:szCs w:val="18"/>
              </w:rPr>
              <w:t>核心指标平均水平要求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112"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三级应同时满足</w:t>
            </w:r>
          </w:p>
        </w:tc>
        <w:tc>
          <w:tcPr>
            <w:tcW w:w="2126"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基本要求</w:t>
            </w:r>
          </w:p>
        </w:tc>
        <w:tc>
          <w:tcPr>
            <w:tcW w:w="2551"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基础指标要求</w:t>
            </w:r>
          </w:p>
        </w:tc>
        <w:tc>
          <w:tcPr>
            <w:tcW w:w="3045"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核心指标基准水平要求</w:t>
            </w:r>
          </w:p>
        </w:tc>
      </w:tr>
      <w:bookmarkEnd w:id="41"/>
      <w:bookmarkEnd w:id="42"/>
      <w:bookmarkEnd w:id="43"/>
      <w:bookmarkEnd w:id="44"/>
      <w:bookmarkEnd w:id="45"/>
      <w:bookmarkEnd w:id="46"/>
      <w:bookmarkEnd w:id="48"/>
      <w:bookmarkEnd w:id="49"/>
      <w:bookmarkEnd w:id="50"/>
      <w:bookmarkEnd w:id="58"/>
    </w:tbl>
    <w:p>
      <w:pPr>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2080260</wp:posOffset>
                </wp:positionH>
                <wp:positionV relativeFrom="paragraph">
                  <wp:posOffset>2637155</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63.8pt;margin-top:207.65pt;height:0pt;width:178.95pt;z-index:251661312;mso-width-relative:page;mso-height-relative:page;" filled="f" stroked="t" coordsize="21600,21600" o:gfxdata="UEsDBAoAAAAAAIdO4kAAAAAAAAAAAAAAAAAEAAAAZHJzL1BLAwQUAAAACACHTuJARyFEc9gAAAAL&#10;AQAADwAAAGRycy9kb3ducmV2LnhtbE2PwU7DMAyG70i8Q2QkLogl7WgZpemEkDhwZJvENWtMW2ic&#10;qknXsafHSEjjaPvT7+8v10fXiwOOofOkIVkoEEi1tx01Gnbbl9sViBANWdN7Qg3fGGBdXV6UprB+&#10;pjc8bGIjOIRCYTS0MQ6FlKFu0Zmw8AMS3z786EzkcWykHc3M4a6XqVK5dKYj/tCaAZ9brL82k9OA&#10;YcoS9fTgmt3rab55T0+f87DV+voqUY8gIh7jGYZffVaHip32fiIbRK9hmd7njGq4S7IlCCbyVZaB&#10;2P9tZFXK/x2qH1BLAwQUAAAACACHTuJAEM42idYBAACzAwAADgAAAGRycy9lMm9Eb2MueG1srVNN&#10;b9swDL0P2H8QdF+cGEjWGXGKIUF36bYA7X6AIsu2MFkUSCVO/v0o5aNdd+lhPgiWSb7H90gv74+D&#10;EweDZMHXcjaZSmG8hsb6rpa/nh8+3UlBUflGOfCmlidD8n718cNyDJUpoQfXGBQM4qkaQy37GENV&#10;FKR7MyiaQDCegy3goCJfsSsaVCOjD64op9NFMQI2AUEbIv66OQflBRHfAwhta7XZgN4PxsczKhqn&#10;Ikui3gaSq9xt2xodf7YtmShcLVlpzCeT8PsuncVqqaoOVeitvrSg3tPCG02Dsp5Jb1AbFZXYo/0H&#10;arAagaCNEw1DcRaSHWEVs+kbb556FUzWwlZTuJlO/w9W/zhsUdiGN0EKrwYe+Nd9hMwsZnfJnzFQ&#10;xWlrv8WkUB/9U3gE/ZuEh3WvfGdy9vMpcPEsVRR/laQLBWbZjd+h4RzFBNmsY4tDgmQbxDHP5HSb&#10;iTlGofljWX4uF4u5FPoaK1R1LQxI8ZuBQaSXWlJEZbs+rsF7njzgLNOowyPF1JaqrgWJ1cODdS4v&#10;gPNirOWXeTnPBQTONimY0gi73dqhOKi0QvnJGjnyOg1h75szifMXC5Lqs387aE5bvFrDs8zdXPYu&#10;Lcvre65++d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IURz2AAAAAsBAAAPAAAAAAAAAAEA&#10;IAAAACIAAABkcnMvZG93bnJldi54bWxQSwECFAAUAAAACACHTuJAEM42idYBAACzAwAADgAAAAAA&#10;AAABACAAAAAnAQAAZHJzL2Uyb0RvYy54bWxQSwUGAAAAAAYABgBZAQAAbwUAAAAA&#10;">
                <v:fill on="f" focussize="0,0"/>
                <v:stroke color="#000000" joinstyle="round"/>
                <v:imagedata o:title=""/>
                <o:lock v:ext="edit" aspectratio="f"/>
              </v:shape>
            </w:pict>
          </mc:Fallback>
        </mc:AlternateContent>
      </w:r>
    </w:p>
    <w:sectPr>
      <w:footerReference r:id="rId5" w:type="default"/>
      <w:pgSz w:w="11906" w:h="16838"/>
      <w:pgMar w:top="1134" w:right="1134" w:bottom="1134" w:left="1134" w:header="907" w:footer="88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T</w:t>
    </w:r>
    <w:r>
      <w:t xml:space="preserve">/CIMA XXXX-XXXX </w:t>
    </w:r>
    <w:r>
      <w:rPr>
        <w:rFonts w:hint="eastAsia"/>
      </w:rPr>
      <w:t>/</w:t>
    </w:r>
    <w:r>
      <w:t xml:space="preserve"> </w:t>
    </w:r>
    <w:r>
      <w:rPr>
        <w:rFonts w:hint="eastAsia"/>
      </w:rPr>
      <w:t xml:space="preserve">T/CSTE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120A3"/>
    <w:rsid w:val="0002701D"/>
    <w:rsid w:val="00047FEC"/>
    <w:rsid w:val="00051633"/>
    <w:rsid w:val="000625C0"/>
    <w:rsid w:val="00070844"/>
    <w:rsid w:val="000872FB"/>
    <w:rsid w:val="000910C3"/>
    <w:rsid w:val="00093DE3"/>
    <w:rsid w:val="000A224B"/>
    <w:rsid w:val="000C2964"/>
    <w:rsid w:val="000C5D9B"/>
    <w:rsid w:val="000C602D"/>
    <w:rsid w:val="000D746D"/>
    <w:rsid w:val="000E7A23"/>
    <w:rsid w:val="000F19CD"/>
    <w:rsid w:val="000F760B"/>
    <w:rsid w:val="0010314A"/>
    <w:rsid w:val="00112B2C"/>
    <w:rsid w:val="00113B38"/>
    <w:rsid w:val="00151D72"/>
    <w:rsid w:val="0017078B"/>
    <w:rsid w:val="00192287"/>
    <w:rsid w:val="00196F5D"/>
    <w:rsid w:val="001C3CDD"/>
    <w:rsid w:val="001D4876"/>
    <w:rsid w:val="001F1452"/>
    <w:rsid w:val="00206BBE"/>
    <w:rsid w:val="0021048F"/>
    <w:rsid w:val="00212561"/>
    <w:rsid w:val="00225E2B"/>
    <w:rsid w:val="00235801"/>
    <w:rsid w:val="00244E97"/>
    <w:rsid w:val="00251BED"/>
    <w:rsid w:val="0025709E"/>
    <w:rsid w:val="00291B3D"/>
    <w:rsid w:val="00291BD6"/>
    <w:rsid w:val="00294203"/>
    <w:rsid w:val="002A43B9"/>
    <w:rsid w:val="002B0B0E"/>
    <w:rsid w:val="002C5042"/>
    <w:rsid w:val="002F12D4"/>
    <w:rsid w:val="00317E55"/>
    <w:rsid w:val="00321E3B"/>
    <w:rsid w:val="0036091F"/>
    <w:rsid w:val="0036235B"/>
    <w:rsid w:val="0036570E"/>
    <w:rsid w:val="00383BFC"/>
    <w:rsid w:val="003925EA"/>
    <w:rsid w:val="003A1242"/>
    <w:rsid w:val="003A3E46"/>
    <w:rsid w:val="003B3CC4"/>
    <w:rsid w:val="003D3E16"/>
    <w:rsid w:val="003E19DE"/>
    <w:rsid w:val="003E379B"/>
    <w:rsid w:val="003E5470"/>
    <w:rsid w:val="0040267D"/>
    <w:rsid w:val="00432B0E"/>
    <w:rsid w:val="00450A5F"/>
    <w:rsid w:val="00456864"/>
    <w:rsid w:val="004602D9"/>
    <w:rsid w:val="0046628F"/>
    <w:rsid w:val="00467615"/>
    <w:rsid w:val="004770FA"/>
    <w:rsid w:val="004B55D2"/>
    <w:rsid w:val="004C2D95"/>
    <w:rsid w:val="004C70C8"/>
    <w:rsid w:val="004D5A24"/>
    <w:rsid w:val="00503490"/>
    <w:rsid w:val="00510E7A"/>
    <w:rsid w:val="00510F65"/>
    <w:rsid w:val="00530896"/>
    <w:rsid w:val="00542E57"/>
    <w:rsid w:val="00546F93"/>
    <w:rsid w:val="00573032"/>
    <w:rsid w:val="005800A9"/>
    <w:rsid w:val="00581B05"/>
    <w:rsid w:val="005929EF"/>
    <w:rsid w:val="005A64E2"/>
    <w:rsid w:val="005B1760"/>
    <w:rsid w:val="005D5025"/>
    <w:rsid w:val="005D568C"/>
    <w:rsid w:val="005E32E5"/>
    <w:rsid w:val="005E404B"/>
    <w:rsid w:val="005F6A92"/>
    <w:rsid w:val="00610252"/>
    <w:rsid w:val="00626860"/>
    <w:rsid w:val="006271D9"/>
    <w:rsid w:val="00633685"/>
    <w:rsid w:val="006739E1"/>
    <w:rsid w:val="00674783"/>
    <w:rsid w:val="006761F0"/>
    <w:rsid w:val="00682773"/>
    <w:rsid w:val="00693541"/>
    <w:rsid w:val="006A1C0A"/>
    <w:rsid w:val="006A4D6B"/>
    <w:rsid w:val="006D480B"/>
    <w:rsid w:val="006D4DB2"/>
    <w:rsid w:val="006D7212"/>
    <w:rsid w:val="006E36F3"/>
    <w:rsid w:val="0070452C"/>
    <w:rsid w:val="00710A1C"/>
    <w:rsid w:val="0071525E"/>
    <w:rsid w:val="00730C18"/>
    <w:rsid w:val="00736D1C"/>
    <w:rsid w:val="00764771"/>
    <w:rsid w:val="00766FFA"/>
    <w:rsid w:val="00776DC0"/>
    <w:rsid w:val="007B36A1"/>
    <w:rsid w:val="007E26A9"/>
    <w:rsid w:val="00815D77"/>
    <w:rsid w:val="008267C5"/>
    <w:rsid w:val="00832A64"/>
    <w:rsid w:val="00834726"/>
    <w:rsid w:val="00835BC8"/>
    <w:rsid w:val="00853F20"/>
    <w:rsid w:val="00870AF0"/>
    <w:rsid w:val="0087226A"/>
    <w:rsid w:val="008732BB"/>
    <w:rsid w:val="008803BF"/>
    <w:rsid w:val="00890FD3"/>
    <w:rsid w:val="008B758F"/>
    <w:rsid w:val="008C629D"/>
    <w:rsid w:val="008F1A0B"/>
    <w:rsid w:val="00914114"/>
    <w:rsid w:val="00922F76"/>
    <w:rsid w:val="0094105F"/>
    <w:rsid w:val="009414F9"/>
    <w:rsid w:val="0094173B"/>
    <w:rsid w:val="00954AFA"/>
    <w:rsid w:val="00963389"/>
    <w:rsid w:val="0096385E"/>
    <w:rsid w:val="00965357"/>
    <w:rsid w:val="00966221"/>
    <w:rsid w:val="009712D0"/>
    <w:rsid w:val="00987042"/>
    <w:rsid w:val="0098707D"/>
    <w:rsid w:val="009B1158"/>
    <w:rsid w:val="009B2B27"/>
    <w:rsid w:val="009B398A"/>
    <w:rsid w:val="009C009A"/>
    <w:rsid w:val="009C158C"/>
    <w:rsid w:val="009C3B31"/>
    <w:rsid w:val="009D0BA2"/>
    <w:rsid w:val="009D6CAD"/>
    <w:rsid w:val="009E77AA"/>
    <w:rsid w:val="009F26F7"/>
    <w:rsid w:val="00A137E4"/>
    <w:rsid w:val="00A150A3"/>
    <w:rsid w:val="00A31C95"/>
    <w:rsid w:val="00A3512C"/>
    <w:rsid w:val="00A60962"/>
    <w:rsid w:val="00A701A2"/>
    <w:rsid w:val="00A755F1"/>
    <w:rsid w:val="00A82E09"/>
    <w:rsid w:val="00A87251"/>
    <w:rsid w:val="00A87808"/>
    <w:rsid w:val="00AD5C70"/>
    <w:rsid w:val="00AE149C"/>
    <w:rsid w:val="00AF29A8"/>
    <w:rsid w:val="00AF5E2B"/>
    <w:rsid w:val="00B34FD0"/>
    <w:rsid w:val="00B51C1B"/>
    <w:rsid w:val="00B95172"/>
    <w:rsid w:val="00BB251D"/>
    <w:rsid w:val="00BB3979"/>
    <w:rsid w:val="00BB6E73"/>
    <w:rsid w:val="00BB7EA8"/>
    <w:rsid w:val="00BC071B"/>
    <w:rsid w:val="00BC2766"/>
    <w:rsid w:val="00BD01E8"/>
    <w:rsid w:val="00BD247D"/>
    <w:rsid w:val="00BF5958"/>
    <w:rsid w:val="00C245BE"/>
    <w:rsid w:val="00C4731B"/>
    <w:rsid w:val="00C50058"/>
    <w:rsid w:val="00C533D9"/>
    <w:rsid w:val="00C7191C"/>
    <w:rsid w:val="00C86B21"/>
    <w:rsid w:val="00C87B92"/>
    <w:rsid w:val="00CA25F5"/>
    <w:rsid w:val="00CE1D71"/>
    <w:rsid w:val="00CE3AEF"/>
    <w:rsid w:val="00D006D5"/>
    <w:rsid w:val="00D02283"/>
    <w:rsid w:val="00D17982"/>
    <w:rsid w:val="00D25861"/>
    <w:rsid w:val="00D623CF"/>
    <w:rsid w:val="00D66404"/>
    <w:rsid w:val="00D71493"/>
    <w:rsid w:val="00D71AE0"/>
    <w:rsid w:val="00D71B14"/>
    <w:rsid w:val="00DA7940"/>
    <w:rsid w:val="00DB4C90"/>
    <w:rsid w:val="00DC154F"/>
    <w:rsid w:val="00DF37BA"/>
    <w:rsid w:val="00DF488F"/>
    <w:rsid w:val="00DF5F38"/>
    <w:rsid w:val="00DF74E0"/>
    <w:rsid w:val="00E174FB"/>
    <w:rsid w:val="00E22B88"/>
    <w:rsid w:val="00E316AE"/>
    <w:rsid w:val="00E3708C"/>
    <w:rsid w:val="00E46D5B"/>
    <w:rsid w:val="00E5036C"/>
    <w:rsid w:val="00E52B5B"/>
    <w:rsid w:val="00E5527D"/>
    <w:rsid w:val="00E772EB"/>
    <w:rsid w:val="00E90218"/>
    <w:rsid w:val="00E90A4D"/>
    <w:rsid w:val="00EA5965"/>
    <w:rsid w:val="00EB544B"/>
    <w:rsid w:val="00EC270D"/>
    <w:rsid w:val="00ED1B88"/>
    <w:rsid w:val="00EF598B"/>
    <w:rsid w:val="00F20B43"/>
    <w:rsid w:val="00F3544E"/>
    <w:rsid w:val="00F44B73"/>
    <w:rsid w:val="00F50FFC"/>
    <w:rsid w:val="00F70A05"/>
    <w:rsid w:val="00F9742C"/>
    <w:rsid w:val="00FB7C61"/>
    <w:rsid w:val="00FD58FF"/>
    <w:rsid w:val="013D1161"/>
    <w:rsid w:val="01A40D00"/>
    <w:rsid w:val="033E3BD6"/>
    <w:rsid w:val="04231082"/>
    <w:rsid w:val="04396DED"/>
    <w:rsid w:val="06603FA5"/>
    <w:rsid w:val="08CB026F"/>
    <w:rsid w:val="0BC773BD"/>
    <w:rsid w:val="0E364E7D"/>
    <w:rsid w:val="0F5C0C86"/>
    <w:rsid w:val="0F7F3E70"/>
    <w:rsid w:val="11C3029D"/>
    <w:rsid w:val="12132744"/>
    <w:rsid w:val="123950D3"/>
    <w:rsid w:val="124A7371"/>
    <w:rsid w:val="143E2655"/>
    <w:rsid w:val="14741101"/>
    <w:rsid w:val="14991245"/>
    <w:rsid w:val="17DA13A7"/>
    <w:rsid w:val="180E4A95"/>
    <w:rsid w:val="18DD79A1"/>
    <w:rsid w:val="1B240FCE"/>
    <w:rsid w:val="1ED17431"/>
    <w:rsid w:val="1FB05E2C"/>
    <w:rsid w:val="1FBB41D0"/>
    <w:rsid w:val="205828FC"/>
    <w:rsid w:val="20BF5065"/>
    <w:rsid w:val="2118156D"/>
    <w:rsid w:val="23962050"/>
    <w:rsid w:val="275613EA"/>
    <w:rsid w:val="27DA27C2"/>
    <w:rsid w:val="28E717BF"/>
    <w:rsid w:val="2B003D2F"/>
    <w:rsid w:val="2B1B665A"/>
    <w:rsid w:val="2C6E21E4"/>
    <w:rsid w:val="322A6C7A"/>
    <w:rsid w:val="32A76BDA"/>
    <w:rsid w:val="32B33085"/>
    <w:rsid w:val="32F13CE5"/>
    <w:rsid w:val="334131D3"/>
    <w:rsid w:val="34597BA1"/>
    <w:rsid w:val="35643AD5"/>
    <w:rsid w:val="374313BA"/>
    <w:rsid w:val="380C5996"/>
    <w:rsid w:val="392E6A78"/>
    <w:rsid w:val="3A8C2C0D"/>
    <w:rsid w:val="3BAE6A8A"/>
    <w:rsid w:val="3C876AF0"/>
    <w:rsid w:val="3EC95459"/>
    <w:rsid w:val="40882F15"/>
    <w:rsid w:val="442D1921"/>
    <w:rsid w:val="46200F7E"/>
    <w:rsid w:val="476A2C78"/>
    <w:rsid w:val="47992888"/>
    <w:rsid w:val="4854142E"/>
    <w:rsid w:val="490A726C"/>
    <w:rsid w:val="49A92BA2"/>
    <w:rsid w:val="4A5A086E"/>
    <w:rsid w:val="4BBF0072"/>
    <w:rsid w:val="4CDC29F0"/>
    <w:rsid w:val="4D212310"/>
    <w:rsid w:val="4DB17F72"/>
    <w:rsid w:val="4EA60F65"/>
    <w:rsid w:val="4EC16AC8"/>
    <w:rsid w:val="51CF2D8E"/>
    <w:rsid w:val="52A953C7"/>
    <w:rsid w:val="539B6B72"/>
    <w:rsid w:val="556967CA"/>
    <w:rsid w:val="56EF4237"/>
    <w:rsid w:val="570F7EDB"/>
    <w:rsid w:val="59E771C6"/>
    <w:rsid w:val="5D727DDC"/>
    <w:rsid w:val="602773EC"/>
    <w:rsid w:val="63DE6250"/>
    <w:rsid w:val="69EF1BC6"/>
    <w:rsid w:val="6CD56AF4"/>
    <w:rsid w:val="6D8E6A33"/>
    <w:rsid w:val="6DDE0181"/>
    <w:rsid w:val="73B434AA"/>
    <w:rsid w:val="75042A89"/>
    <w:rsid w:val="75056276"/>
    <w:rsid w:val="774A788F"/>
    <w:rsid w:val="786966E6"/>
    <w:rsid w:val="79AA5B6F"/>
    <w:rsid w:val="7A0B1FEC"/>
    <w:rsid w:val="7A20184B"/>
    <w:rsid w:val="7A86426A"/>
    <w:rsid w:val="7C7A77AE"/>
    <w:rsid w:val="7DA049B1"/>
    <w:rsid w:val="7EC23C02"/>
    <w:rsid w:val="7EF54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D61AB-54B5-4CBB-9802-C31D84FE1BD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1342</Words>
  <Characters>1921</Characters>
  <Lines>213</Lines>
  <Paragraphs>181</Paragraphs>
  <TotalTime>617</TotalTime>
  <ScaleCrop>false</ScaleCrop>
  <LinksUpToDate>false</LinksUpToDate>
  <CharactersWithSpaces>3082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管金鑫</cp:lastModifiedBy>
  <cp:lastPrinted>2021-08-18T06:18:00Z</cp:lastPrinted>
  <dcterms:modified xsi:type="dcterms:W3CDTF">2021-11-17T06:41:59Z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06041728F7DE43B19AC8C5E28E54A785</vt:lpwstr>
  </property>
</Properties>
</file>