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ind w:firstLine="600"/>
        <w:jc w:val="center"/>
        <w:rPr>
          <w:rFonts w:ascii="华文中宋" w:hAnsi="华文中宋" w:eastAsia="华文中宋" w:cs="华文中宋"/>
          <w:w w:val="80"/>
          <w:sz w:val="30"/>
          <w:szCs w:val="30"/>
        </w:rPr>
      </w:pPr>
      <w:r>
        <w:rPr>
          <w:rFonts w:hint="eastAsia" w:ascii="华文中宋" w:hAnsi="华文中宋" w:eastAsia="华文中宋" w:cs="华文中宋"/>
          <w:w w:val="80"/>
          <w:sz w:val="28"/>
          <w:szCs w:val="28"/>
        </w:rPr>
        <w:t>《高效终端用能产品使用过程年节能减碳量评估技术规范 用效率或系数表征能效的用能产品》等六项团体标准计划项目汇总表</w:t>
      </w:r>
    </w:p>
    <w:tbl>
      <w:tblPr>
        <w:tblStyle w:val="10"/>
        <w:tblW w:w="15040" w:type="dxa"/>
        <w:tblInd w:w="-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45"/>
        <w:gridCol w:w="2165"/>
        <w:gridCol w:w="1039"/>
        <w:gridCol w:w="1396"/>
        <w:gridCol w:w="1383"/>
        <w:gridCol w:w="1955"/>
        <w:gridCol w:w="1864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20220035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高效终端用能产品使用过程年节能减碳量评估技术规范 用能耗量表征能效的用能产品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18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8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中国标准化研究院、北京绿色交易所有限公司、阿里巴巴集团控股有限公司、美的集团股份有限公司等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20220036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高效终端用能产品使用过程年节能减碳量评估技术规范 用效率或系数表征能效的用能产品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18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中国技术经济学会、中国标准化协会</w:t>
            </w:r>
          </w:p>
        </w:tc>
        <w:tc>
          <w:tcPr>
            <w:tcW w:w="28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中国标准化研究院、北京绿色交易所有限公司、阿里巴巴集团控股有限公司、美的集团股份有限公司等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20220037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宠物用品行业可持续（绿色）发展工厂评价要求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20220038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宠物食品行业可持续（绿色）发展工厂评价要求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江苏威诺检测技术有限公司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20220039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红外体温计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深圳华通威国际检验有限公司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20220040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轴承生产生命周期评价技术规范（产品种类规则）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SKF中国有限公司，瑞典环境科学研究院有限公司北京代表处，宝武钢铁，金风科技等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4790593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2022-02-11T06:58:48Z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A9F52AEED56E42F2B9050E6641775A4F</vt:lpwstr>
  </property>
</Properties>
</file>