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产品质量分级及“领跑者”评价要求  建筑外墙外保温用岩棉制品</w:t>
      </w:r>
      <w:r>
        <w:rPr>
          <w:rFonts w:hint="eastAsia" w:ascii="华文中宋" w:hAnsi="华文中宋" w:eastAsia="华文中宋" w:cs="华文中宋"/>
          <w:sz w:val="28"/>
          <w:szCs w:val="28"/>
        </w:rPr>
        <w:t>》等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七</w:t>
      </w:r>
      <w:r>
        <w:rPr>
          <w:rFonts w:hint="eastAsia" w:ascii="华文中宋" w:hAnsi="华文中宋" w:eastAsia="华文中宋" w:cs="华文中宋"/>
          <w:sz w:val="28"/>
          <w:szCs w:val="28"/>
        </w:rPr>
        <w:t>项团体标准计划项目汇总表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95"/>
        <w:gridCol w:w="2610"/>
        <w:gridCol w:w="855"/>
        <w:gridCol w:w="1185"/>
        <w:gridCol w:w="1263"/>
        <w:gridCol w:w="2149"/>
        <w:gridCol w:w="1736"/>
        <w:gridCol w:w="2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61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7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9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20220058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产品质量分级及“领跑者”评价要求  建筑外墙外保温用岩棉制品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/>
              </w:rPr>
              <w:t>建科环能科技有限公司等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20220059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产品质量分级及“领跑者”评价要求  展陈照明产品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建科环能科技有限公司等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20220060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产品质量分级及“领跑者”评价要求  建筑外墙保温装饰一体板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建科环能科技有限公司等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20220061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产品质量分级及“领跑者”评价要求  防火门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建科环能科技有限公司等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20220062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产品质量分级及“领跑者”评价要求  防火窗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建科环能科技有限公司等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20220063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产品质量分级及“领跑者”评价要求  钢质门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建科环能科技有限公司等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20220064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产品质量分级及“领跑者”评价要求  热泵型新风环境控制一体机</w:t>
            </w:r>
          </w:p>
        </w:tc>
        <w:tc>
          <w:tcPr>
            <w:tcW w:w="8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2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4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9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建科环能科技有限公司等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CD6532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3B786C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473AE9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2022-02-25T06:55:48Z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