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bookmarkStart w:id="4" w:name="_GoBack"/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《锂离子电池行业可持续（绿色）发展工厂评价要求》等四项团体标准计划项目汇总表</w:t>
      </w:r>
    </w:p>
    <w:bookmarkEnd w:id="4"/>
    <w:tbl>
      <w:tblPr>
        <w:tblStyle w:val="4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175"/>
        <w:gridCol w:w="1012"/>
        <w:gridCol w:w="1141"/>
        <w:gridCol w:w="1339"/>
        <w:gridCol w:w="1950"/>
        <w:gridCol w:w="2113"/>
        <w:gridCol w:w="3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0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锂离子电池行业可持续（绿色）发展工厂评价要求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21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30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中认英泰检测技术有限公司、中国标准化研究院等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  <w:highlight w:val="yellow"/>
              </w:rPr>
            </w:pPr>
            <w:bookmarkStart w:id="1" w:name="_Hlk97651593"/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节能减碳量评估技术要求 第一部分：终端用能产品</w:t>
            </w:r>
            <w:bookmarkEnd w:id="1"/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21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30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中国标准化研究院、阿里巴巴集团控股有限公司、美的集团股份有限公司等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bookmarkStart w:id="2" w:name="_Hlk97651606"/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节能减碳量评估技术要求 第四部分：厨卫电器</w:t>
            </w:r>
            <w:bookmarkEnd w:id="2"/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21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30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中国标准化研究院、阿里巴巴集团控股有限公司、美的集团股份有限公司等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lang w:bidi="ar"/>
              </w:rPr>
              <w:t>202200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bookmarkStart w:id="3" w:name="_Hlk97651666"/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节能减碳量评估技术要求 第八部分：办公设备</w:t>
            </w:r>
            <w:bookmarkEnd w:id="3"/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211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中国技术经济学会</w:t>
            </w:r>
          </w:p>
        </w:tc>
        <w:tc>
          <w:tcPr>
            <w:tcW w:w="30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</w:rPr>
              <w:t>中国标准化研究院、阿里巴巴集团控股有限公司、美的集团股份有限公司等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174D"/>
    <w:rsid w:val="3DBC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2022-03-14T02:40:00Z</dcterms:created>
  <dc:creator>admin</dc:creator>
  <cp:lastModifiedBy>admin</cp:lastModifiedBy>
  <dcterms:modified xsi:type="dcterms:W3CDTF">2022-03-14T02:40:40Z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ADA0D1EC8E81448D9C5F1842CCDD0355</vt:lpwstr>
  </property>
</Properties>
</file>