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620" w:firstLineChars="6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eastAsia="zh-CN"/>
        </w:rPr>
        <w:t>产品质量分级及“领跑者”评价要求 村镇膜法供水一体化装备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》等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  <w:lang w:val="en-US" w:eastAsia="zh-CN"/>
        </w:rPr>
        <w:t>九</w:t>
      </w:r>
      <w:r>
        <w:rPr>
          <w:rFonts w:hint="eastAsia" w:ascii="华文中宋" w:hAnsi="华文中宋" w:eastAsia="华文中宋" w:cs="华文中宋"/>
          <w:b w:val="0"/>
          <w:bCs w:val="0"/>
          <w:w w:val="90"/>
          <w:sz w:val="30"/>
          <w:szCs w:val="30"/>
        </w:rPr>
        <w:t>项团体标准计划项目汇总表</w:t>
      </w:r>
    </w:p>
    <w:tbl>
      <w:tblPr>
        <w:tblStyle w:val="10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724"/>
        <w:gridCol w:w="987"/>
        <w:gridCol w:w="1150"/>
        <w:gridCol w:w="1387"/>
        <w:gridCol w:w="2158"/>
        <w:gridCol w:w="219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村镇膜法供水一体化装备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海南立昇净水科技实业有限公司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20220080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村镇膜法污水处理一体化装备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苏州立升净水科技有限公司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20220081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半导体用微孔膜元件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杭州科百特过滤器材有限公司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20220082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生物制药用微孔膜元件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杭州科百特过滤器材有限公司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20220083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中空纤维膜N2-H2分离器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天邦膜技术国家工程研究中心有限责任公司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20220084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纤维增强塑料分离膜外壳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哈尔滨乐普实业有限公司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20220085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三隔室双极膜电渗析设备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杭州蓝然技术股份有限公司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20220086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膜法印染废水集成处理装备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天津膜天膜科技股份有限公司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20220087</w:t>
            </w:r>
          </w:p>
        </w:tc>
        <w:tc>
          <w:tcPr>
            <w:tcW w:w="272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产品质量分级及“领跑者”评价要求 两级DTRO垃圾渗沥液处理装备</w:t>
            </w:r>
          </w:p>
        </w:tc>
        <w:tc>
          <w:tcPr>
            <w:tcW w:w="9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9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3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北京天地人环保科技有限公司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1D7370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693898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850</Characters>
  <Lines>1</Lines>
  <Paragraphs>1</Paragraphs>
  <TotalTime>0</TotalTime>
  <ScaleCrop>false</ScaleCrop>
  <LinksUpToDate>false</LinksUpToDate>
  <CharactersWithSpaces>860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2022-03-22T03:32:08Z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