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00" w:lineRule="exact"/>
        <w:jc w:val="center"/>
        <w:textAlignment w:val="auto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热法海水淡化装备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411"/>
        <w:gridCol w:w="984"/>
        <w:gridCol w:w="1397"/>
        <w:gridCol w:w="1350"/>
        <w:gridCol w:w="2466"/>
        <w:gridCol w:w="1921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46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8"/>
                <w:szCs w:val="28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8"/>
                <w:szCs w:val="28"/>
                <w:lang w:val="en-US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2022013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  <w:lang w:eastAsia="zh-CN"/>
              </w:rPr>
              <w:t>“领跑者”标准评价要求  热法海水淡化装备</w:t>
            </w:r>
          </w:p>
        </w:tc>
        <w:tc>
          <w:tcPr>
            <w:tcW w:w="9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192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中国膜工业协会、中国技术经济学会</w:t>
            </w:r>
          </w:p>
        </w:tc>
        <w:tc>
          <w:tcPr>
            <w:tcW w:w="22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自然资源部天津海水淡化与综合利用研究所等</w:t>
            </w:r>
          </w:p>
        </w:tc>
      </w:tr>
      <w:bookmarkEnd w:id="0"/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797AA6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1BE1DE2"/>
    <w:rsid w:val="423728B9"/>
    <w:rsid w:val="429C59A8"/>
    <w:rsid w:val="45C57C56"/>
    <w:rsid w:val="462B2B78"/>
    <w:rsid w:val="474B3373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420AF8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622</Characters>
  <Lines>1</Lines>
  <Paragraphs>1</Paragraphs>
  <TotalTime>0</TotalTime>
  <ScaleCrop>false</ScaleCrop>
  <LinksUpToDate>false</LinksUpToDate>
  <CharactersWithSpaces>640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肖亮</cp:lastModifiedBy>
  <dcterms:modified xsi:type="dcterms:W3CDTF">2022-04-22T03:24:51Z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  <property fmtid="{D5CDD505-2E9C-101B-9397-08002B2CF9AE}" pid="4" name="commondata">
    <vt:lpwstr>eyJoZGlkIjoiZDNlOTYzNzBjNDExNGViZGY3ODdmMTJmZWE0YTU2ZjMifQ==</vt:lpwstr>
  </property>
</Properties>
</file>