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ind w:firstLine="1440" w:firstLineChars="60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w w:val="8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w w:val="80"/>
          <w:sz w:val="30"/>
          <w:szCs w:val="30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w w:val="80"/>
          <w:sz w:val="30"/>
          <w:szCs w:val="30"/>
          <w:lang w:eastAsia="zh-CN"/>
        </w:rPr>
        <w:t>质量分级及“领跑者”评价要求  D001大孔强酸性苯乙烯系阳离子交换树脂</w:t>
      </w:r>
      <w:r>
        <w:rPr>
          <w:rFonts w:hint="eastAsia" w:ascii="华文中宋" w:hAnsi="华文中宋" w:eastAsia="华文中宋" w:cs="华文中宋"/>
          <w:b w:val="0"/>
          <w:bCs w:val="0"/>
          <w:w w:val="80"/>
          <w:sz w:val="30"/>
          <w:szCs w:val="30"/>
        </w:rPr>
        <w:t>》等</w:t>
      </w:r>
      <w:r>
        <w:rPr>
          <w:rFonts w:hint="eastAsia" w:ascii="华文中宋" w:hAnsi="华文中宋" w:eastAsia="华文中宋" w:cs="华文中宋"/>
          <w:b w:val="0"/>
          <w:bCs w:val="0"/>
          <w:w w:val="80"/>
          <w:sz w:val="30"/>
          <w:szCs w:val="30"/>
          <w:lang w:val="en-US" w:eastAsia="zh-CN"/>
        </w:rPr>
        <w:t>九</w:t>
      </w:r>
      <w:r>
        <w:rPr>
          <w:rFonts w:hint="eastAsia" w:ascii="华文中宋" w:hAnsi="华文中宋" w:eastAsia="华文中宋" w:cs="华文中宋"/>
          <w:b w:val="0"/>
          <w:bCs w:val="0"/>
          <w:w w:val="80"/>
          <w:sz w:val="30"/>
          <w:szCs w:val="30"/>
        </w:rPr>
        <w:t>项团体标准计划项目汇总表</w:t>
      </w:r>
    </w:p>
    <w:tbl>
      <w:tblPr>
        <w:tblStyle w:val="10"/>
        <w:tblW w:w="14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1"/>
        <w:gridCol w:w="3108"/>
        <w:gridCol w:w="1191"/>
        <w:gridCol w:w="1087"/>
        <w:gridCol w:w="1397"/>
        <w:gridCol w:w="2119"/>
        <w:gridCol w:w="1893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310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1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194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20220282</w:t>
            </w:r>
          </w:p>
        </w:tc>
        <w:tc>
          <w:tcPr>
            <w:tcW w:w="3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D001大孔强酸性苯乙烯系阳离子交换树脂</w:t>
            </w:r>
          </w:p>
        </w:tc>
        <w:tc>
          <w:tcPr>
            <w:tcW w:w="11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0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9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江苏苏青水处理工程集团有限公司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20220283</w:t>
            </w:r>
          </w:p>
        </w:tc>
        <w:tc>
          <w:tcPr>
            <w:tcW w:w="3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凝结水精处理大孔型混床用离子交换树脂</w:t>
            </w:r>
          </w:p>
        </w:tc>
        <w:tc>
          <w:tcPr>
            <w:tcW w:w="11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0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9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江苏苏青水处理工程集团有限公司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20220284</w:t>
            </w:r>
          </w:p>
        </w:tc>
        <w:tc>
          <w:tcPr>
            <w:tcW w:w="3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核级离子交换树脂</w:t>
            </w:r>
          </w:p>
        </w:tc>
        <w:tc>
          <w:tcPr>
            <w:tcW w:w="11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0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9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宁波争光树脂有限公司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20220285</w:t>
            </w:r>
          </w:p>
        </w:tc>
        <w:tc>
          <w:tcPr>
            <w:tcW w:w="3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213强碱性丙烯酸系阴离子交换树脂</w:t>
            </w:r>
          </w:p>
        </w:tc>
        <w:tc>
          <w:tcPr>
            <w:tcW w:w="11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0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9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宁波争光树脂有限公司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20220286</w:t>
            </w:r>
          </w:p>
        </w:tc>
        <w:tc>
          <w:tcPr>
            <w:tcW w:w="3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001强酸性苯乙烯系阳离子交换树脂</w:t>
            </w:r>
          </w:p>
        </w:tc>
        <w:tc>
          <w:tcPr>
            <w:tcW w:w="11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0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9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山东德川化工科技有限责任公司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20220287</w:t>
            </w:r>
          </w:p>
        </w:tc>
        <w:tc>
          <w:tcPr>
            <w:tcW w:w="3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凝胶型凝结水精处理混床用离子交换树脂</w:t>
            </w:r>
          </w:p>
        </w:tc>
        <w:tc>
          <w:tcPr>
            <w:tcW w:w="11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0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9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山东德川化工科技有限责任公司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20220288</w:t>
            </w:r>
          </w:p>
        </w:tc>
        <w:tc>
          <w:tcPr>
            <w:tcW w:w="3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饮用水软化用无溶剂离子交换树脂</w:t>
            </w:r>
          </w:p>
        </w:tc>
        <w:tc>
          <w:tcPr>
            <w:tcW w:w="11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0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9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西安蓝晓科技新材料股份有限公司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20220289</w:t>
            </w:r>
          </w:p>
        </w:tc>
        <w:tc>
          <w:tcPr>
            <w:tcW w:w="3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二次盐水精制用螯合树脂</w:t>
            </w:r>
          </w:p>
        </w:tc>
        <w:tc>
          <w:tcPr>
            <w:tcW w:w="11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0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9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西安蓝晓科技新材料股份有限公司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20220290</w:t>
            </w:r>
          </w:p>
        </w:tc>
        <w:tc>
          <w:tcPr>
            <w:tcW w:w="3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耐有机污染的强碱大孔阴离子交换树脂</w:t>
            </w:r>
          </w:p>
        </w:tc>
        <w:tc>
          <w:tcPr>
            <w:tcW w:w="11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0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9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9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中国膜工业协会、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漂莱特（中国）有限公司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1D7370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422A57"/>
    <w:rsid w:val="1E630FA5"/>
    <w:rsid w:val="1F4C77D6"/>
    <w:rsid w:val="1F66774B"/>
    <w:rsid w:val="204B7270"/>
    <w:rsid w:val="216421A2"/>
    <w:rsid w:val="237B1F06"/>
    <w:rsid w:val="23AA51F1"/>
    <w:rsid w:val="26372B56"/>
    <w:rsid w:val="295447F0"/>
    <w:rsid w:val="2AB72EE9"/>
    <w:rsid w:val="3105307D"/>
    <w:rsid w:val="3260478A"/>
    <w:rsid w:val="345F0477"/>
    <w:rsid w:val="369B0955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03B4DE8"/>
    <w:rsid w:val="643B2E16"/>
    <w:rsid w:val="6830137E"/>
    <w:rsid w:val="696D75EB"/>
    <w:rsid w:val="69D27014"/>
    <w:rsid w:val="6AB26041"/>
    <w:rsid w:val="6AD76F6C"/>
    <w:rsid w:val="6BA045FB"/>
    <w:rsid w:val="6FC64911"/>
    <w:rsid w:val="70693898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771</Words>
  <Characters>850</Characters>
  <Lines>1</Lines>
  <Paragraphs>1</Paragraphs>
  <TotalTime>0</TotalTime>
  <ScaleCrop>false</ScaleCrop>
  <LinksUpToDate>false</LinksUpToDate>
  <CharactersWithSpaces>860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2022-07-01T07:40:46Z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A9F52AEED56E42F2B9050E6641775A4F</vt:lpwstr>
  </property>
</Properties>
</file>