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firstLine="480"/>
      </w:pPr>
    </w:p>
    <w:p>
      <w:pPr>
        <w:spacing w:before="156" w:after="156"/>
        <w:ind w:firstLine="480"/>
      </w:pPr>
    </w:p>
    <w:p>
      <w:pPr>
        <w:spacing w:before="156" w:after="156" w:line="720" w:lineRule="exact"/>
        <w:ind w:firstLine="0" w:firstLineChars="0"/>
        <w:jc w:val="center"/>
        <w:rPr>
          <w:b/>
          <w:sz w:val="48"/>
          <w:szCs w:val="48"/>
        </w:rPr>
      </w:pPr>
      <w:r>
        <w:rPr>
          <w:rFonts w:hint="eastAsia"/>
          <w:b/>
          <w:sz w:val="48"/>
          <w:szCs w:val="48"/>
        </w:rPr>
        <w:t>团体标准</w:t>
      </w:r>
    </w:p>
    <w:p>
      <w:pPr>
        <w:spacing w:before="156" w:after="156" w:line="720" w:lineRule="exact"/>
        <w:ind w:firstLine="0" w:firstLineChars="0"/>
        <w:jc w:val="center"/>
        <w:rPr>
          <w:rFonts w:hint="eastAsia" w:ascii="黑体" w:hAnsi="Times New Roman" w:eastAsia="黑体" w:cs="Times New Roman"/>
          <w:kern w:val="0"/>
          <w:sz w:val="52"/>
          <w:szCs w:val="20"/>
          <w:lang w:val="en-US" w:eastAsia="zh-CN"/>
        </w:rPr>
      </w:pPr>
      <w:r>
        <w:rPr>
          <w:rFonts w:hint="eastAsia" w:ascii="黑体" w:hAnsi="Times New Roman" w:eastAsia="黑体" w:cs="Times New Roman"/>
          <w:kern w:val="0"/>
          <w:sz w:val="52"/>
          <w:szCs w:val="20"/>
        </w:rPr>
        <w:t>化妆品企业原料产地</w:t>
      </w:r>
      <w:r>
        <w:rPr>
          <w:rFonts w:hint="eastAsia" w:ascii="黑体" w:hAnsi="Times New Roman" w:eastAsia="黑体" w:cs="Times New Roman"/>
          <w:kern w:val="0"/>
          <w:sz w:val="52"/>
          <w:szCs w:val="20"/>
          <w:lang w:val="en-US" w:eastAsia="zh-CN"/>
        </w:rPr>
        <w:t>高原</w:t>
      </w:r>
    </w:p>
    <w:p>
      <w:pPr>
        <w:spacing w:before="156" w:after="156" w:line="720" w:lineRule="exact"/>
        <w:ind w:firstLine="0" w:firstLineChars="0"/>
        <w:jc w:val="center"/>
        <w:rPr>
          <w:rFonts w:hint="eastAsia" w:ascii="黑体" w:hAnsi="Times New Roman" w:eastAsia="黑体" w:cs="Times New Roman"/>
          <w:kern w:val="0"/>
          <w:sz w:val="52"/>
          <w:szCs w:val="20"/>
        </w:rPr>
      </w:pPr>
      <w:r>
        <w:rPr>
          <w:rFonts w:hint="eastAsia" w:ascii="黑体" w:hAnsi="Times New Roman" w:eastAsia="黑体" w:cs="Times New Roman"/>
          <w:kern w:val="0"/>
          <w:sz w:val="52"/>
          <w:szCs w:val="20"/>
        </w:rPr>
        <w:t>生物多样性保护指南</w:t>
      </w:r>
    </w:p>
    <w:p>
      <w:pPr>
        <w:spacing w:before="156" w:after="156" w:line="720" w:lineRule="exact"/>
        <w:ind w:firstLine="0" w:firstLineChars="0"/>
        <w:jc w:val="center"/>
        <w:rPr>
          <w:b/>
          <w:sz w:val="48"/>
          <w:szCs w:val="48"/>
        </w:rPr>
      </w:pPr>
      <w:r>
        <w:rPr>
          <w:rFonts w:hint="eastAsia"/>
          <w:b/>
          <w:sz w:val="48"/>
          <w:szCs w:val="48"/>
        </w:rPr>
        <w:t>（</w:t>
      </w:r>
      <w:r>
        <w:rPr>
          <w:rFonts w:hint="eastAsia"/>
          <w:b/>
          <w:sz w:val="48"/>
          <w:szCs w:val="48"/>
          <w:lang w:val="en-US" w:eastAsia="zh-CN"/>
        </w:rPr>
        <w:t>草案</w:t>
      </w:r>
      <w:r>
        <w:rPr>
          <w:rFonts w:hint="eastAsia"/>
          <w:b/>
          <w:sz w:val="48"/>
          <w:szCs w:val="48"/>
        </w:rPr>
        <w:t>）</w:t>
      </w:r>
    </w:p>
    <w:p>
      <w:pPr>
        <w:spacing w:before="156" w:after="156" w:line="720" w:lineRule="exact"/>
        <w:ind w:firstLine="0" w:firstLineChars="0"/>
        <w:jc w:val="center"/>
        <w:rPr>
          <w:sz w:val="48"/>
          <w:szCs w:val="48"/>
        </w:rPr>
      </w:pPr>
    </w:p>
    <w:p>
      <w:pPr>
        <w:spacing w:before="156" w:after="156" w:line="720" w:lineRule="exact"/>
        <w:ind w:firstLine="0" w:firstLineChars="0"/>
        <w:jc w:val="center"/>
        <w:rPr>
          <w:sz w:val="48"/>
          <w:szCs w:val="48"/>
        </w:rPr>
      </w:pPr>
    </w:p>
    <w:p>
      <w:pPr>
        <w:spacing w:before="156" w:after="156" w:line="720" w:lineRule="exact"/>
        <w:ind w:firstLine="0" w:firstLineChars="0"/>
        <w:jc w:val="center"/>
        <w:rPr>
          <w:b/>
          <w:sz w:val="48"/>
          <w:szCs w:val="48"/>
        </w:rPr>
      </w:pPr>
      <w:r>
        <w:rPr>
          <w:rFonts w:hint="eastAsia"/>
          <w:b/>
          <w:sz w:val="48"/>
          <w:szCs w:val="48"/>
        </w:rPr>
        <w:t>编制说明</w:t>
      </w:r>
    </w:p>
    <w:p>
      <w:pPr>
        <w:spacing w:before="156" w:after="156" w:line="720" w:lineRule="exact"/>
        <w:ind w:firstLine="0" w:firstLineChars="0"/>
        <w:jc w:val="center"/>
        <w:rPr>
          <w:sz w:val="48"/>
          <w:szCs w:val="48"/>
        </w:rPr>
      </w:pPr>
    </w:p>
    <w:p>
      <w:pPr>
        <w:spacing w:before="156" w:after="156" w:line="720" w:lineRule="exact"/>
        <w:ind w:firstLine="0" w:firstLineChars="0"/>
        <w:jc w:val="center"/>
        <w:rPr>
          <w:sz w:val="48"/>
          <w:szCs w:val="48"/>
        </w:rPr>
      </w:pPr>
    </w:p>
    <w:p>
      <w:pPr>
        <w:spacing w:before="156" w:after="156" w:line="720" w:lineRule="exact"/>
        <w:ind w:firstLine="0" w:firstLineChars="0"/>
        <w:jc w:val="center"/>
        <w:rPr>
          <w:sz w:val="48"/>
          <w:szCs w:val="48"/>
        </w:rPr>
      </w:pPr>
    </w:p>
    <w:p>
      <w:pPr>
        <w:spacing w:before="156" w:after="156" w:line="720" w:lineRule="exact"/>
        <w:ind w:firstLine="0" w:firstLineChars="0"/>
        <w:jc w:val="center"/>
        <w:rPr>
          <w:sz w:val="48"/>
          <w:szCs w:val="48"/>
        </w:rPr>
      </w:pPr>
    </w:p>
    <w:p>
      <w:pPr>
        <w:spacing w:before="156" w:after="156" w:line="720" w:lineRule="exact"/>
        <w:ind w:firstLine="0" w:firstLineChars="0"/>
        <w:jc w:val="center"/>
        <w:rPr>
          <w:sz w:val="32"/>
          <w:szCs w:val="48"/>
        </w:rPr>
      </w:pPr>
      <w:r>
        <w:rPr>
          <w:rFonts w:hint="eastAsia"/>
          <w:sz w:val="32"/>
          <w:szCs w:val="48"/>
        </w:rPr>
        <w:t>标准起草组</w:t>
      </w:r>
    </w:p>
    <w:p>
      <w:pPr>
        <w:spacing w:before="156" w:after="156" w:line="720" w:lineRule="exact"/>
        <w:ind w:firstLine="0" w:firstLineChars="0"/>
        <w:jc w:val="center"/>
        <w:rPr>
          <w:sz w:val="32"/>
          <w:szCs w:val="48"/>
        </w:rPr>
      </w:pPr>
      <w:r>
        <w:rPr>
          <w:sz w:val="32"/>
          <w:szCs w:val="48"/>
        </w:rPr>
        <w:t>202</w:t>
      </w:r>
      <w:r>
        <w:rPr>
          <w:rFonts w:hint="eastAsia"/>
          <w:sz w:val="32"/>
          <w:szCs w:val="48"/>
          <w:lang w:val="en-US" w:eastAsia="zh-CN"/>
        </w:rPr>
        <w:t>2</w:t>
      </w:r>
      <w:r>
        <w:rPr>
          <w:sz w:val="32"/>
          <w:szCs w:val="48"/>
        </w:rPr>
        <w:t>年</w:t>
      </w:r>
      <w:r>
        <w:rPr>
          <w:rFonts w:hint="eastAsia"/>
          <w:sz w:val="32"/>
          <w:szCs w:val="48"/>
          <w:lang w:val="en-US" w:eastAsia="zh-CN"/>
        </w:rPr>
        <w:t>4</w:t>
      </w:r>
      <w:r>
        <w:rPr>
          <w:sz w:val="32"/>
          <w:szCs w:val="48"/>
        </w:rPr>
        <w:t>月</w:t>
      </w:r>
    </w:p>
    <w:p>
      <w:pPr>
        <w:widowControl/>
        <w:spacing w:beforeLines="0" w:afterLines="0" w:line="240" w:lineRule="auto"/>
        <w:ind w:firstLine="0" w:firstLineChars="0"/>
        <w:rPr>
          <w:sz w:val="32"/>
          <w:szCs w:val="48"/>
        </w:rPr>
      </w:pPr>
    </w:p>
    <w:p>
      <w:pPr>
        <w:widowControl/>
        <w:spacing w:beforeLines="0" w:afterLines="0" w:line="240" w:lineRule="auto"/>
        <w:ind w:firstLine="0" w:firstLineChars="0"/>
        <w:rPr>
          <w:sz w:val="32"/>
        </w:rPr>
      </w:pPr>
    </w:p>
    <w:p>
      <w:pPr>
        <w:widowControl/>
        <w:spacing w:beforeLines="0" w:afterLines="0" w:line="240" w:lineRule="auto"/>
        <w:ind w:firstLine="0" w:firstLineChars="0"/>
        <w:jc w:val="center"/>
        <w:rPr>
          <w:sz w:val="32"/>
        </w:rPr>
      </w:pPr>
      <w:r>
        <w:rPr>
          <w:rFonts w:hint="eastAsia"/>
          <w:sz w:val="32"/>
        </w:rPr>
        <w:t>目录</w:t>
      </w:r>
    </w:p>
    <w:p>
      <w:pPr>
        <w:pStyle w:val="13"/>
        <w:tabs>
          <w:tab w:val="right" w:leader="dot" w:pos="8306"/>
        </w:tabs>
      </w:pPr>
      <w:r>
        <w:rPr>
          <w:sz w:val="32"/>
        </w:rPr>
        <w:fldChar w:fldCharType="begin"/>
      </w:r>
      <w:r>
        <w:rPr>
          <w:sz w:val="32"/>
        </w:rPr>
        <w:instrText xml:space="preserve"> </w:instrText>
      </w:r>
      <w:r>
        <w:rPr>
          <w:rFonts w:hint="eastAsia"/>
          <w:sz w:val="32"/>
        </w:rPr>
        <w:instrText xml:space="preserve">TOC \o "1-3" \h \z</w:instrText>
      </w:r>
      <w:r>
        <w:rPr>
          <w:sz w:val="32"/>
        </w:rPr>
        <w:instrText xml:space="preserve"> </w:instrText>
      </w:r>
      <w:r>
        <w:rPr>
          <w:sz w:val="32"/>
        </w:rPr>
        <w:fldChar w:fldCharType="separate"/>
      </w:r>
      <w:r>
        <w:fldChar w:fldCharType="begin"/>
      </w:r>
      <w:r>
        <w:instrText xml:space="preserve"> HYPERLINK \l _Toc7541 </w:instrText>
      </w:r>
      <w:r>
        <w:fldChar w:fldCharType="separate"/>
      </w:r>
      <w:r>
        <w:rPr>
          <w:rFonts w:hint="eastAsia"/>
        </w:rPr>
        <w:t>一、工作简况</w:t>
      </w:r>
      <w:r>
        <w:tab/>
      </w:r>
      <w:r>
        <w:fldChar w:fldCharType="begin"/>
      </w:r>
      <w:r>
        <w:instrText xml:space="preserve"> PAGEREF _Toc7541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_Toc14177 </w:instrText>
      </w:r>
      <w:r>
        <w:fldChar w:fldCharType="separate"/>
      </w:r>
      <w:r>
        <w:t>1</w:t>
      </w:r>
      <w:r>
        <w:rPr>
          <w:rFonts w:hint="eastAsia"/>
        </w:rPr>
        <w:t>、</w:t>
      </w:r>
      <w:r>
        <w:rPr>
          <w:rFonts w:hint="eastAsia"/>
          <w:lang w:val="en-US" w:eastAsia="zh-CN"/>
        </w:rPr>
        <w:t>任务来源</w:t>
      </w:r>
      <w:r>
        <w:tab/>
      </w:r>
      <w:r>
        <w:fldChar w:fldCharType="begin"/>
      </w:r>
      <w:r>
        <w:instrText xml:space="preserve"> PAGEREF _Toc14177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_Toc12753 </w:instrText>
      </w:r>
      <w:r>
        <w:fldChar w:fldCharType="separate"/>
      </w:r>
      <w:r>
        <w:rPr>
          <w:rFonts w:hint="eastAsia"/>
          <w:lang w:val="en-US" w:eastAsia="zh-CN"/>
        </w:rPr>
        <w:t>2</w:t>
      </w:r>
      <w:r>
        <w:t>、标准编制过程</w:t>
      </w:r>
      <w:r>
        <w:tab/>
      </w:r>
      <w:r>
        <w:fldChar w:fldCharType="begin"/>
      </w:r>
      <w:r>
        <w:instrText xml:space="preserve"> PAGEREF _Toc12753 \h </w:instrText>
      </w:r>
      <w:r>
        <w:fldChar w:fldCharType="separate"/>
      </w:r>
      <w:r>
        <w:t>5</w:t>
      </w:r>
      <w:r>
        <w:fldChar w:fldCharType="end"/>
      </w:r>
      <w:r>
        <w:fldChar w:fldCharType="end"/>
      </w:r>
    </w:p>
    <w:p>
      <w:pPr>
        <w:pStyle w:val="13"/>
        <w:tabs>
          <w:tab w:val="right" w:leader="dot" w:pos="8306"/>
        </w:tabs>
      </w:pPr>
      <w:r>
        <w:fldChar w:fldCharType="begin"/>
      </w:r>
      <w:r>
        <w:instrText xml:space="preserve"> HYPERLINK \l _Toc29526 </w:instrText>
      </w:r>
      <w:r>
        <w:fldChar w:fldCharType="separate"/>
      </w:r>
      <w:r>
        <w:rPr>
          <w:rFonts w:hint="eastAsia"/>
        </w:rPr>
        <w:t>二、标准编制原则和主要内容</w:t>
      </w:r>
      <w:r>
        <w:tab/>
      </w:r>
      <w:r>
        <w:fldChar w:fldCharType="begin"/>
      </w:r>
      <w:r>
        <w:instrText xml:space="preserve"> PAGEREF _Toc29526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_Toc16375 </w:instrText>
      </w:r>
      <w:r>
        <w:fldChar w:fldCharType="separate"/>
      </w:r>
      <w:r>
        <w:t>1、编制原则</w:t>
      </w:r>
      <w:r>
        <w:tab/>
      </w:r>
      <w:r>
        <w:fldChar w:fldCharType="begin"/>
      </w:r>
      <w:r>
        <w:instrText xml:space="preserve"> PAGEREF _Toc16375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_Toc31603 </w:instrText>
      </w:r>
      <w:r>
        <w:fldChar w:fldCharType="separate"/>
      </w:r>
      <w:r>
        <w:t>2、主要内容</w:t>
      </w:r>
      <w:r>
        <w:tab/>
      </w:r>
      <w:r>
        <w:fldChar w:fldCharType="begin"/>
      </w:r>
      <w:r>
        <w:instrText xml:space="preserve"> PAGEREF _Toc31603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_Toc9747 </w:instrText>
      </w:r>
      <w:r>
        <w:fldChar w:fldCharType="separate"/>
      </w:r>
      <w:r>
        <w:t>3、主要内容的解释和说明</w:t>
      </w:r>
      <w:r>
        <w:tab/>
      </w:r>
      <w:r>
        <w:fldChar w:fldCharType="begin"/>
      </w:r>
      <w:r>
        <w:instrText xml:space="preserve"> PAGEREF _Toc9747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_Toc2918 </w:instrText>
      </w:r>
      <w:r>
        <w:fldChar w:fldCharType="separate"/>
      </w:r>
      <w:r>
        <w:rPr>
          <w:rFonts w:hint="eastAsia"/>
        </w:rPr>
        <w:t>三、主要试验（或标准验证）情况、分析、综述报告，技术经济论证可行性分析和预期的经济效果</w:t>
      </w:r>
      <w:r>
        <w:tab/>
      </w:r>
      <w:r>
        <w:fldChar w:fldCharType="begin"/>
      </w:r>
      <w:r>
        <w:instrText xml:space="preserve"> PAGEREF _Toc2918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_Toc30340 </w:instrText>
      </w:r>
      <w:r>
        <w:fldChar w:fldCharType="separate"/>
      </w:r>
      <w:r>
        <w:rPr>
          <w:rFonts w:hint="eastAsia"/>
        </w:rPr>
        <w:t>1、标准验证情况</w:t>
      </w:r>
      <w:r>
        <w:tab/>
      </w:r>
      <w:r>
        <w:fldChar w:fldCharType="begin"/>
      </w:r>
      <w:r>
        <w:instrText xml:space="preserve"> PAGEREF _Toc30340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_Toc17364 </w:instrText>
      </w:r>
      <w:r>
        <w:fldChar w:fldCharType="separate"/>
      </w:r>
      <w:r>
        <w:t>2</w:t>
      </w:r>
      <w:r>
        <w:rPr>
          <w:rFonts w:hint="eastAsia"/>
        </w:rPr>
        <w:t>、标准经济性论证</w:t>
      </w:r>
      <w:r>
        <w:tab/>
      </w:r>
      <w:r>
        <w:fldChar w:fldCharType="begin"/>
      </w:r>
      <w:r>
        <w:instrText xml:space="preserve"> PAGEREF _Toc17364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_Toc20502 </w:instrText>
      </w:r>
      <w:r>
        <w:fldChar w:fldCharType="separate"/>
      </w:r>
      <w:r>
        <w:t>3</w:t>
      </w:r>
      <w:r>
        <w:rPr>
          <w:rFonts w:hint="eastAsia"/>
        </w:rPr>
        <w:t>、预期的经济效果</w:t>
      </w:r>
      <w:r>
        <w:tab/>
      </w:r>
      <w:r>
        <w:fldChar w:fldCharType="begin"/>
      </w:r>
      <w:r>
        <w:instrText xml:space="preserve"> PAGEREF _Toc20502 \h </w:instrText>
      </w:r>
      <w:r>
        <w:fldChar w:fldCharType="separate"/>
      </w:r>
      <w:r>
        <w:t>9</w:t>
      </w:r>
      <w:r>
        <w:fldChar w:fldCharType="end"/>
      </w:r>
      <w:r>
        <w:fldChar w:fldCharType="end"/>
      </w:r>
    </w:p>
    <w:p>
      <w:pPr>
        <w:pStyle w:val="13"/>
        <w:tabs>
          <w:tab w:val="right" w:leader="dot" w:pos="8306"/>
        </w:tabs>
      </w:pPr>
      <w:r>
        <w:fldChar w:fldCharType="begin"/>
      </w:r>
      <w:r>
        <w:instrText xml:space="preserve"> HYPERLINK \l _Toc11821 </w:instrText>
      </w:r>
      <w:r>
        <w:fldChar w:fldCharType="separate"/>
      </w:r>
      <w:r>
        <w:rPr>
          <w:rFonts w:hint="eastAsia"/>
        </w:rPr>
        <w:t>四、采用国际标准和国外先进标准的情况，与国际、国内同类标准水平的对比情况</w:t>
      </w:r>
      <w:r>
        <w:tab/>
      </w:r>
      <w:r>
        <w:fldChar w:fldCharType="begin"/>
      </w:r>
      <w:r>
        <w:instrText xml:space="preserve"> PAGEREF _Toc11821 \h </w:instrText>
      </w:r>
      <w:r>
        <w:fldChar w:fldCharType="separate"/>
      </w:r>
      <w:r>
        <w:t>9</w:t>
      </w:r>
      <w:r>
        <w:fldChar w:fldCharType="end"/>
      </w:r>
      <w:r>
        <w:fldChar w:fldCharType="end"/>
      </w:r>
    </w:p>
    <w:p>
      <w:pPr>
        <w:pStyle w:val="13"/>
        <w:tabs>
          <w:tab w:val="right" w:leader="dot" w:pos="8306"/>
        </w:tabs>
      </w:pPr>
      <w:r>
        <w:fldChar w:fldCharType="begin"/>
      </w:r>
      <w:r>
        <w:instrText xml:space="preserve"> HYPERLINK \l _Toc11522 </w:instrText>
      </w:r>
      <w:r>
        <w:fldChar w:fldCharType="separate"/>
      </w:r>
      <w:r>
        <w:rPr>
          <w:rFonts w:hint="eastAsia"/>
        </w:rPr>
        <w:t>五、与有关的现行法律、法规和强制性国家标准的关系</w:t>
      </w:r>
      <w:r>
        <w:tab/>
      </w:r>
      <w:r>
        <w:fldChar w:fldCharType="begin"/>
      </w:r>
      <w:r>
        <w:instrText xml:space="preserve"> PAGEREF _Toc11522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_Toc16422 </w:instrText>
      </w:r>
      <w:r>
        <w:fldChar w:fldCharType="separate"/>
      </w:r>
      <w:r>
        <w:rPr>
          <w:rFonts w:hint="eastAsia"/>
        </w:rPr>
        <w:t>六、重大分歧意见的处理经过和依据</w:t>
      </w:r>
      <w:r>
        <w:tab/>
      </w:r>
      <w:r>
        <w:fldChar w:fldCharType="begin"/>
      </w:r>
      <w:r>
        <w:instrText xml:space="preserve"> PAGEREF _Toc16422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_Toc1795 </w:instrText>
      </w:r>
      <w:r>
        <w:fldChar w:fldCharType="separate"/>
      </w:r>
      <w:r>
        <w:rPr>
          <w:rFonts w:hint="eastAsia"/>
          <w:lang w:val="en-US" w:eastAsia="zh-CN"/>
        </w:rPr>
        <w:t>七</w:t>
      </w:r>
      <w:r>
        <w:rPr>
          <w:rFonts w:hint="eastAsia"/>
        </w:rPr>
        <w:t>、贯彻标准的要求和措施建议</w:t>
      </w:r>
      <w:r>
        <w:tab/>
      </w:r>
      <w:r>
        <w:fldChar w:fldCharType="begin"/>
      </w:r>
      <w:r>
        <w:instrText xml:space="preserve"> PAGEREF _Toc1795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_Toc25600 </w:instrText>
      </w:r>
      <w:r>
        <w:fldChar w:fldCharType="separate"/>
      </w:r>
      <w:r>
        <w:rPr>
          <w:rFonts w:hint="eastAsia"/>
          <w:lang w:val="en-US" w:eastAsia="zh-CN"/>
        </w:rPr>
        <w:t>八</w:t>
      </w:r>
      <w:r>
        <w:rPr>
          <w:rFonts w:hint="eastAsia"/>
        </w:rPr>
        <w:t>、废止现行有关标准的建议</w:t>
      </w:r>
      <w:r>
        <w:tab/>
      </w:r>
      <w:r>
        <w:fldChar w:fldCharType="begin"/>
      </w:r>
      <w:r>
        <w:instrText xml:space="preserve"> PAGEREF _Toc25600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_Toc24834 </w:instrText>
      </w:r>
      <w:r>
        <w:fldChar w:fldCharType="separate"/>
      </w:r>
      <w:r>
        <w:rPr>
          <w:rFonts w:hint="eastAsia"/>
          <w:lang w:val="en-US" w:eastAsia="zh-CN"/>
        </w:rPr>
        <w:t>九</w:t>
      </w:r>
      <w:r>
        <w:rPr>
          <w:rFonts w:hint="eastAsia"/>
        </w:rPr>
        <w:t>、其他应予说明的事项</w:t>
      </w:r>
      <w:r>
        <w:tab/>
      </w:r>
      <w:r>
        <w:fldChar w:fldCharType="begin"/>
      </w:r>
      <w:r>
        <w:instrText xml:space="preserve"> PAGEREF _Toc24834 \h </w:instrText>
      </w:r>
      <w:r>
        <w:fldChar w:fldCharType="separate"/>
      </w:r>
      <w:r>
        <w:t>10</w:t>
      </w:r>
      <w:r>
        <w:fldChar w:fldCharType="end"/>
      </w:r>
      <w:r>
        <w:fldChar w:fldCharType="end"/>
      </w:r>
    </w:p>
    <w:p>
      <w:pPr>
        <w:widowControl/>
        <w:spacing w:beforeLines="0" w:afterLines="0" w:line="240" w:lineRule="auto"/>
        <w:ind w:firstLine="0" w:firstLineChars="0"/>
        <w:jc w:val="center"/>
        <w:rPr>
          <w:sz w:val="32"/>
        </w:rPr>
      </w:pPr>
      <w:r>
        <w:fldChar w:fldCharType="end"/>
      </w:r>
      <w:bookmarkStart w:id="0" w:name="_Hlk70083973"/>
    </w:p>
    <w:p>
      <w:pPr>
        <w:widowControl/>
        <w:spacing w:beforeLines="0" w:afterLines="0" w:line="240" w:lineRule="auto"/>
        <w:ind w:firstLine="0" w:firstLineChars="0"/>
        <w:jc w:val="left"/>
        <w:rPr>
          <w:sz w:val="32"/>
        </w:rPr>
      </w:pPr>
      <w:r>
        <w:rPr>
          <w:sz w:val="32"/>
        </w:rPr>
        <w:br w:type="page"/>
      </w:r>
    </w:p>
    <w:bookmarkEnd w:id="0"/>
    <w:p>
      <w:pPr>
        <w:widowControl/>
        <w:spacing w:beforeLines="0" w:afterLines="0" w:line="240" w:lineRule="auto"/>
        <w:ind w:firstLine="0" w:firstLineChars="0"/>
        <w:jc w:val="center"/>
        <w:rPr>
          <w:rFonts w:hint="eastAsia"/>
          <w:b/>
          <w:sz w:val="32"/>
        </w:rPr>
      </w:pPr>
      <w:r>
        <w:rPr>
          <w:rFonts w:hint="eastAsia"/>
          <w:b/>
          <w:sz w:val="32"/>
        </w:rPr>
        <w:t>化妆品企业原料产地高原生物多样性保护指南</w:t>
      </w:r>
    </w:p>
    <w:p>
      <w:pPr>
        <w:widowControl/>
        <w:spacing w:beforeLines="0" w:afterLines="0" w:line="240" w:lineRule="auto"/>
        <w:ind w:firstLine="0" w:firstLineChars="0"/>
        <w:jc w:val="center"/>
        <w:rPr>
          <w:b/>
          <w:sz w:val="32"/>
        </w:rPr>
      </w:pPr>
      <w:r>
        <w:rPr>
          <w:rFonts w:hint="eastAsia"/>
          <w:b/>
          <w:sz w:val="32"/>
        </w:rPr>
        <w:t>编制说明</w:t>
      </w:r>
    </w:p>
    <w:p>
      <w:pPr>
        <w:widowControl/>
        <w:spacing w:beforeLines="0" w:afterLines="0" w:line="240" w:lineRule="auto"/>
        <w:ind w:firstLine="0" w:firstLineChars="0"/>
        <w:jc w:val="center"/>
        <w:rPr>
          <w:b/>
          <w:sz w:val="32"/>
        </w:rPr>
      </w:pPr>
    </w:p>
    <w:p>
      <w:pPr>
        <w:pStyle w:val="2"/>
        <w:spacing w:before="156" w:after="156"/>
        <w:rPr>
          <w:b w:val="0"/>
        </w:rPr>
      </w:pPr>
      <w:bookmarkStart w:id="1" w:name="_Toc7541"/>
      <w:r>
        <w:rPr>
          <w:rFonts w:hint="eastAsia"/>
          <w:b w:val="0"/>
        </w:rPr>
        <w:t>一、工作简况</w:t>
      </w:r>
      <w:bookmarkEnd w:id="1"/>
    </w:p>
    <w:p>
      <w:pPr>
        <w:pStyle w:val="3"/>
        <w:spacing w:before="156" w:after="156"/>
        <w:rPr>
          <w:rFonts w:hint="eastAsia" w:eastAsia="黑体"/>
          <w:lang w:eastAsia="zh-CN"/>
        </w:rPr>
      </w:pPr>
      <w:bookmarkStart w:id="2" w:name="_Toc14177"/>
      <w:r>
        <w:t>1</w:t>
      </w:r>
      <w:r>
        <w:rPr>
          <w:rFonts w:hint="eastAsia"/>
        </w:rPr>
        <w:t>、</w:t>
      </w:r>
      <w:r>
        <w:rPr>
          <w:rFonts w:hint="eastAsia"/>
          <w:lang w:val="en-US" w:eastAsia="zh-CN"/>
        </w:rPr>
        <w:t>任务来源</w:t>
      </w:r>
      <w:bookmarkEnd w:id="2"/>
    </w:p>
    <w:p>
      <w:pPr>
        <w:spacing w:before="156" w:after="156"/>
        <w:ind w:firstLine="480"/>
        <w:rPr>
          <w:rFonts w:hint="eastAsia"/>
        </w:rPr>
      </w:pPr>
      <w:r>
        <w:rPr>
          <w:rFonts w:hint="eastAsia"/>
        </w:rPr>
        <w:t>生物多样性确保生命存在，它创造了我们呼吸的空气，吃的食物，拯救生命的药物和我们严重依赖的水。但是，过度开发土地和物种、密集耕作、污染和气候变化已经侵害了生物多样性，以至于我们现在面临着自然灾害、粮食和水资源短缺、人畜共患病问题等。</w:t>
      </w:r>
    </w:p>
    <w:p>
      <w:pPr>
        <w:spacing w:before="156" w:after="156"/>
        <w:ind w:firstLine="480"/>
        <w:rPr>
          <w:rFonts w:hint="eastAsia"/>
        </w:rPr>
      </w:pPr>
      <w:r>
        <w:rPr>
          <w:rFonts w:hint="eastAsia"/>
        </w:rPr>
        <w:t>2010年10月，《生物多样性公约》缔约方大会第十次会议通过了意义重大的全球2020年生物多样性目标（即爱知目标）。该目标涵盖自然生境的保护和恢复、保护区的建设与管理、濒危物种的保护与恢复、遗传多样性的维护等方面。公约第十五次缔约方大会（COP15）将于2021年-2022年在我国昆明召开，届时将制订新的全球生物多样性保护计划和目标。跟踪新的全球生物多样性保护目标并评估其进展。</w:t>
      </w:r>
    </w:p>
    <w:p>
      <w:pPr>
        <w:spacing w:before="156" w:after="156"/>
        <w:ind w:firstLine="480"/>
        <w:rPr>
          <w:rFonts w:hint="eastAsia"/>
        </w:rPr>
      </w:pPr>
      <w:r>
        <w:rPr>
          <w:rFonts w:hint="eastAsia"/>
        </w:rPr>
        <w:t>企业作为社会生产经营活动的重要主体，通过其直接或间接业务，对生物多样性和生态系统服务产生一定程度的影响。企业虽是生物多样性利用的主体，也应是保护主体。唤起社会及更多的企业参与到全球生物多样性保护行动，对实现联合国生物多样性公约的目标和改善人类自身的生存与发展环境至关重要。</w:t>
      </w:r>
      <w:r>
        <w:rPr>
          <w:rFonts w:hint="eastAsia" w:ascii="Times New Roman" w:hAnsi="Times New Roman" w:eastAsia="宋体" w:cs="Times New Roman"/>
          <w:lang w:val="en-US" w:eastAsia="zh-CN"/>
        </w:rPr>
        <w:t>化妆品企业直接受益于生物多样性，也对生物多样性</w:t>
      </w:r>
      <w:r>
        <w:rPr>
          <w:rFonts w:hint="eastAsia" w:ascii="Times New Roman" w:hAnsi="Times New Roman" w:eastAsia="宋体" w:cs="Times New Roman"/>
        </w:rPr>
        <w:t>产生一定程度的影响</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因此亟需建立相关标准，指导化妆品企业开展生物多样性保护。</w:t>
      </w:r>
    </w:p>
    <w:p>
      <w:pPr>
        <w:spacing w:before="156" w:after="156"/>
        <w:ind w:firstLine="480"/>
      </w:pPr>
      <w:r>
        <w:rPr>
          <w:rFonts w:hint="eastAsia"/>
          <w:lang w:val="en-US" w:eastAsia="zh-CN"/>
        </w:rPr>
        <w:t>在此背景下，</w:t>
      </w:r>
      <w:r>
        <w:rPr>
          <w:rFonts w:hint="eastAsia"/>
        </w:rPr>
        <w:t>中国标准化研究院在前期研究基础上，承担了</w:t>
      </w:r>
      <w:r>
        <w:rPr>
          <w:rFonts w:hint="eastAsia"/>
          <w:lang w:eastAsia="zh-CN"/>
        </w:rPr>
        <w:t>“</w:t>
      </w:r>
      <w:r>
        <w:rPr>
          <w:rFonts w:hint="eastAsia"/>
          <w:lang w:val="en-US" w:eastAsia="zh-CN"/>
        </w:rPr>
        <w:t>联合国开发计划署-植物医生生物多样性保护与可持续利用项目”</w:t>
      </w:r>
      <w:r>
        <w:rPr>
          <w:rFonts w:hint="eastAsia"/>
        </w:rPr>
        <w:t>研究，</w:t>
      </w:r>
      <w:r>
        <w:t>提出了该标准的研制。</w:t>
      </w:r>
    </w:p>
    <w:p>
      <w:pPr>
        <w:spacing w:before="156" w:after="156"/>
        <w:ind w:firstLine="480"/>
      </w:pPr>
      <w:r>
        <w:t>本标准起草单位</w:t>
      </w:r>
      <w:r>
        <w:rPr>
          <w:rFonts w:hint="eastAsia"/>
        </w:rPr>
        <w:t>：中国标准化研究院、北京植物医生生物科技有限公司。</w:t>
      </w:r>
    </w:p>
    <w:p>
      <w:pPr>
        <w:spacing w:before="156" w:after="156"/>
        <w:ind w:firstLine="480"/>
      </w:pPr>
      <w:r>
        <w:rPr>
          <w:rFonts w:hint="eastAsia"/>
        </w:rPr>
        <w:t>本标准主要起草人：</w:t>
      </w:r>
      <w:r>
        <w:t xml:space="preserve"> </w:t>
      </w:r>
    </w:p>
    <w:p>
      <w:pPr>
        <w:pStyle w:val="3"/>
        <w:spacing w:before="156" w:after="156"/>
      </w:pPr>
      <w:bookmarkStart w:id="3" w:name="_Toc12753"/>
      <w:r>
        <w:rPr>
          <w:rFonts w:hint="eastAsia"/>
          <w:lang w:val="en-US" w:eastAsia="zh-CN"/>
        </w:rPr>
        <w:t>2</w:t>
      </w:r>
      <w:r>
        <w:t>、标准编制过程</w:t>
      </w:r>
      <w:bookmarkEnd w:id="3"/>
    </w:p>
    <w:p>
      <w:pPr>
        <w:tabs>
          <w:tab w:val="left" w:pos="720"/>
          <w:tab w:val="left" w:pos="2160"/>
          <w:tab w:val="left" w:pos="2880"/>
        </w:tabs>
        <w:spacing w:before="156" w:after="156" w:line="360" w:lineRule="auto"/>
        <w:ind w:firstLine="482"/>
        <w:rPr>
          <w:b/>
        </w:rPr>
      </w:pPr>
      <w:r>
        <w:rPr>
          <w:rFonts w:hint="eastAsia"/>
          <w:b/>
        </w:rPr>
        <w:t>（</w:t>
      </w:r>
      <w:r>
        <w:rPr>
          <w:b/>
        </w:rPr>
        <w:t>1</w:t>
      </w:r>
      <w:r>
        <w:rPr>
          <w:rFonts w:hint="eastAsia"/>
          <w:b/>
        </w:rPr>
        <w:t>）前期研究</w:t>
      </w:r>
    </w:p>
    <w:p>
      <w:pPr>
        <w:tabs>
          <w:tab w:val="left" w:pos="720"/>
          <w:tab w:val="left" w:pos="2160"/>
          <w:tab w:val="left" w:pos="2880"/>
        </w:tabs>
        <w:spacing w:before="156" w:after="156" w:line="360" w:lineRule="auto"/>
        <w:ind w:firstLine="480"/>
        <w:rPr>
          <w:rFonts w:hint="eastAsia" w:ascii="Times New Roman" w:hAnsi="Times New Roman" w:eastAsia="宋体"/>
          <w:sz w:val="24"/>
        </w:rPr>
      </w:pPr>
      <w:r>
        <w:rPr>
          <w:rFonts w:hint="eastAsia" w:ascii="Times New Roman" w:hAnsi="Times New Roman" w:eastAsia="宋体"/>
          <w:sz w:val="24"/>
        </w:rPr>
        <w:t>起草组在前期工作基础上，收集分析了国际相关规范</w:t>
      </w:r>
      <w:r>
        <w:rPr>
          <w:rFonts w:hint="eastAsia" w:ascii="Times New Roman" w:hAnsi="Times New Roman" w:eastAsia="宋体"/>
          <w:sz w:val="24"/>
          <w:lang w:val="en-US" w:eastAsia="zh-CN"/>
        </w:rPr>
        <w:t>标准</w:t>
      </w:r>
      <w:r>
        <w:rPr>
          <w:rFonts w:hint="eastAsia" w:ascii="Times New Roman" w:hAnsi="Times New Roman" w:eastAsia="宋体"/>
          <w:sz w:val="24"/>
        </w:rPr>
        <w:t>，如</w:t>
      </w:r>
      <w:r>
        <w:rPr>
          <w:rFonts w:hint="eastAsia" w:ascii="Times New Roman" w:hAnsi="Times New Roman" w:eastAsia="宋体"/>
          <w:sz w:val="24"/>
          <w:lang w:eastAsia="zh-CN"/>
        </w:rPr>
        <w:t>《</w:t>
      </w:r>
      <w:r>
        <w:rPr>
          <w:rFonts w:hint="eastAsia" w:ascii="Times New Roman" w:hAnsi="Times New Roman" w:eastAsia="宋体"/>
          <w:sz w:val="24"/>
          <w:lang w:val="en-US" w:eastAsia="zh-CN"/>
        </w:rPr>
        <w:t>生物多样性公约</w:t>
      </w:r>
      <w:r>
        <w:rPr>
          <w:rFonts w:hint="eastAsia" w:ascii="Times New Roman" w:hAnsi="Times New Roman" w:eastAsia="宋体"/>
          <w:sz w:val="24"/>
          <w:lang w:eastAsia="zh-CN"/>
        </w:rPr>
        <w:t>》</w:t>
      </w:r>
      <w:r>
        <w:rPr>
          <w:rFonts w:hint="eastAsia" w:ascii="Times New Roman" w:hAnsi="Times New Roman" w:eastAsia="宋体"/>
          <w:sz w:val="24"/>
        </w:rPr>
        <w:t>的</w:t>
      </w:r>
      <w:r>
        <w:rPr>
          <w:rFonts w:hint="eastAsia" w:ascii="Times New Roman" w:hAnsi="Times New Roman" w:eastAsia="宋体"/>
          <w:sz w:val="24"/>
          <w:lang w:val="en-US" w:eastAsia="zh-CN"/>
        </w:rPr>
        <w:t>《企业与生物多样性承诺书》</w:t>
      </w:r>
      <w:r>
        <w:rPr>
          <w:rFonts w:hint="eastAsia" w:ascii="Times New Roman" w:hAnsi="Times New Roman" w:eastAsia="宋体"/>
          <w:sz w:val="24"/>
        </w:rPr>
        <w:t>、ISO 26000</w:t>
      </w:r>
      <w:r>
        <w:rPr>
          <w:rFonts w:hint="eastAsia" w:ascii="Times New Roman" w:hAnsi="Times New Roman" w:eastAsia="宋体"/>
          <w:sz w:val="24"/>
          <w:lang w:val="en-US" w:eastAsia="zh-CN"/>
        </w:rPr>
        <w:t>社会责任指南、全球报告倡议组织的《可持续发展报告指南（G3.1版）》</w:t>
      </w:r>
      <w:r>
        <w:rPr>
          <w:rFonts w:hint="eastAsia" w:ascii="Times New Roman" w:hAnsi="Times New Roman" w:eastAsia="宋体"/>
          <w:sz w:val="24"/>
        </w:rPr>
        <w:t>等。收集整理分析国内的相关标准、文件包括：</w:t>
      </w:r>
      <w:r>
        <w:rPr>
          <w:rFonts w:hint="eastAsia" w:ascii="Times New Roman" w:hAnsi="Times New Roman" w:eastAsia="宋体"/>
          <w:sz w:val="24"/>
          <w:lang w:val="en-US" w:eastAsia="zh-CN"/>
        </w:rPr>
        <w:t xml:space="preserve">GB/T36000 </w:t>
      </w:r>
      <w:r>
        <w:rPr>
          <w:rFonts w:hint="eastAsia" w:ascii="Times New Roman" w:hAnsi="Times New Roman" w:eastAsia="宋体"/>
          <w:sz w:val="24"/>
        </w:rPr>
        <w:t>社会责任指南</w:t>
      </w:r>
      <w:r>
        <w:rPr>
          <w:rFonts w:hint="eastAsia" w:ascii="Times New Roman" w:hAnsi="Times New Roman" w:eastAsia="宋体"/>
          <w:sz w:val="24"/>
          <w:lang w:eastAsia="zh-CN"/>
        </w:rPr>
        <w:t>、GB 8978 污水综合排放标准、GB 16297 大气污染物综合排放标准、GB 18597 危险废物贮存污染控制标准、LY/T 2242 自然保护区建设项目生物多样性影响评价技术规范</w:t>
      </w:r>
      <w:r>
        <w:rPr>
          <w:rFonts w:hint="eastAsia" w:ascii="Times New Roman" w:hAnsi="Times New Roman" w:eastAsia="宋体"/>
          <w:sz w:val="24"/>
        </w:rPr>
        <w:t>等。</w:t>
      </w:r>
    </w:p>
    <w:p>
      <w:pPr>
        <w:spacing w:before="156" w:after="156" w:line="360" w:lineRule="auto"/>
        <w:ind w:firstLine="482"/>
        <w:rPr>
          <w:rFonts w:ascii="宋体"/>
          <w:b/>
          <w:bCs/>
          <w:kern w:val="0"/>
        </w:rPr>
      </w:pPr>
      <w:r>
        <w:rPr>
          <w:rFonts w:hint="eastAsia" w:ascii="宋体" w:hAnsi="宋体"/>
          <w:b/>
          <w:bCs/>
          <w:kern w:val="0"/>
        </w:rPr>
        <w:t>（</w:t>
      </w:r>
      <w:r>
        <w:rPr>
          <w:rFonts w:ascii="宋体" w:hAnsi="宋体"/>
          <w:b/>
          <w:bCs/>
          <w:kern w:val="0"/>
        </w:rPr>
        <w:t>2</w:t>
      </w:r>
      <w:r>
        <w:rPr>
          <w:rFonts w:hint="eastAsia" w:ascii="宋体" w:hAnsi="宋体"/>
          <w:b/>
          <w:bCs/>
          <w:kern w:val="0"/>
        </w:rPr>
        <w:t>）正式启动</w:t>
      </w:r>
    </w:p>
    <w:p>
      <w:pPr>
        <w:spacing w:before="156" w:after="156" w:line="360" w:lineRule="auto"/>
        <w:ind w:firstLine="480"/>
        <w:rPr>
          <w:rFonts w:hint="eastAsia" w:ascii="宋体" w:hAnsi="宋体"/>
          <w:bCs/>
          <w:kern w:val="0"/>
        </w:rPr>
      </w:pPr>
      <w:r>
        <w:rPr>
          <w:rFonts w:hint="eastAsia" w:ascii="宋体" w:hAnsi="宋体"/>
          <w:bCs/>
          <w:kern w:val="0"/>
        </w:rPr>
        <w:t>标准编制组在调研和对参考文献研究的基础上，20</w:t>
      </w:r>
      <w:r>
        <w:rPr>
          <w:rFonts w:hint="eastAsia" w:ascii="宋体" w:hAnsi="宋体"/>
          <w:bCs/>
          <w:kern w:val="0"/>
          <w:lang w:val="en-US" w:eastAsia="zh-CN"/>
        </w:rPr>
        <w:t>21</w:t>
      </w:r>
      <w:r>
        <w:rPr>
          <w:rFonts w:hint="eastAsia" w:ascii="宋体" w:hAnsi="宋体"/>
          <w:bCs/>
          <w:kern w:val="0"/>
        </w:rPr>
        <w:t>年</w:t>
      </w:r>
      <w:r>
        <w:rPr>
          <w:rFonts w:hint="eastAsia" w:ascii="宋体" w:hAnsi="宋体"/>
          <w:bCs/>
          <w:kern w:val="0"/>
          <w:lang w:val="en-US" w:eastAsia="zh-CN"/>
        </w:rPr>
        <w:t>12</w:t>
      </w:r>
      <w:r>
        <w:rPr>
          <w:rFonts w:hint="eastAsia" w:ascii="宋体" w:hAnsi="宋体"/>
          <w:bCs/>
          <w:kern w:val="0"/>
        </w:rPr>
        <w:t>月，确定了标准的章节框架。</w:t>
      </w:r>
    </w:p>
    <w:p>
      <w:pPr>
        <w:spacing w:before="156" w:after="156" w:line="360" w:lineRule="auto"/>
        <w:ind w:firstLine="480"/>
        <w:rPr>
          <w:rFonts w:ascii="宋体"/>
          <w:bCs/>
          <w:kern w:val="0"/>
        </w:rPr>
      </w:pPr>
      <w:r>
        <w:rPr>
          <w:rFonts w:hint="eastAsia" w:ascii="宋体" w:hAnsi="宋体"/>
          <w:bCs/>
          <w:kern w:val="0"/>
        </w:rPr>
        <w:t>20</w:t>
      </w:r>
      <w:r>
        <w:rPr>
          <w:rFonts w:hint="eastAsia" w:ascii="宋体" w:hAnsi="宋体"/>
          <w:bCs/>
          <w:kern w:val="0"/>
          <w:lang w:val="en-US" w:eastAsia="zh-CN"/>
        </w:rPr>
        <w:t>22</w:t>
      </w:r>
      <w:r>
        <w:rPr>
          <w:rFonts w:hint="eastAsia" w:ascii="宋体" w:hAnsi="宋体"/>
          <w:bCs/>
          <w:kern w:val="0"/>
        </w:rPr>
        <w:t>年</w:t>
      </w:r>
      <w:r>
        <w:rPr>
          <w:rFonts w:hint="eastAsia" w:ascii="宋体" w:hAnsi="宋体"/>
          <w:bCs/>
          <w:kern w:val="0"/>
          <w:lang w:val="en-US" w:eastAsia="zh-CN"/>
        </w:rPr>
        <w:t>1</w:t>
      </w:r>
      <w:r>
        <w:rPr>
          <w:rFonts w:hint="eastAsia" w:ascii="宋体" w:hAnsi="宋体"/>
          <w:bCs/>
          <w:kern w:val="0"/>
        </w:rPr>
        <w:t>月至</w:t>
      </w:r>
      <w:r>
        <w:rPr>
          <w:rFonts w:hint="eastAsia" w:ascii="宋体" w:hAnsi="宋体"/>
          <w:bCs/>
          <w:kern w:val="0"/>
          <w:lang w:val="en-US" w:eastAsia="zh-CN"/>
        </w:rPr>
        <w:t>2022</w:t>
      </w:r>
      <w:r>
        <w:rPr>
          <w:rFonts w:hint="eastAsia" w:ascii="宋体" w:hAnsi="宋体"/>
          <w:bCs/>
          <w:kern w:val="0"/>
        </w:rPr>
        <w:t>年</w:t>
      </w:r>
      <w:r>
        <w:rPr>
          <w:rFonts w:hint="eastAsia" w:ascii="宋体" w:hAnsi="宋体"/>
          <w:bCs/>
          <w:kern w:val="0"/>
          <w:lang w:val="en-US" w:eastAsia="zh-CN"/>
        </w:rPr>
        <w:t>8</w:t>
      </w:r>
      <w:bookmarkStart w:id="19" w:name="_GoBack"/>
      <w:bookmarkEnd w:id="19"/>
      <w:r>
        <w:rPr>
          <w:rFonts w:hint="eastAsia" w:ascii="宋体" w:hAnsi="宋体"/>
          <w:bCs/>
          <w:kern w:val="0"/>
        </w:rPr>
        <w:t>月，对标准各章节内容进行细化编制，基本形成标准1稿。</w:t>
      </w:r>
    </w:p>
    <w:p>
      <w:pPr>
        <w:pStyle w:val="2"/>
        <w:spacing w:before="156" w:after="156"/>
        <w:rPr>
          <w:b w:val="0"/>
        </w:rPr>
      </w:pPr>
      <w:bookmarkStart w:id="4" w:name="_Toc29526"/>
      <w:r>
        <w:rPr>
          <w:rFonts w:hint="eastAsia"/>
          <w:b w:val="0"/>
        </w:rPr>
        <w:t>二、标准编制原则和主要内容</w:t>
      </w:r>
      <w:bookmarkEnd w:id="4"/>
    </w:p>
    <w:p>
      <w:pPr>
        <w:pStyle w:val="3"/>
        <w:spacing w:before="156" w:after="156"/>
      </w:pPr>
      <w:bookmarkStart w:id="5" w:name="_Toc16375"/>
      <w:r>
        <w:t>1、编制原则</w:t>
      </w:r>
      <w:bookmarkEnd w:id="5"/>
    </w:p>
    <w:p>
      <w:pPr>
        <w:spacing w:before="156" w:after="156"/>
        <w:ind w:firstLine="480"/>
      </w:pPr>
      <w:r>
        <w:t>本标准的制定工作遵循</w:t>
      </w:r>
      <w:r>
        <w:rPr>
          <w:rFonts w:hint="eastAsia"/>
        </w:rPr>
        <w:t>“</w:t>
      </w:r>
      <w:r>
        <w:rPr>
          <w:rFonts w:hint="eastAsia" w:ascii="宋体" w:hAnsi="Times New Roman" w:cs="Times New Roman"/>
          <w:kern w:val="0"/>
          <w:szCs w:val="20"/>
        </w:rPr>
        <w:t>科学性</w:t>
      </w:r>
      <w:r>
        <w:t>、</w:t>
      </w:r>
      <w:r>
        <w:rPr>
          <w:rFonts w:hint="eastAsia" w:ascii="宋体" w:hAnsi="Times New Roman" w:cs="Times New Roman"/>
          <w:kern w:val="0"/>
          <w:szCs w:val="20"/>
        </w:rPr>
        <w:t>精确</w:t>
      </w:r>
      <w:r>
        <w:t>性、</w:t>
      </w:r>
      <w:r>
        <w:rPr>
          <w:rFonts w:hint="eastAsia" w:ascii="宋体" w:hAnsi="Times New Roman" w:cs="Times New Roman"/>
          <w:kern w:val="0"/>
          <w:szCs w:val="20"/>
        </w:rPr>
        <w:t>可行性</w:t>
      </w:r>
      <w:r>
        <w:t>、</w:t>
      </w:r>
      <w:r>
        <w:rPr>
          <w:rFonts w:hint="eastAsia" w:ascii="宋体" w:hAnsi="Times New Roman" w:cs="Times New Roman"/>
          <w:kern w:val="0"/>
          <w:szCs w:val="20"/>
        </w:rPr>
        <w:t>普适性</w:t>
      </w:r>
      <w:r>
        <w:rPr>
          <w:rFonts w:hint="eastAsia"/>
        </w:rPr>
        <w:t>”</w:t>
      </w:r>
      <w:r>
        <w:t>的原则，按照GB/T 1.1—2020《标准化工作导则 第</w:t>
      </w:r>
      <w:r>
        <w:rPr>
          <w:rFonts w:hint="eastAsia"/>
        </w:rPr>
        <w:t>1</w:t>
      </w:r>
      <w:r>
        <w:t>部分：标准</w:t>
      </w:r>
      <w:r>
        <w:rPr>
          <w:rFonts w:hint="eastAsia"/>
        </w:rPr>
        <w:t>化文件的结构和起草规则</w:t>
      </w:r>
      <w:r>
        <w:t>》给出的规则编写。</w:t>
      </w:r>
    </w:p>
    <w:p>
      <w:pPr>
        <w:pStyle w:val="3"/>
        <w:spacing w:before="156" w:after="156"/>
      </w:pPr>
      <w:bookmarkStart w:id="6" w:name="_Toc31603"/>
      <w:r>
        <w:t>2、主要内容</w:t>
      </w:r>
      <w:bookmarkEnd w:id="6"/>
    </w:p>
    <w:p>
      <w:pPr>
        <w:spacing w:before="156" w:after="156"/>
        <w:ind w:firstLine="480"/>
        <w:rPr>
          <w:rFonts w:hint="eastAsia" w:eastAsia="宋体"/>
        </w:rPr>
      </w:pPr>
      <w:r>
        <w:rPr>
          <w:rFonts w:hint="eastAsia" w:eastAsia="宋体"/>
        </w:rPr>
        <w:t>本标准包括前言、正文以及</w:t>
      </w:r>
      <w:r>
        <w:rPr>
          <w:rFonts w:hint="eastAsia" w:eastAsia="宋体"/>
          <w:lang w:val="en-US" w:eastAsia="zh-CN"/>
        </w:rPr>
        <w:t>参考文献</w:t>
      </w:r>
      <w:r>
        <w:rPr>
          <w:rFonts w:hint="eastAsia" w:eastAsia="宋体"/>
        </w:rPr>
        <w:t>。其中正文分</w:t>
      </w:r>
      <w:r>
        <w:rPr>
          <w:rFonts w:hint="eastAsia" w:eastAsia="宋体"/>
          <w:lang w:val="en-US" w:eastAsia="zh-CN"/>
        </w:rPr>
        <w:t>八</w:t>
      </w:r>
      <w:r>
        <w:rPr>
          <w:rFonts w:hint="eastAsia" w:eastAsia="宋体"/>
        </w:rPr>
        <w:t>章阐述了本标准的范围、规范性引用文件、术语和定义、</w:t>
      </w:r>
      <w:r>
        <w:rPr>
          <w:rFonts w:hint="eastAsia" w:eastAsia="宋体"/>
          <w:lang w:val="en-US" w:eastAsia="zh-CN"/>
        </w:rPr>
        <w:t>原则、生物多样性影响评估、生物多样性管理、生物多样性保护行动、外来物种管理</w:t>
      </w:r>
      <w:r>
        <w:rPr>
          <w:rFonts w:hint="eastAsia" w:eastAsia="宋体"/>
        </w:rPr>
        <w:t>。资料性附录为工业企业重点排放设施示例、监测计划的排放源等级划分及数据要求示例、数据流活动任务列表示例、数据记录管理表示例、计量器具管理表示例。</w:t>
      </w:r>
    </w:p>
    <w:p>
      <w:pPr>
        <w:pStyle w:val="3"/>
        <w:spacing w:before="156" w:after="156"/>
      </w:pPr>
      <w:bookmarkStart w:id="7" w:name="_Toc9747"/>
      <w:r>
        <w:t>3、主要内容的解释和说明</w:t>
      </w:r>
      <w:bookmarkEnd w:id="7"/>
    </w:p>
    <w:p>
      <w:pPr>
        <w:spacing w:before="156" w:after="156"/>
        <w:ind w:firstLine="482"/>
        <w:rPr>
          <w:b/>
        </w:rPr>
      </w:pPr>
      <w:r>
        <w:rPr>
          <w:rFonts w:hint="eastAsia"/>
          <w:b/>
        </w:rPr>
        <w:t>（1）范围</w:t>
      </w:r>
    </w:p>
    <w:p>
      <w:pPr>
        <w:spacing w:before="156" w:after="156"/>
        <w:ind w:firstLine="480"/>
        <w:rPr>
          <w:rFonts w:hint="eastAsia"/>
        </w:rPr>
      </w:pPr>
      <w:r>
        <w:rPr>
          <w:rFonts w:hint="eastAsia"/>
        </w:rPr>
        <w:t>按照前期研究，本标准主要提供了化妆品企业开展原料产地生物多样性保护的原则、生物多样性影响评估、生物多样性管理、生物多样性保护行动、外来物种管理的指南。</w:t>
      </w:r>
    </w:p>
    <w:p>
      <w:pPr>
        <w:spacing w:before="156" w:after="156"/>
        <w:ind w:firstLine="480"/>
      </w:pPr>
      <w:r>
        <w:rPr>
          <w:rFonts w:hint="eastAsia"/>
        </w:rPr>
        <w:t>本规范主要适用于指导化妆品企业开展原料产地生物多样性保护工作。</w:t>
      </w:r>
    </w:p>
    <w:p>
      <w:pPr>
        <w:spacing w:before="156" w:after="156"/>
        <w:ind w:firstLine="482"/>
        <w:rPr>
          <w:b/>
        </w:rPr>
      </w:pPr>
      <w:r>
        <w:rPr>
          <w:rFonts w:hint="eastAsia"/>
          <w:b/>
        </w:rPr>
        <w:t>（2）规范性引用文件</w:t>
      </w:r>
    </w:p>
    <w:p>
      <w:pPr>
        <w:spacing w:before="156" w:after="156"/>
        <w:ind w:firstLine="480"/>
        <w:rPr>
          <w:rFonts w:hint="default"/>
          <w:lang w:val="en-US"/>
        </w:rPr>
      </w:pPr>
      <w:r>
        <w:rPr>
          <w:rFonts w:hint="eastAsia"/>
        </w:rPr>
        <w:t>查阅国内和国际相关标准，最终引用了</w:t>
      </w:r>
      <w:r>
        <w:rPr>
          <w:rFonts w:hint="eastAsia" w:ascii="Times New Roman" w:hAnsi="Times New Roman" w:eastAsia="宋体"/>
          <w:sz w:val="24"/>
          <w:lang w:eastAsia="zh-CN"/>
        </w:rPr>
        <w:t>GB 8978 污水综合排放标准、GB 16297 大气污染物综合排放标准、GB 18597 危险废物贮存污染控制标准、LY/T 2242 自然保护区建设项目生物多样性影响评价技术规范</w:t>
      </w:r>
      <w:r>
        <w:rPr>
          <w:rFonts w:hint="eastAsia" w:ascii="Times New Roman" w:hAnsi="Times New Roman" w:eastAsia="宋体"/>
          <w:sz w:val="24"/>
          <w:lang w:val="en-US" w:eastAsia="zh-CN"/>
        </w:rPr>
        <w:t>四项标准。</w:t>
      </w:r>
    </w:p>
    <w:p>
      <w:pPr>
        <w:spacing w:before="156" w:after="156"/>
        <w:ind w:firstLine="482"/>
        <w:rPr>
          <w:b/>
        </w:rPr>
      </w:pPr>
      <w:r>
        <w:rPr>
          <w:rFonts w:hint="eastAsia"/>
          <w:b/>
        </w:rPr>
        <w:t>（3）术语和定义</w:t>
      </w:r>
    </w:p>
    <w:p>
      <w:pPr>
        <w:spacing w:before="156" w:after="156"/>
        <w:ind w:firstLine="480"/>
      </w:pPr>
      <w:r>
        <w:rPr>
          <w:rFonts w:hint="eastAsia"/>
        </w:rPr>
        <w:t>本标准给出了</w:t>
      </w:r>
      <w:r>
        <w:rPr>
          <w:rFonts w:hint="eastAsia"/>
          <w:lang w:val="en-US" w:eastAsia="zh-CN"/>
        </w:rPr>
        <w:t>5</w:t>
      </w:r>
      <w:r>
        <w:rPr>
          <w:rFonts w:hint="eastAsia"/>
        </w:rPr>
        <w:t>条术语和定义，包括生物多样性、原料产地、生物多样性评估、影响区和外来物种。</w:t>
      </w:r>
    </w:p>
    <w:p>
      <w:pPr>
        <w:numPr>
          <w:ilvl w:val="0"/>
          <w:numId w:val="0"/>
        </w:numPr>
        <w:spacing w:before="156" w:after="156"/>
        <w:ind w:left="480" w:leftChars="0"/>
        <w:rPr>
          <w:rFonts w:hint="eastAsia"/>
        </w:rPr>
      </w:pPr>
      <w:r>
        <w:rPr>
          <w:rFonts w:hint="eastAsia" w:ascii="仿宋" w:hAnsi="仿宋" w:eastAsia="仿宋" w:cs="仿宋"/>
        </w:rPr>
        <w:t>ⅰ</w:t>
      </w:r>
      <w:r>
        <w:rPr>
          <w:rFonts w:hint="eastAsia" w:ascii="仿宋" w:hAnsi="仿宋" w:eastAsia="仿宋" w:cs="仿宋"/>
          <w:lang w:val="en-US" w:eastAsia="zh-CN"/>
        </w:rPr>
        <w:t xml:space="preserve">. </w:t>
      </w:r>
      <w:r>
        <w:rPr>
          <w:rFonts w:hint="eastAsia"/>
        </w:rPr>
        <w:t>生物多样性 biodiversity</w:t>
      </w:r>
    </w:p>
    <w:p>
      <w:pPr>
        <w:spacing w:before="156" w:after="156"/>
        <w:ind w:firstLine="482"/>
        <w:rPr>
          <w:rFonts w:hint="eastAsia"/>
        </w:rPr>
      </w:pPr>
      <w:r>
        <w:rPr>
          <w:rFonts w:hint="eastAsia"/>
        </w:rPr>
        <w:t>各种生物之间的变异性或多样性，包括陆地、海洋及其他水生生态系统，以及生态系统中各组成部分间复杂的生态过程。这种多样化包括种内、种间和生态系统多样性。生物多样性分为三个层次，它们是遗传多样性、物种多样性和生态系统多样性。</w:t>
      </w:r>
    </w:p>
    <w:p>
      <w:pPr>
        <w:spacing w:before="156" w:after="156"/>
        <w:ind w:firstLine="482"/>
        <w:rPr>
          <w:rFonts w:hint="eastAsia"/>
        </w:rPr>
      </w:pPr>
      <w:r>
        <w:rPr>
          <w:rFonts w:hint="eastAsia" w:ascii="仿宋" w:hAnsi="仿宋" w:eastAsia="仿宋" w:cs="仿宋"/>
        </w:rPr>
        <w:t>ⅱ</w:t>
      </w:r>
      <w:r>
        <w:rPr>
          <w:rFonts w:hint="eastAsia"/>
          <w:lang w:eastAsia="zh-CN"/>
        </w:rPr>
        <w:t>.</w:t>
      </w:r>
      <w:r>
        <w:rPr>
          <w:rFonts w:hint="eastAsia"/>
        </w:rPr>
        <w:t xml:space="preserve"> 原料产地 raw material production areas </w:t>
      </w:r>
    </w:p>
    <w:p>
      <w:pPr>
        <w:spacing w:before="156" w:after="156"/>
        <w:ind w:firstLine="482"/>
        <w:rPr>
          <w:rFonts w:hint="eastAsia"/>
        </w:rPr>
      </w:pPr>
      <w:r>
        <w:rPr>
          <w:rFonts w:hint="eastAsia"/>
        </w:rPr>
        <w:t>化妆品企业生产所用植物原料的最初生产地。</w:t>
      </w:r>
    </w:p>
    <w:p>
      <w:pPr>
        <w:spacing w:before="156" w:after="156"/>
        <w:ind w:firstLine="482"/>
        <w:rPr>
          <w:rFonts w:hint="eastAsia"/>
        </w:rPr>
      </w:pPr>
      <w:r>
        <w:rPr>
          <w:rFonts w:hint="eastAsia" w:ascii="仿宋" w:hAnsi="仿宋" w:eastAsia="仿宋" w:cs="仿宋"/>
        </w:rPr>
        <w:t>ⅲ</w:t>
      </w:r>
      <w:r>
        <w:rPr>
          <w:rFonts w:hint="eastAsia" w:eastAsia="仿宋"/>
          <w:lang w:val="en-US" w:eastAsia="zh-CN"/>
        </w:rPr>
        <w:t xml:space="preserve">. </w:t>
      </w:r>
      <w:r>
        <w:rPr>
          <w:rFonts w:hint="eastAsia"/>
        </w:rPr>
        <w:t xml:space="preserve">生物多样性评估 biodiversity assessment </w:t>
      </w:r>
    </w:p>
    <w:p>
      <w:pPr>
        <w:spacing w:before="156" w:after="156"/>
        <w:ind w:firstLine="482"/>
        <w:rPr>
          <w:rFonts w:hint="eastAsia"/>
        </w:rPr>
      </w:pPr>
      <w:r>
        <w:rPr>
          <w:rFonts w:hint="eastAsia"/>
        </w:rPr>
        <w:t>以生物多样性保护和可持续利用为目的而开展的基因、物种和生态系统多样性调查和评价活动。</w:t>
      </w:r>
    </w:p>
    <w:p>
      <w:pPr>
        <w:spacing w:before="156" w:after="156"/>
        <w:ind w:firstLine="482"/>
        <w:rPr>
          <w:rFonts w:hint="eastAsia"/>
        </w:rPr>
      </w:pPr>
      <w:r>
        <w:rPr>
          <w:rFonts w:hint="eastAsia" w:ascii="仿宋" w:hAnsi="仿宋" w:eastAsia="仿宋" w:cs="仿宋"/>
        </w:rPr>
        <w:t>ⅳ</w:t>
      </w:r>
      <w:r>
        <w:rPr>
          <w:rFonts w:hint="eastAsia" w:eastAsia="仿宋"/>
          <w:lang w:val="en-US" w:eastAsia="zh-CN"/>
        </w:rPr>
        <w:t xml:space="preserve">. </w:t>
      </w:r>
      <w:r>
        <w:rPr>
          <w:rFonts w:hint="eastAsia"/>
        </w:rPr>
        <w:t xml:space="preserve">影响区 impact area </w:t>
      </w:r>
    </w:p>
    <w:p>
      <w:pPr>
        <w:spacing w:before="156" w:after="156"/>
        <w:ind w:firstLine="482"/>
        <w:rPr>
          <w:rFonts w:hint="eastAsia"/>
        </w:rPr>
      </w:pPr>
      <w:r>
        <w:rPr>
          <w:rFonts w:hint="eastAsia"/>
        </w:rPr>
        <w:t>根据项目特点划定的可能对生物多样性产生直接和简介影响的地理空间范围。</w:t>
      </w:r>
    </w:p>
    <w:p>
      <w:pPr>
        <w:spacing w:before="156" w:after="156"/>
        <w:ind w:firstLine="482"/>
        <w:rPr>
          <w:rFonts w:hint="eastAsia"/>
        </w:rPr>
      </w:pPr>
      <w:r>
        <w:rPr>
          <w:rFonts w:hint="eastAsia" w:ascii="仿宋" w:hAnsi="仿宋" w:eastAsia="仿宋" w:cs="仿宋"/>
        </w:rPr>
        <w:t>ⅴ</w:t>
      </w:r>
      <w:r>
        <w:rPr>
          <w:rFonts w:hint="eastAsia" w:ascii="仿宋" w:hAnsi="仿宋" w:eastAsia="仿宋" w:cs="仿宋"/>
          <w:lang w:val="en-US" w:eastAsia="zh-CN"/>
        </w:rPr>
        <w:t xml:space="preserve">. </w:t>
      </w:r>
      <w:r>
        <w:rPr>
          <w:rFonts w:hint="eastAsia"/>
        </w:rPr>
        <w:t xml:space="preserve">外来物种 alien species </w:t>
      </w:r>
    </w:p>
    <w:p>
      <w:pPr>
        <w:spacing w:before="156" w:after="156"/>
        <w:ind w:firstLine="482"/>
        <w:rPr>
          <w:rFonts w:hint="eastAsia"/>
        </w:rPr>
      </w:pPr>
      <w:r>
        <w:rPr>
          <w:rFonts w:hint="eastAsia"/>
        </w:rPr>
        <w:t>出现在其过去或现在的自然分布范围及潜在扩散范围以外的种、亚种或一下的分类单元，包括该物种所有可能存活繁殖的部分、配子或繁殖体。</w:t>
      </w:r>
    </w:p>
    <w:p>
      <w:pPr>
        <w:spacing w:before="156" w:after="156"/>
        <w:ind w:firstLine="482"/>
        <w:rPr>
          <w:b/>
        </w:rPr>
      </w:pPr>
      <w:r>
        <w:rPr>
          <w:rFonts w:hint="eastAsia"/>
          <w:b/>
        </w:rPr>
        <w:t>（4）原则</w:t>
      </w:r>
    </w:p>
    <w:p>
      <w:pPr>
        <w:spacing w:before="156" w:after="156"/>
        <w:ind w:firstLine="482"/>
        <w:rPr>
          <w:rFonts w:hint="eastAsia" w:eastAsia="宋体"/>
        </w:rPr>
      </w:pPr>
      <w:r>
        <w:rPr>
          <w:rFonts w:hint="eastAsia" w:eastAsia="宋体"/>
        </w:rPr>
        <w:t>这一章</w:t>
      </w:r>
      <w:r>
        <w:rPr>
          <w:rFonts w:hint="eastAsia" w:eastAsia="宋体"/>
          <w:lang w:val="en-US" w:eastAsia="zh-CN"/>
        </w:rPr>
        <w:t>为化妆品企业开展生物多样性保护工作</w:t>
      </w:r>
      <w:r>
        <w:rPr>
          <w:rFonts w:hint="eastAsia" w:eastAsia="宋体"/>
        </w:rPr>
        <w:t>的主要原则。</w:t>
      </w:r>
    </w:p>
    <w:p>
      <w:pPr>
        <w:spacing w:before="156" w:after="156"/>
        <w:ind w:firstLine="482"/>
        <w:rPr>
          <w:rFonts w:hint="default" w:eastAsia="宋体"/>
          <w:lang w:val="en-US" w:eastAsia="zh-CN"/>
        </w:rPr>
      </w:pPr>
      <w:r>
        <w:rPr>
          <w:rFonts w:hint="eastAsia" w:ascii="仿宋" w:hAnsi="仿宋" w:eastAsia="仿宋" w:cs="仿宋"/>
        </w:rPr>
        <w:t>ⅰ</w:t>
      </w:r>
      <w:r>
        <w:rPr>
          <w:rFonts w:hint="eastAsia" w:ascii="仿宋" w:hAnsi="仿宋" w:eastAsia="仿宋" w:cs="仿宋"/>
          <w:lang w:val="en-US" w:eastAsia="zh-CN"/>
        </w:rPr>
        <w:t>.</w:t>
      </w:r>
      <w:r>
        <w:rPr>
          <w:rFonts w:hint="eastAsia" w:eastAsia="宋体"/>
          <w:lang w:val="en-US" w:eastAsia="zh-CN"/>
        </w:rPr>
        <w:t xml:space="preserve"> 科学性原则。化妆品企业应坚持严谨的科学态度，采用科学的技术方法，开展生物多样性的保护工作。</w:t>
      </w:r>
    </w:p>
    <w:p>
      <w:pPr>
        <w:spacing w:before="156" w:after="156"/>
        <w:ind w:firstLine="482"/>
        <w:rPr>
          <w:rFonts w:hint="eastAsia" w:eastAsia="宋体"/>
          <w:lang w:val="en-US" w:eastAsia="zh-CN"/>
        </w:rPr>
      </w:pPr>
      <w:r>
        <w:rPr>
          <w:rFonts w:hint="eastAsia" w:ascii="仿宋" w:hAnsi="仿宋" w:eastAsia="仿宋" w:cs="仿宋"/>
        </w:rPr>
        <w:t>ⅱ</w:t>
      </w:r>
      <w:r>
        <w:rPr>
          <w:rFonts w:hint="eastAsia"/>
          <w:lang w:eastAsia="zh-CN"/>
        </w:rPr>
        <w:t>.</w:t>
      </w:r>
      <w:r>
        <w:rPr>
          <w:rFonts w:hint="eastAsia" w:eastAsia="宋体"/>
          <w:lang w:val="en-US" w:eastAsia="zh-CN"/>
        </w:rPr>
        <w:t xml:space="preserve"> 可操作性原则。化妆品企业生物多样性保护应易操作、可有效应用。</w:t>
      </w:r>
    </w:p>
    <w:p>
      <w:pPr>
        <w:spacing w:before="156" w:after="156"/>
        <w:ind w:firstLine="482"/>
        <w:rPr>
          <w:rFonts w:hint="eastAsia" w:eastAsia="宋体"/>
          <w:lang w:val="en-US" w:eastAsia="zh-CN"/>
        </w:rPr>
      </w:pPr>
      <w:r>
        <w:rPr>
          <w:rFonts w:hint="eastAsia" w:ascii="仿宋" w:hAnsi="仿宋" w:eastAsia="仿宋" w:cs="仿宋"/>
        </w:rPr>
        <w:t>ⅲ</w:t>
      </w:r>
      <w:r>
        <w:rPr>
          <w:rFonts w:hint="eastAsia" w:eastAsia="仿宋"/>
          <w:lang w:val="en-US" w:eastAsia="zh-CN"/>
        </w:rPr>
        <w:t>.</w:t>
      </w:r>
      <w:r>
        <w:rPr>
          <w:rFonts w:hint="eastAsia" w:eastAsia="宋体"/>
          <w:lang w:val="en-US" w:eastAsia="zh-CN"/>
        </w:rPr>
        <w:t xml:space="preserve"> 公开性原则。化妆品企业生物多样性保护工作应遵循公开、透明以及多方参与的原则。</w:t>
      </w:r>
    </w:p>
    <w:p>
      <w:pPr>
        <w:spacing w:before="156" w:after="156"/>
        <w:ind w:firstLine="482"/>
        <w:rPr>
          <w:b/>
        </w:rPr>
      </w:pPr>
      <w:r>
        <w:rPr>
          <w:rFonts w:hint="eastAsia"/>
          <w:b/>
        </w:rPr>
        <w:t>（5）生物多样性影响评估</w:t>
      </w:r>
    </w:p>
    <w:p>
      <w:pPr>
        <w:spacing w:before="156" w:after="156"/>
        <w:ind w:firstLine="480"/>
        <w:rPr>
          <w:rFonts w:hint="eastAsia" w:ascii="Arial" w:hAnsi="Arial" w:eastAsia="宋体" w:cs="Arial"/>
          <w:kern w:val="0"/>
          <w:szCs w:val="21"/>
          <w:lang w:eastAsia="zh-CN"/>
        </w:rPr>
      </w:pPr>
      <w:r>
        <w:rPr>
          <w:rFonts w:hint="eastAsia"/>
        </w:rPr>
        <w:t>本章主要</w:t>
      </w:r>
      <w:r>
        <w:rPr>
          <w:rFonts w:hint="eastAsia"/>
          <w:lang w:val="en-US" w:eastAsia="zh-CN"/>
        </w:rPr>
        <w:t>提出了</w:t>
      </w:r>
      <w:r>
        <w:rPr>
          <w:rFonts w:hint="eastAsia" w:eastAsia="宋体"/>
          <w:lang w:val="en-US" w:eastAsia="zh-CN"/>
        </w:rPr>
        <w:t>化妆品企业项目启动前宜开展项目生物多样性影响评估</w:t>
      </w:r>
      <w:r>
        <w:rPr>
          <w:rFonts w:hint="eastAsia" w:ascii="Arial" w:hAnsi="Arial" w:cs="Arial"/>
          <w:kern w:val="0"/>
          <w:szCs w:val="21"/>
        </w:rPr>
        <w:t>。</w:t>
      </w:r>
      <w:r>
        <w:rPr>
          <w:rFonts w:hint="eastAsia" w:ascii="Arial" w:hAnsi="Arial" w:cs="Arial"/>
          <w:kern w:val="0"/>
          <w:szCs w:val="21"/>
          <w:lang w:val="en-US" w:eastAsia="zh-CN"/>
        </w:rPr>
        <w:t>具体提出了</w:t>
      </w:r>
      <w:r>
        <w:rPr>
          <w:rFonts w:hint="eastAsia" w:ascii="Arial" w:hAnsi="Arial" w:cs="Arial"/>
          <w:kern w:val="0"/>
          <w:szCs w:val="21"/>
        </w:rPr>
        <w:t>化妆品企业可参照LY/T 2242-2014，评价在其原料产地影响区由于土地使用和业务活动所产生生物多样性影响的风险和实际情况</w:t>
      </w:r>
      <w:r>
        <w:rPr>
          <w:rFonts w:hint="eastAsia" w:ascii="Arial" w:hAnsi="Arial" w:cs="Arial"/>
          <w:kern w:val="0"/>
          <w:szCs w:val="21"/>
          <w:lang w:eastAsia="zh-CN"/>
        </w:rPr>
        <w:t>；</w:t>
      </w:r>
      <w:r>
        <w:rPr>
          <w:rFonts w:hint="eastAsia" w:ascii="Arial" w:hAnsi="Arial" w:cs="Arial"/>
          <w:kern w:val="0"/>
          <w:szCs w:val="21"/>
        </w:rPr>
        <w:t>化妆品企业宜有规划流程，有助于识别法定保护区的存在，以及受实体运营影响的周边地区中具有生物多样性保护优先权的区域</w:t>
      </w:r>
      <w:r>
        <w:rPr>
          <w:rFonts w:hint="eastAsia" w:ascii="Arial" w:hAnsi="Arial" w:cs="Arial"/>
          <w:kern w:val="0"/>
          <w:szCs w:val="21"/>
          <w:lang w:eastAsia="zh-CN"/>
        </w:rPr>
        <w:t>；</w:t>
      </w:r>
      <w:r>
        <w:rPr>
          <w:rFonts w:hint="eastAsia" w:ascii="Arial" w:hAnsi="Arial" w:cs="Arial"/>
          <w:kern w:val="0"/>
          <w:szCs w:val="21"/>
        </w:rPr>
        <w:t>宜考虑化妆品企业实体影响关联设施造成影响的能力，尤其是那些主要为支持实体活动而存在的关联设施</w:t>
      </w:r>
      <w:r>
        <w:rPr>
          <w:rFonts w:hint="eastAsia" w:ascii="Arial" w:hAnsi="Arial" w:cs="Arial"/>
          <w:kern w:val="0"/>
          <w:szCs w:val="21"/>
          <w:lang w:eastAsia="zh-CN"/>
        </w:rPr>
        <w:t>；</w:t>
      </w:r>
      <w:r>
        <w:rPr>
          <w:rFonts w:hint="eastAsia" w:ascii="Arial" w:hAnsi="Arial" w:cs="Arial"/>
          <w:kern w:val="0"/>
          <w:szCs w:val="21"/>
        </w:rPr>
        <w:t>化妆品企业宜在生物多样性信息有限的原料产地开展广泛的实地调查工作，开展更详细的研究，以识别和评估生物多样性高值区的风险和影响</w:t>
      </w:r>
      <w:r>
        <w:rPr>
          <w:rFonts w:hint="eastAsia" w:ascii="Arial" w:hAnsi="Arial" w:cs="Arial"/>
          <w:kern w:val="0"/>
          <w:szCs w:val="21"/>
          <w:lang w:eastAsia="zh-CN"/>
        </w:rPr>
        <w:t>；</w:t>
      </w:r>
      <w:r>
        <w:rPr>
          <w:rFonts w:hint="eastAsia" w:ascii="Arial" w:hAnsi="Arial" w:cs="Arial"/>
          <w:kern w:val="0"/>
          <w:szCs w:val="21"/>
        </w:rPr>
        <w:t>评估结果如出现</w:t>
      </w:r>
      <w:r>
        <w:rPr>
          <w:rFonts w:hint="eastAsia" w:ascii="Arial" w:hAnsi="Arial" w:cs="Arial"/>
          <w:kern w:val="0"/>
          <w:szCs w:val="21"/>
          <w:lang w:val="en-US" w:eastAsia="zh-CN"/>
        </w:rPr>
        <w:t>重大生物多样性风险</w:t>
      </w:r>
      <w:r>
        <w:rPr>
          <w:rFonts w:hint="eastAsia" w:ascii="Arial" w:hAnsi="Arial" w:cs="Arial"/>
          <w:kern w:val="0"/>
          <w:szCs w:val="21"/>
        </w:rPr>
        <w:t>，宜终止项目建设</w:t>
      </w:r>
      <w:r>
        <w:rPr>
          <w:rFonts w:hint="eastAsia" w:ascii="Arial" w:hAnsi="Arial" w:cs="Arial"/>
          <w:kern w:val="0"/>
          <w:szCs w:val="21"/>
          <w:lang w:eastAsia="zh-CN"/>
        </w:rPr>
        <w:t>。</w:t>
      </w:r>
    </w:p>
    <w:p>
      <w:pPr>
        <w:spacing w:before="156" w:after="156"/>
        <w:ind w:firstLine="482"/>
        <w:rPr>
          <w:b/>
        </w:rPr>
      </w:pPr>
      <w:r>
        <w:rPr>
          <w:rFonts w:hint="eastAsia"/>
          <w:b/>
        </w:rPr>
        <w:t>（6）生物多样性管理</w:t>
      </w:r>
    </w:p>
    <w:p>
      <w:pPr>
        <w:spacing w:before="156" w:after="156"/>
        <w:ind w:firstLine="480"/>
        <w:rPr>
          <w:rFonts w:hint="eastAsia" w:eastAsia="宋体"/>
          <w:lang w:eastAsia="zh-CN"/>
        </w:rPr>
      </w:pPr>
      <w:r>
        <w:rPr>
          <w:rFonts w:hint="eastAsia"/>
        </w:rPr>
        <w:t>本章主要</w:t>
      </w:r>
      <w:r>
        <w:rPr>
          <w:rFonts w:hint="eastAsia"/>
          <w:lang w:val="en-US" w:eastAsia="zh-CN"/>
        </w:rPr>
        <w:t>提出了</w:t>
      </w:r>
      <w:r>
        <w:rPr>
          <w:rFonts w:hint="eastAsia" w:eastAsia="宋体"/>
          <w:lang w:val="en-US" w:eastAsia="zh-CN"/>
        </w:rPr>
        <w:t>化妆品企业宜开展的管理措施</w:t>
      </w:r>
      <w:r>
        <w:rPr>
          <w:rFonts w:hint="eastAsia" w:eastAsia="宋体"/>
          <w:lang w:eastAsia="zh-CN"/>
        </w:rPr>
        <w:t>。</w:t>
      </w:r>
      <w:r>
        <w:rPr>
          <w:rFonts w:hint="eastAsia"/>
        </w:rPr>
        <w:t>包括</w:t>
      </w:r>
      <w:r>
        <w:rPr>
          <w:rFonts w:hint="eastAsia" w:ascii="Arial" w:hAnsi="Arial" w:cs="Arial"/>
          <w:kern w:val="0"/>
          <w:szCs w:val="21"/>
        </w:rPr>
        <w:t>企业宜建立生物多样性管理的总体决策框架，认可生物多样性的重要性，设立具体保护目标，承诺在长期运营以及所有项目中认真负责地管理生物多样性</w:t>
      </w:r>
      <w:r>
        <w:rPr>
          <w:rFonts w:hint="eastAsia" w:ascii="Arial" w:hAnsi="Arial" w:cs="Arial"/>
          <w:kern w:val="0"/>
          <w:szCs w:val="21"/>
          <w:lang w:eastAsia="zh-CN"/>
        </w:rPr>
        <w:t>；</w:t>
      </w:r>
      <w:r>
        <w:rPr>
          <w:rFonts w:hint="eastAsia" w:ascii="Arial" w:hAnsi="Arial" w:cs="Arial"/>
          <w:kern w:val="0"/>
          <w:szCs w:val="21"/>
        </w:rPr>
        <w:t>评估项目带来的生物多样性风险，识别影响因素以及消减负面影响的可能性</w:t>
      </w:r>
      <w:r>
        <w:rPr>
          <w:rFonts w:hint="eastAsia" w:ascii="Arial" w:hAnsi="Arial" w:cs="Arial"/>
          <w:kern w:val="0"/>
          <w:szCs w:val="21"/>
          <w:lang w:eastAsia="zh-CN"/>
        </w:rPr>
        <w:t>；</w:t>
      </w:r>
      <w:r>
        <w:rPr>
          <w:rFonts w:hint="eastAsia" w:ascii="Arial" w:hAnsi="Arial" w:cs="Arial"/>
          <w:kern w:val="0"/>
          <w:szCs w:val="21"/>
        </w:rPr>
        <w:t>开展的风险评估反映出生物多样性的实质风险时，宜制定生物多样性行动计划</w:t>
      </w:r>
      <w:r>
        <w:rPr>
          <w:rFonts w:hint="eastAsia" w:ascii="Arial" w:hAnsi="Arial" w:cs="Arial"/>
          <w:kern w:val="0"/>
          <w:szCs w:val="21"/>
          <w:lang w:eastAsia="zh-CN"/>
        </w:rPr>
        <w:t>；</w:t>
      </w:r>
      <w:r>
        <w:rPr>
          <w:rFonts w:hint="eastAsia" w:ascii="Arial" w:hAnsi="Arial" w:cs="Arial"/>
          <w:kern w:val="0"/>
          <w:szCs w:val="21"/>
        </w:rPr>
        <w:t>确保与风险级别对应的生态影响管控措施</w:t>
      </w:r>
      <w:r>
        <w:rPr>
          <w:rFonts w:hint="eastAsia"/>
          <w:lang w:eastAsia="zh-CN"/>
        </w:rPr>
        <w:t>；监测在项目运作过程中生物多样性的变化；将生物多样性保护策略和目标延伸至整个制度安排，从企业运营各个方面配合实施；跟踪计划的执行和有效性，定期评审并根据新的风险信息更新生物多样性行动计划，按照预期目标评价它的进展和成果；编写报告，记录项目现场生物多样性价值、保护生物多样性的成效以及最终效果；化妆品企业宜开展生物多样性信息披露，宜与利益相关方共享，并公开发布、定期更新。</w:t>
      </w:r>
    </w:p>
    <w:p>
      <w:pPr>
        <w:spacing w:before="156" w:after="156"/>
        <w:ind w:firstLine="482"/>
        <w:rPr>
          <w:b/>
        </w:rPr>
      </w:pPr>
      <w:r>
        <w:rPr>
          <w:rFonts w:hint="eastAsia"/>
          <w:b/>
        </w:rPr>
        <w:t>（7）生物多样性保护行动</w:t>
      </w:r>
    </w:p>
    <w:p>
      <w:pPr>
        <w:spacing w:before="156" w:after="156"/>
        <w:ind w:firstLine="480"/>
        <w:rPr>
          <w:rFonts w:hint="eastAsia" w:eastAsia="宋体"/>
          <w:lang w:eastAsia="zh-CN"/>
        </w:rPr>
      </w:pPr>
      <w:r>
        <w:rPr>
          <w:rFonts w:hint="eastAsia"/>
        </w:rPr>
        <w:t>本章</w:t>
      </w:r>
      <w:r>
        <w:rPr>
          <w:rFonts w:hint="eastAsia"/>
          <w:lang w:val="en-US" w:eastAsia="zh-CN"/>
        </w:rPr>
        <w:t>提出了</w:t>
      </w:r>
      <w:r>
        <w:rPr>
          <w:rFonts w:hint="eastAsia" w:eastAsia="宋体"/>
          <w:lang w:val="en-US" w:eastAsia="zh-CN"/>
        </w:rPr>
        <w:t>化妆品企业可开展的</w:t>
      </w:r>
      <w:r>
        <w:rPr>
          <w:rFonts w:hint="eastAsia"/>
          <w:lang w:val="en-US" w:eastAsia="zh-CN"/>
        </w:rPr>
        <w:t>生物多样性保护行动</w:t>
      </w:r>
      <w:r>
        <w:rPr>
          <w:rFonts w:hint="eastAsia"/>
        </w:rPr>
        <w:t>。</w:t>
      </w:r>
      <w:r>
        <w:rPr>
          <w:rFonts w:hint="eastAsia"/>
          <w:lang w:val="en-US" w:eastAsia="zh-CN"/>
        </w:rPr>
        <w:t>包括</w:t>
      </w:r>
      <w:bookmarkStart w:id="8" w:name="_Hlk44403451"/>
      <w:r>
        <w:rPr>
          <w:rFonts w:hint="eastAsia"/>
        </w:rPr>
        <w:t>企业在保证项目正常建设与运营的同时，最大限度的降低对原料产地生态环境的破坏，为动植物提供良好的栖息、活动环境，保护动植物栖息地</w:t>
      </w:r>
      <w:r>
        <w:rPr>
          <w:rFonts w:hint="eastAsia"/>
          <w:lang w:eastAsia="zh-CN"/>
        </w:rPr>
        <w:t>；</w:t>
      </w:r>
      <w:r>
        <w:rPr>
          <w:rFonts w:hint="eastAsia"/>
        </w:rPr>
        <w:t>将自然栖息地、湿地、森林、野生动物走廊、保护区和农业用地的保护融入项目的开发过程</w:t>
      </w:r>
      <w:r>
        <w:rPr>
          <w:rFonts w:hint="eastAsia"/>
          <w:lang w:eastAsia="zh-CN"/>
        </w:rPr>
        <w:t>；</w:t>
      </w:r>
      <w:r>
        <w:rPr>
          <w:rFonts w:hint="eastAsia"/>
        </w:rPr>
        <w:t>采取措施加强原料产地适应气候变化能力，提高生态系统韧性</w:t>
      </w:r>
      <w:r>
        <w:rPr>
          <w:rFonts w:hint="eastAsia"/>
          <w:lang w:eastAsia="zh-CN"/>
        </w:rPr>
        <w:t>；</w:t>
      </w:r>
      <w:r>
        <w:rPr>
          <w:rFonts w:hint="eastAsia"/>
        </w:rPr>
        <w:t>根据其自身属性选择力所能及的行动方案，通过对生态系统和自然生境就地保护或移地保护，通过维持恢复物种在其自然环境中有生存力的群体</w:t>
      </w:r>
      <w:r>
        <w:rPr>
          <w:rFonts w:hint="eastAsia"/>
          <w:lang w:eastAsia="zh-CN"/>
        </w:rPr>
        <w:t>；</w:t>
      </w:r>
      <w:r>
        <w:rPr>
          <w:rFonts w:hint="eastAsia"/>
        </w:rPr>
        <w:t>在项目建设与运营中做到节能减排，发展循环经济，提高资源可持续利用</w:t>
      </w:r>
      <w:r>
        <w:rPr>
          <w:rFonts w:hint="eastAsia"/>
          <w:lang w:eastAsia="zh-CN"/>
        </w:rPr>
        <w:t>；</w:t>
      </w:r>
      <w:r>
        <w:rPr>
          <w:rFonts w:hint="eastAsia"/>
        </w:rPr>
        <w:t>建立并实施关于土地、水资源和生态系统的综合管理战略，以社会公平的方式促进土地、水资源和生态系统的保护和可持续利用</w:t>
      </w:r>
      <w:r>
        <w:rPr>
          <w:rFonts w:hint="eastAsia"/>
          <w:lang w:eastAsia="zh-CN"/>
        </w:rPr>
        <w:t>；</w:t>
      </w:r>
      <w:r>
        <w:rPr>
          <w:rFonts w:hint="eastAsia"/>
        </w:rPr>
        <w:t>减少对环境的影响</w:t>
      </w:r>
      <w:r>
        <w:rPr>
          <w:rFonts w:hint="eastAsia"/>
          <w:lang w:eastAsia="zh-CN"/>
        </w:rPr>
        <w:t>；通过公平公正的获取与惠益共享等多种方式，倡导原料产地原住民等开展生物多样性保护，担负社会责任。</w:t>
      </w:r>
    </w:p>
    <w:bookmarkEnd w:id="8"/>
    <w:p>
      <w:pPr>
        <w:spacing w:before="156" w:after="156"/>
        <w:ind w:firstLine="482"/>
        <w:rPr>
          <w:b/>
        </w:rPr>
      </w:pPr>
      <w:r>
        <w:rPr>
          <w:rFonts w:hint="eastAsia"/>
          <w:b/>
        </w:rPr>
        <w:t>（8）外来物种管理</w:t>
      </w:r>
    </w:p>
    <w:p>
      <w:pPr>
        <w:spacing w:before="156" w:after="156"/>
        <w:ind w:firstLine="480"/>
        <w:rPr>
          <w:rFonts w:hint="eastAsia" w:ascii="宋体" w:eastAsia="宋体"/>
          <w:kern w:val="0"/>
          <w:szCs w:val="20"/>
          <w:lang w:eastAsia="zh-CN"/>
        </w:rPr>
      </w:pPr>
      <w:r>
        <w:rPr>
          <w:rFonts w:hint="eastAsia"/>
        </w:rPr>
        <w:t>针对化妆品企业利用植物提取而获利的自身属性，</w:t>
      </w:r>
      <w:r>
        <w:rPr>
          <w:rFonts w:hint="eastAsia"/>
          <w:lang w:val="en-US" w:eastAsia="zh-CN"/>
        </w:rPr>
        <w:t>本章</w:t>
      </w:r>
      <w:r>
        <w:rPr>
          <w:rFonts w:hint="eastAsia"/>
        </w:rPr>
        <w:t>特别强调宜开展外来物种的管理</w:t>
      </w:r>
      <w:r>
        <w:rPr>
          <w:rFonts w:hint="eastAsia"/>
          <w:lang w:eastAsia="zh-CN"/>
        </w:rPr>
        <w:t>。</w:t>
      </w:r>
      <w:r>
        <w:rPr>
          <w:rFonts w:hint="eastAsia"/>
          <w:lang w:val="en-US" w:eastAsia="zh-CN"/>
        </w:rPr>
        <w:t>包括</w:t>
      </w:r>
      <w:r>
        <w:rPr>
          <w:rFonts w:hint="eastAsia"/>
          <w:lang w:eastAsia="zh-CN"/>
        </w:rPr>
        <w:t>化妆品企业宜积极预防因自身生产需要对外来物种的特意或意外引进，可能会对生物多样性造成的重大负面影响；可根据Global Invasive Species Database全球侵入性物种数据库GISD评价外来物种。重点放在威胁原料产地生物多样性和自然生态系统的侵入性物种，覆盖所有生态系统中从微生物到动植物这一切亚种类别；当化妆品企业控制地存在外来物种可能对生物多样性造成重大负面影响时，宜识别并实施措施预防外来物种的扩散；当化妆品企业因生产需要考虑特意引入外来物种时，宜开展环境影响评估，以证明该物种不会对原料产地生态系统和生物多样性造成负面影响。</w:t>
      </w:r>
    </w:p>
    <w:p>
      <w:pPr>
        <w:pStyle w:val="2"/>
        <w:spacing w:before="156" w:after="156"/>
        <w:rPr>
          <w:b w:val="0"/>
        </w:rPr>
      </w:pPr>
      <w:bookmarkStart w:id="9" w:name="_Toc2918"/>
      <w:r>
        <w:rPr>
          <w:rFonts w:hint="eastAsia"/>
          <w:b w:val="0"/>
        </w:rPr>
        <w:t>三、主要试验（或标准验证）情况、分析、综述报告，技术经济论证可行性分析和预期的经济效果</w:t>
      </w:r>
      <w:bookmarkEnd w:id="9"/>
    </w:p>
    <w:p>
      <w:pPr>
        <w:pStyle w:val="3"/>
        <w:spacing w:before="156" w:after="156"/>
      </w:pPr>
      <w:bookmarkStart w:id="10" w:name="_Toc30340"/>
      <w:r>
        <w:rPr>
          <w:rFonts w:hint="eastAsia"/>
        </w:rPr>
        <w:t>1、标准验证情况</w:t>
      </w:r>
      <w:bookmarkEnd w:id="10"/>
    </w:p>
    <w:p>
      <w:pPr>
        <w:spacing w:before="156" w:after="156"/>
        <w:ind w:firstLine="480"/>
        <w:rPr>
          <w:rFonts w:hint="eastAsia" w:eastAsia="宋体"/>
        </w:rPr>
      </w:pPr>
      <w:r>
        <w:rPr>
          <w:rFonts w:hint="eastAsia" w:eastAsia="宋体"/>
        </w:rPr>
        <w:t>正在验证过程中。</w:t>
      </w:r>
    </w:p>
    <w:p>
      <w:pPr>
        <w:pStyle w:val="3"/>
        <w:spacing w:before="156" w:after="156"/>
      </w:pPr>
      <w:bookmarkStart w:id="11" w:name="_Toc17364"/>
      <w:r>
        <w:t>2</w:t>
      </w:r>
      <w:r>
        <w:rPr>
          <w:rFonts w:hint="eastAsia"/>
        </w:rPr>
        <w:t>、标准经济性论证</w:t>
      </w:r>
      <w:bookmarkEnd w:id="11"/>
    </w:p>
    <w:p>
      <w:pPr>
        <w:spacing w:before="156" w:after="156"/>
        <w:ind w:firstLine="480"/>
        <w:rPr>
          <w:rFonts w:hint="eastAsia" w:eastAsia="宋体"/>
        </w:rPr>
      </w:pPr>
      <w:r>
        <w:rPr>
          <w:rFonts w:hint="eastAsia" w:eastAsia="宋体"/>
        </w:rPr>
        <w:t>本标准是一项基础标准，主要用于</w:t>
      </w:r>
      <w:r>
        <w:rPr>
          <w:rFonts w:hint="eastAsia"/>
        </w:rPr>
        <w:t>指导化妆品企业开展原料产地生物多样性保护工作。</w:t>
      </w:r>
    </w:p>
    <w:p>
      <w:pPr>
        <w:pStyle w:val="3"/>
        <w:spacing w:before="156" w:after="156"/>
      </w:pPr>
      <w:bookmarkStart w:id="12" w:name="_Toc20502"/>
      <w:r>
        <w:t>3</w:t>
      </w:r>
      <w:r>
        <w:rPr>
          <w:rFonts w:hint="eastAsia"/>
        </w:rPr>
        <w:t>、预期的经济效果</w:t>
      </w:r>
      <w:bookmarkEnd w:id="12"/>
    </w:p>
    <w:p>
      <w:pPr>
        <w:spacing w:before="156" w:after="156"/>
        <w:ind w:firstLine="480"/>
      </w:pPr>
      <w:r>
        <w:rPr>
          <w:rFonts w:hint="eastAsia"/>
        </w:rPr>
        <w:t>标准的经济效果</w:t>
      </w:r>
      <w:r>
        <w:rPr>
          <w:rFonts w:hint="eastAsia"/>
          <w:lang w:val="en-US" w:eastAsia="zh-CN"/>
        </w:rPr>
        <w:t>于其可降低能源消耗、节约用水量、减少资源消耗，降低生产成本，提升企业社会责任，提升品牌自然效应与认知度，赋能企业资本扩增</w:t>
      </w:r>
      <w:r>
        <w:rPr>
          <w:rFonts w:hint="eastAsia"/>
        </w:rPr>
        <w:t>。</w:t>
      </w:r>
    </w:p>
    <w:p>
      <w:pPr>
        <w:pStyle w:val="2"/>
        <w:spacing w:before="156" w:after="156"/>
        <w:rPr>
          <w:b w:val="0"/>
        </w:rPr>
      </w:pPr>
      <w:bookmarkStart w:id="13" w:name="_Toc11821"/>
      <w:r>
        <w:rPr>
          <w:rFonts w:hint="eastAsia"/>
          <w:b w:val="0"/>
        </w:rPr>
        <w:t>四、采用国际标准和国外先进标准的情况，与国际、国内同类标准水平的对比情况</w:t>
      </w:r>
      <w:bookmarkEnd w:id="13"/>
    </w:p>
    <w:p>
      <w:pPr>
        <w:spacing w:before="156" w:after="156"/>
        <w:ind w:firstLine="480"/>
      </w:pPr>
      <w:r>
        <w:rPr>
          <w:rFonts w:hint="eastAsia"/>
        </w:rPr>
        <w:t>本标准未采用国际标准，但本标准参考了</w:t>
      </w:r>
      <w:r>
        <w:rPr>
          <w:rFonts w:hint="eastAsia" w:ascii="Times New Roman" w:hAnsi="Times New Roman" w:eastAsia="宋体"/>
          <w:sz w:val="24"/>
        </w:rPr>
        <w:t>ISO 26000</w:t>
      </w:r>
      <w:r>
        <w:rPr>
          <w:rFonts w:hint="eastAsia" w:ascii="Times New Roman" w:hAnsi="Times New Roman" w:eastAsia="宋体"/>
          <w:sz w:val="24"/>
          <w:lang w:val="en-US" w:eastAsia="zh-CN"/>
        </w:rPr>
        <w:t>社会责任指南</w:t>
      </w:r>
      <w:r>
        <w:rPr>
          <w:rFonts w:hint="eastAsia" w:ascii="Times New Roman" w:hAnsi="Times New Roman"/>
        </w:rPr>
        <w:t>。本标准与上述国际标准相比，更加具体且适合中国的国情，与中国国内的政策实现有效衔接，同时具备科学性、准确性、可操作性等特点，达到国内先进水平。</w:t>
      </w:r>
    </w:p>
    <w:p>
      <w:pPr>
        <w:pStyle w:val="2"/>
        <w:spacing w:before="156" w:after="156"/>
        <w:rPr>
          <w:b w:val="0"/>
        </w:rPr>
      </w:pPr>
      <w:bookmarkStart w:id="14" w:name="_Toc11522"/>
      <w:r>
        <w:rPr>
          <w:rFonts w:hint="eastAsia"/>
          <w:b w:val="0"/>
        </w:rPr>
        <w:t>五、与有关的现行法律、法规和强制性国家标准的关系</w:t>
      </w:r>
      <w:bookmarkEnd w:id="14"/>
    </w:p>
    <w:p>
      <w:pPr>
        <w:spacing w:before="156" w:after="156"/>
        <w:ind w:firstLine="480"/>
      </w:pPr>
      <w:r>
        <w:rPr>
          <w:rFonts w:hint="eastAsia"/>
        </w:rPr>
        <w:t>本标准与相关法律、法规、规章及相关标准协调一致，没有冲突。</w:t>
      </w:r>
    </w:p>
    <w:p>
      <w:pPr>
        <w:pStyle w:val="2"/>
        <w:spacing w:before="156" w:after="156"/>
        <w:rPr>
          <w:b w:val="0"/>
        </w:rPr>
      </w:pPr>
      <w:bookmarkStart w:id="15" w:name="_Toc16422"/>
      <w:r>
        <w:rPr>
          <w:rFonts w:hint="eastAsia"/>
          <w:b w:val="0"/>
        </w:rPr>
        <w:t>六、重大分歧意见的处理经过和依据</w:t>
      </w:r>
      <w:bookmarkEnd w:id="15"/>
    </w:p>
    <w:p>
      <w:pPr>
        <w:spacing w:before="156" w:after="156"/>
        <w:ind w:firstLine="480"/>
      </w:pPr>
      <w:r>
        <w:rPr>
          <w:rFonts w:hint="eastAsia"/>
        </w:rPr>
        <w:t>无。</w:t>
      </w:r>
    </w:p>
    <w:p>
      <w:pPr>
        <w:pStyle w:val="2"/>
        <w:spacing w:before="156" w:after="156"/>
        <w:rPr>
          <w:b w:val="0"/>
        </w:rPr>
      </w:pPr>
      <w:bookmarkStart w:id="16" w:name="_Toc1795"/>
      <w:r>
        <w:rPr>
          <w:rFonts w:hint="eastAsia"/>
          <w:b w:val="0"/>
          <w:lang w:val="en-US" w:eastAsia="zh-CN"/>
        </w:rPr>
        <w:t>七</w:t>
      </w:r>
      <w:r>
        <w:rPr>
          <w:rFonts w:hint="eastAsia"/>
          <w:b w:val="0"/>
        </w:rPr>
        <w:t>、贯彻标准的要求和措施建议</w:t>
      </w:r>
      <w:bookmarkEnd w:id="16"/>
    </w:p>
    <w:p>
      <w:pPr>
        <w:spacing w:before="156" w:after="156"/>
        <w:ind w:firstLine="480"/>
        <w:rPr>
          <w:rFonts w:hint="default" w:eastAsia="宋体"/>
          <w:lang w:val="en-US" w:eastAsia="zh-CN"/>
        </w:rPr>
      </w:pPr>
      <w:r>
        <w:rPr>
          <w:rFonts w:hint="eastAsia" w:eastAsia="宋体"/>
          <w:lang w:val="en-US" w:eastAsia="zh-CN"/>
        </w:rPr>
        <w:t>无。</w:t>
      </w:r>
    </w:p>
    <w:p>
      <w:pPr>
        <w:pStyle w:val="2"/>
        <w:spacing w:before="156" w:after="156"/>
        <w:rPr>
          <w:b w:val="0"/>
        </w:rPr>
      </w:pPr>
      <w:bookmarkStart w:id="17" w:name="_Toc25600"/>
      <w:r>
        <w:rPr>
          <w:rFonts w:hint="eastAsia"/>
          <w:b w:val="0"/>
          <w:lang w:val="en-US" w:eastAsia="zh-CN"/>
        </w:rPr>
        <w:t>八</w:t>
      </w:r>
      <w:r>
        <w:rPr>
          <w:rFonts w:hint="eastAsia"/>
          <w:b w:val="0"/>
        </w:rPr>
        <w:t>、废止现行有关标准的建议</w:t>
      </w:r>
      <w:bookmarkEnd w:id="17"/>
    </w:p>
    <w:p>
      <w:pPr>
        <w:spacing w:before="156" w:after="156"/>
        <w:ind w:firstLine="480"/>
      </w:pPr>
      <w:r>
        <w:rPr>
          <w:rFonts w:hint="eastAsia"/>
        </w:rPr>
        <w:t>无。</w:t>
      </w:r>
    </w:p>
    <w:p>
      <w:pPr>
        <w:pStyle w:val="2"/>
        <w:spacing w:before="156" w:after="156"/>
        <w:rPr>
          <w:b w:val="0"/>
        </w:rPr>
      </w:pPr>
      <w:bookmarkStart w:id="18" w:name="_Toc24834"/>
      <w:r>
        <w:rPr>
          <w:rFonts w:hint="eastAsia"/>
          <w:b w:val="0"/>
          <w:lang w:val="en-US" w:eastAsia="zh-CN"/>
        </w:rPr>
        <w:t>九</w:t>
      </w:r>
      <w:r>
        <w:rPr>
          <w:rFonts w:hint="eastAsia"/>
          <w:b w:val="0"/>
        </w:rPr>
        <w:t>、其他应予说明的事项</w:t>
      </w:r>
      <w:bookmarkEnd w:id="18"/>
    </w:p>
    <w:p>
      <w:pPr>
        <w:spacing w:before="156" w:after="156"/>
        <w:ind w:firstLine="480"/>
      </w:pPr>
      <w:r>
        <w:rPr>
          <w:rFonts w:hint="eastAsia"/>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3842"/>
    </w:sdtPr>
    <w:sdtContent>
      <w:p>
        <w:pPr>
          <w:pStyle w:val="11"/>
          <w:spacing w:before="120" w:after="120"/>
          <w:ind w:firstLine="360"/>
          <w:jc w:val="center"/>
        </w:pPr>
        <w:r>
          <w:fldChar w:fldCharType="begin"/>
        </w:r>
        <w:r>
          <w:instrText xml:space="preserve">PAGE   \* MERGEFORMAT</w:instrText>
        </w:r>
        <w:r>
          <w:fldChar w:fldCharType="separate"/>
        </w:r>
        <w:r>
          <w:rPr>
            <w:lang w:val="zh-CN"/>
          </w:rPr>
          <w:t>13</w:t>
        </w:r>
        <w:r>
          <w:fldChar w:fldCharType="end"/>
        </w:r>
      </w:p>
    </w:sdtContent>
  </w:sdt>
  <w:p>
    <w:pPr>
      <w:pStyle w:val="11"/>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50"/>
    <w:rsid w:val="00002FCB"/>
    <w:rsid w:val="0001117A"/>
    <w:rsid w:val="00024E71"/>
    <w:rsid w:val="00026535"/>
    <w:rsid w:val="0004051B"/>
    <w:rsid w:val="00050900"/>
    <w:rsid w:val="000535EC"/>
    <w:rsid w:val="00061AA8"/>
    <w:rsid w:val="00080142"/>
    <w:rsid w:val="00080988"/>
    <w:rsid w:val="000B57BB"/>
    <w:rsid w:val="000C2C6F"/>
    <w:rsid w:val="000C5625"/>
    <w:rsid w:val="000C79D2"/>
    <w:rsid w:val="000D459A"/>
    <w:rsid w:val="000E1FE9"/>
    <w:rsid w:val="000F1A64"/>
    <w:rsid w:val="000F30D5"/>
    <w:rsid w:val="00104C3B"/>
    <w:rsid w:val="00113C5B"/>
    <w:rsid w:val="00132CE6"/>
    <w:rsid w:val="00161102"/>
    <w:rsid w:val="00167B62"/>
    <w:rsid w:val="00171DE8"/>
    <w:rsid w:val="00176F41"/>
    <w:rsid w:val="00182DB2"/>
    <w:rsid w:val="001842CF"/>
    <w:rsid w:val="00191F6F"/>
    <w:rsid w:val="001A0219"/>
    <w:rsid w:val="001C760B"/>
    <w:rsid w:val="001F4617"/>
    <w:rsid w:val="001F743F"/>
    <w:rsid w:val="002257C8"/>
    <w:rsid w:val="00237988"/>
    <w:rsid w:val="00244FED"/>
    <w:rsid w:val="00246ABD"/>
    <w:rsid w:val="00250188"/>
    <w:rsid w:val="00270B22"/>
    <w:rsid w:val="00283F1C"/>
    <w:rsid w:val="00284ADC"/>
    <w:rsid w:val="002851F8"/>
    <w:rsid w:val="00287ECE"/>
    <w:rsid w:val="00292533"/>
    <w:rsid w:val="002959AB"/>
    <w:rsid w:val="00297ABE"/>
    <w:rsid w:val="002A0766"/>
    <w:rsid w:val="002A31CC"/>
    <w:rsid w:val="002A438C"/>
    <w:rsid w:val="002A66A1"/>
    <w:rsid w:val="002C26B8"/>
    <w:rsid w:val="002D0364"/>
    <w:rsid w:val="002D3EEB"/>
    <w:rsid w:val="002D5791"/>
    <w:rsid w:val="002E0793"/>
    <w:rsid w:val="002E1ACD"/>
    <w:rsid w:val="002F1AD0"/>
    <w:rsid w:val="002F1C7D"/>
    <w:rsid w:val="002F5255"/>
    <w:rsid w:val="002F70F8"/>
    <w:rsid w:val="00303F6F"/>
    <w:rsid w:val="00323C54"/>
    <w:rsid w:val="00325420"/>
    <w:rsid w:val="00332382"/>
    <w:rsid w:val="00335EF5"/>
    <w:rsid w:val="00344A5B"/>
    <w:rsid w:val="0035570E"/>
    <w:rsid w:val="0038156D"/>
    <w:rsid w:val="00392878"/>
    <w:rsid w:val="003945AE"/>
    <w:rsid w:val="003A5ABC"/>
    <w:rsid w:val="003A751A"/>
    <w:rsid w:val="003B3513"/>
    <w:rsid w:val="003B64B8"/>
    <w:rsid w:val="003C560C"/>
    <w:rsid w:val="003C5BED"/>
    <w:rsid w:val="003C702A"/>
    <w:rsid w:val="003D3CFE"/>
    <w:rsid w:val="003D3E15"/>
    <w:rsid w:val="003D4ED9"/>
    <w:rsid w:val="003D5560"/>
    <w:rsid w:val="003D7C73"/>
    <w:rsid w:val="003E74A3"/>
    <w:rsid w:val="003F30F0"/>
    <w:rsid w:val="00405206"/>
    <w:rsid w:val="00411B6E"/>
    <w:rsid w:val="004212D4"/>
    <w:rsid w:val="00433C6C"/>
    <w:rsid w:val="00452073"/>
    <w:rsid w:val="00452D9F"/>
    <w:rsid w:val="00456EF7"/>
    <w:rsid w:val="00463A62"/>
    <w:rsid w:val="00465216"/>
    <w:rsid w:val="004750E7"/>
    <w:rsid w:val="00475E39"/>
    <w:rsid w:val="00485E58"/>
    <w:rsid w:val="00493553"/>
    <w:rsid w:val="004A3D99"/>
    <w:rsid w:val="004D0153"/>
    <w:rsid w:val="004E4860"/>
    <w:rsid w:val="004F2BAA"/>
    <w:rsid w:val="004F5761"/>
    <w:rsid w:val="004F74C5"/>
    <w:rsid w:val="00501124"/>
    <w:rsid w:val="00502813"/>
    <w:rsid w:val="00502F59"/>
    <w:rsid w:val="0050522E"/>
    <w:rsid w:val="005250E4"/>
    <w:rsid w:val="005336A7"/>
    <w:rsid w:val="005438C0"/>
    <w:rsid w:val="005533B1"/>
    <w:rsid w:val="00555516"/>
    <w:rsid w:val="0055748F"/>
    <w:rsid w:val="005716B7"/>
    <w:rsid w:val="0057622B"/>
    <w:rsid w:val="00583819"/>
    <w:rsid w:val="005848A0"/>
    <w:rsid w:val="005A2AFC"/>
    <w:rsid w:val="005B2C60"/>
    <w:rsid w:val="005B30AB"/>
    <w:rsid w:val="005B6D0A"/>
    <w:rsid w:val="005C38D9"/>
    <w:rsid w:val="005C41DB"/>
    <w:rsid w:val="005C534D"/>
    <w:rsid w:val="005D20D4"/>
    <w:rsid w:val="005E3816"/>
    <w:rsid w:val="005F4D50"/>
    <w:rsid w:val="00601F31"/>
    <w:rsid w:val="00605E21"/>
    <w:rsid w:val="00615452"/>
    <w:rsid w:val="00622EF7"/>
    <w:rsid w:val="00625389"/>
    <w:rsid w:val="0063173B"/>
    <w:rsid w:val="006429EF"/>
    <w:rsid w:val="006452F6"/>
    <w:rsid w:val="006637DA"/>
    <w:rsid w:val="00664745"/>
    <w:rsid w:val="00666831"/>
    <w:rsid w:val="006805EF"/>
    <w:rsid w:val="00690D62"/>
    <w:rsid w:val="00690F2F"/>
    <w:rsid w:val="006C5AC9"/>
    <w:rsid w:val="006E32AC"/>
    <w:rsid w:val="006E63CB"/>
    <w:rsid w:val="006F38BA"/>
    <w:rsid w:val="00701475"/>
    <w:rsid w:val="0072622B"/>
    <w:rsid w:val="00755807"/>
    <w:rsid w:val="00757BD1"/>
    <w:rsid w:val="00771162"/>
    <w:rsid w:val="007925F1"/>
    <w:rsid w:val="007932B2"/>
    <w:rsid w:val="007B243B"/>
    <w:rsid w:val="007B4D77"/>
    <w:rsid w:val="007B7C7E"/>
    <w:rsid w:val="007C5DF9"/>
    <w:rsid w:val="007C6C7E"/>
    <w:rsid w:val="007D3F3C"/>
    <w:rsid w:val="007E68BA"/>
    <w:rsid w:val="007F4D58"/>
    <w:rsid w:val="007F54EC"/>
    <w:rsid w:val="007F743B"/>
    <w:rsid w:val="007F7BCE"/>
    <w:rsid w:val="008037AA"/>
    <w:rsid w:val="00816175"/>
    <w:rsid w:val="00856A8E"/>
    <w:rsid w:val="00856AB6"/>
    <w:rsid w:val="008803B7"/>
    <w:rsid w:val="00884D3D"/>
    <w:rsid w:val="00892793"/>
    <w:rsid w:val="00897550"/>
    <w:rsid w:val="00897AF7"/>
    <w:rsid w:val="008A774A"/>
    <w:rsid w:val="008B1792"/>
    <w:rsid w:val="008B431F"/>
    <w:rsid w:val="008C1AD2"/>
    <w:rsid w:val="008C5116"/>
    <w:rsid w:val="008F6A37"/>
    <w:rsid w:val="009079DE"/>
    <w:rsid w:val="00916EC5"/>
    <w:rsid w:val="00926B67"/>
    <w:rsid w:val="00946D3E"/>
    <w:rsid w:val="009506D1"/>
    <w:rsid w:val="00967F80"/>
    <w:rsid w:val="00971836"/>
    <w:rsid w:val="009A17FC"/>
    <w:rsid w:val="009B05FB"/>
    <w:rsid w:val="009C6CC4"/>
    <w:rsid w:val="009C78BB"/>
    <w:rsid w:val="009D00F1"/>
    <w:rsid w:val="009D0267"/>
    <w:rsid w:val="009D3779"/>
    <w:rsid w:val="009F2DBD"/>
    <w:rsid w:val="009F577A"/>
    <w:rsid w:val="009F7A55"/>
    <w:rsid w:val="00A1539A"/>
    <w:rsid w:val="00A15580"/>
    <w:rsid w:val="00A1782F"/>
    <w:rsid w:val="00A20BBB"/>
    <w:rsid w:val="00A21C53"/>
    <w:rsid w:val="00A22956"/>
    <w:rsid w:val="00A23471"/>
    <w:rsid w:val="00A26DA0"/>
    <w:rsid w:val="00A35E7C"/>
    <w:rsid w:val="00A40594"/>
    <w:rsid w:val="00A462E8"/>
    <w:rsid w:val="00A523EB"/>
    <w:rsid w:val="00A57770"/>
    <w:rsid w:val="00A65CE3"/>
    <w:rsid w:val="00A718D4"/>
    <w:rsid w:val="00A7339C"/>
    <w:rsid w:val="00A7415F"/>
    <w:rsid w:val="00A76D88"/>
    <w:rsid w:val="00A87381"/>
    <w:rsid w:val="00AB2D64"/>
    <w:rsid w:val="00AD5211"/>
    <w:rsid w:val="00AD7B8F"/>
    <w:rsid w:val="00AE5A28"/>
    <w:rsid w:val="00AF6C4D"/>
    <w:rsid w:val="00B126F3"/>
    <w:rsid w:val="00B1543D"/>
    <w:rsid w:val="00B205CD"/>
    <w:rsid w:val="00B241C2"/>
    <w:rsid w:val="00B34A02"/>
    <w:rsid w:val="00B34C4B"/>
    <w:rsid w:val="00B4466C"/>
    <w:rsid w:val="00B45BCE"/>
    <w:rsid w:val="00B55DE5"/>
    <w:rsid w:val="00B64A47"/>
    <w:rsid w:val="00B8170A"/>
    <w:rsid w:val="00B8699A"/>
    <w:rsid w:val="00B93554"/>
    <w:rsid w:val="00BA6C58"/>
    <w:rsid w:val="00BB7026"/>
    <w:rsid w:val="00BC1910"/>
    <w:rsid w:val="00BD15A6"/>
    <w:rsid w:val="00BD3B40"/>
    <w:rsid w:val="00BF2ED4"/>
    <w:rsid w:val="00C0541C"/>
    <w:rsid w:val="00C072F7"/>
    <w:rsid w:val="00C16009"/>
    <w:rsid w:val="00C16055"/>
    <w:rsid w:val="00C17213"/>
    <w:rsid w:val="00C23F72"/>
    <w:rsid w:val="00C53324"/>
    <w:rsid w:val="00C5370D"/>
    <w:rsid w:val="00C71F7E"/>
    <w:rsid w:val="00C8073E"/>
    <w:rsid w:val="00CA4B35"/>
    <w:rsid w:val="00CE230B"/>
    <w:rsid w:val="00CF01D1"/>
    <w:rsid w:val="00CF371A"/>
    <w:rsid w:val="00CF521C"/>
    <w:rsid w:val="00D15A80"/>
    <w:rsid w:val="00D16E73"/>
    <w:rsid w:val="00D23AA8"/>
    <w:rsid w:val="00D453C3"/>
    <w:rsid w:val="00D51BC6"/>
    <w:rsid w:val="00D53331"/>
    <w:rsid w:val="00D550C0"/>
    <w:rsid w:val="00D559C3"/>
    <w:rsid w:val="00D620A2"/>
    <w:rsid w:val="00D746D0"/>
    <w:rsid w:val="00D76768"/>
    <w:rsid w:val="00DA08EF"/>
    <w:rsid w:val="00DA3D91"/>
    <w:rsid w:val="00DC18A3"/>
    <w:rsid w:val="00DD303D"/>
    <w:rsid w:val="00DD79BF"/>
    <w:rsid w:val="00DF0ADB"/>
    <w:rsid w:val="00DF3AEE"/>
    <w:rsid w:val="00DF504A"/>
    <w:rsid w:val="00E11A50"/>
    <w:rsid w:val="00E172B1"/>
    <w:rsid w:val="00E17E18"/>
    <w:rsid w:val="00E2225E"/>
    <w:rsid w:val="00E342F3"/>
    <w:rsid w:val="00E40457"/>
    <w:rsid w:val="00E4765E"/>
    <w:rsid w:val="00E54458"/>
    <w:rsid w:val="00E608C4"/>
    <w:rsid w:val="00E63CAC"/>
    <w:rsid w:val="00E829BB"/>
    <w:rsid w:val="00E85393"/>
    <w:rsid w:val="00EB30EB"/>
    <w:rsid w:val="00EB5333"/>
    <w:rsid w:val="00EB6108"/>
    <w:rsid w:val="00EC43F4"/>
    <w:rsid w:val="00ED1B6B"/>
    <w:rsid w:val="00ED3F8A"/>
    <w:rsid w:val="00F017B0"/>
    <w:rsid w:val="00F03562"/>
    <w:rsid w:val="00F112C5"/>
    <w:rsid w:val="00F147EE"/>
    <w:rsid w:val="00F16A35"/>
    <w:rsid w:val="00F35E90"/>
    <w:rsid w:val="00F42E6F"/>
    <w:rsid w:val="00F512FA"/>
    <w:rsid w:val="00F71E6D"/>
    <w:rsid w:val="00F7409E"/>
    <w:rsid w:val="00F77738"/>
    <w:rsid w:val="00F80957"/>
    <w:rsid w:val="00F823B2"/>
    <w:rsid w:val="00F850CF"/>
    <w:rsid w:val="00F96ADE"/>
    <w:rsid w:val="00FB3F63"/>
    <w:rsid w:val="00FC13FC"/>
    <w:rsid w:val="00FC3A35"/>
    <w:rsid w:val="00FC75B8"/>
    <w:rsid w:val="00FE31FD"/>
    <w:rsid w:val="00FF1DF1"/>
    <w:rsid w:val="00FF712D"/>
    <w:rsid w:val="0B6D42E9"/>
    <w:rsid w:val="31CF4452"/>
    <w:rsid w:val="332B3E35"/>
    <w:rsid w:val="334B1CE8"/>
    <w:rsid w:val="67F03F75"/>
    <w:rsid w:val="69BD4139"/>
    <w:rsid w:val="744B1213"/>
    <w:rsid w:val="7D13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80" w:lineRule="exact"/>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3"/>
    <w:qFormat/>
    <w:uiPriority w:val="9"/>
    <w:pPr>
      <w:keepNext/>
      <w:keepLines/>
      <w:spacing w:line="480" w:lineRule="auto"/>
      <w:ind w:firstLine="0" w:firstLineChars="0"/>
      <w:outlineLvl w:val="0"/>
    </w:pPr>
    <w:rPr>
      <w:rFonts w:eastAsia="黑体"/>
      <w:b/>
      <w:bCs/>
      <w:kern w:val="44"/>
      <w:sz w:val="28"/>
      <w:szCs w:val="44"/>
    </w:rPr>
  </w:style>
  <w:style w:type="paragraph" w:styleId="3">
    <w:name w:val="heading 2"/>
    <w:basedOn w:val="1"/>
    <w:next w:val="1"/>
    <w:link w:val="26"/>
    <w:unhideWhenUsed/>
    <w:qFormat/>
    <w:uiPriority w:val="9"/>
    <w:pPr>
      <w:keepNext/>
      <w:keepLines/>
      <w:spacing w:line="360" w:lineRule="auto"/>
      <w:ind w:firstLine="0" w:firstLineChars="0"/>
      <w:outlineLvl w:val="1"/>
    </w:pPr>
    <w:rPr>
      <w:rFonts w:eastAsia="黑体" w:asciiTheme="majorHAnsi" w:hAnsiTheme="majorHAnsi" w:cstheme="majorBidi"/>
      <w:b/>
      <w:bCs/>
      <w:snapToGrid w:val="0"/>
      <w:kern w:val="0"/>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440"/>
      <w:jc w:val="left"/>
    </w:pPr>
    <w:rPr>
      <w:rFonts w:eastAsiaTheme="minorHAnsi"/>
      <w:sz w:val="18"/>
      <w:szCs w:val="18"/>
    </w:rPr>
  </w:style>
  <w:style w:type="paragraph" w:styleId="5">
    <w:name w:val="Document Map"/>
    <w:basedOn w:val="1"/>
    <w:link w:val="29"/>
    <w:semiHidden/>
    <w:unhideWhenUsed/>
    <w:qFormat/>
    <w:uiPriority w:val="99"/>
    <w:rPr>
      <w:rFonts w:ascii="宋体"/>
      <w:sz w:val="18"/>
      <w:szCs w:val="18"/>
    </w:rPr>
  </w:style>
  <w:style w:type="paragraph" w:styleId="6">
    <w:name w:val="annotation text"/>
    <w:basedOn w:val="1"/>
    <w:link w:val="36"/>
    <w:semiHidden/>
    <w:unhideWhenUsed/>
    <w:qFormat/>
    <w:uiPriority w:val="99"/>
    <w:pPr>
      <w:jc w:val="left"/>
    </w:pPr>
  </w:style>
  <w:style w:type="paragraph" w:styleId="7">
    <w:name w:val="toc 5"/>
    <w:basedOn w:val="1"/>
    <w:next w:val="1"/>
    <w:unhideWhenUsed/>
    <w:qFormat/>
    <w:uiPriority w:val="39"/>
    <w:pPr>
      <w:ind w:left="960"/>
      <w:jc w:val="left"/>
    </w:pPr>
    <w:rPr>
      <w:rFonts w:eastAsiaTheme="minorHAnsi"/>
      <w:sz w:val="18"/>
      <w:szCs w:val="18"/>
    </w:rPr>
  </w:style>
  <w:style w:type="paragraph" w:styleId="8">
    <w:name w:val="toc 3"/>
    <w:basedOn w:val="1"/>
    <w:next w:val="1"/>
    <w:unhideWhenUsed/>
    <w:qFormat/>
    <w:uiPriority w:val="39"/>
    <w:pPr>
      <w:ind w:left="480"/>
      <w:jc w:val="left"/>
    </w:pPr>
    <w:rPr>
      <w:rFonts w:eastAsiaTheme="minorHAnsi"/>
      <w:i/>
      <w:iCs/>
      <w:sz w:val="22"/>
    </w:rPr>
  </w:style>
  <w:style w:type="paragraph" w:styleId="9">
    <w:name w:val="toc 8"/>
    <w:basedOn w:val="1"/>
    <w:next w:val="1"/>
    <w:unhideWhenUsed/>
    <w:qFormat/>
    <w:uiPriority w:val="39"/>
    <w:pPr>
      <w:ind w:left="1680"/>
      <w:jc w:val="left"/>
    </w:pPr>
    <w:rPr>
      <w:rFonts w:eastAsiaTheme="minorHAnsi"/>
      <w:sz w:val="18"/>
      <w:szCs w:val="18"/>
    </w:rPr>
  </w:style>
  <w:style w:type="paragraph" w:styleId="10">
    <w:name w:val="Balloon Text"/>
    <w:basedOn w:val="1"/>
    <w:link w:val="35"/>
    <w:semiHidden/>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pPr>
      <w:spacing w:before="120"/>
      <w:jc w:val="left"/>
    </w:pPr>
    <w:rPr>
      <w:rFonts w:eastAsiaTheme="minorHAnsi"/>
      <w:b/>
      <w:bCs/>
      <w:caps/>
      <w:sz w:val="22"/>
    </w:rPr>
  </w:style>
  <w:style w:type="paragraph" w:styleId="14">
    <w:name w:val="toc 4"/>
    <w:basedOn w:val="1"/>
    <w:next w:val="1"/>
    <w:unhideWhenUsed/>
    <w:qFormat/>
    <w:uiPriority w:val="39"/>
    <w:pPr>
      <w:ind w:left="720"/>
      <w:jc w:val="left"/>
    </w:pPr>
    <w:rPr>
      <w:rFonts w:eastAsiaTheme="minorHAnsi"/>
      <w:sz w:val="18"/>
      <w:szCs w:val="18"/>
    </w:rPr>
  </w:style>
  <w:style w:type="paragraph" w:styleId="15">
    <w:name w:val="toc 6"/>
    <w:basedOn w:val="1"/>
    <w:next w:val="1"/>
    <w:unhideWhenUsed/>
    <w:qFormat/>
    <w:uiPriority w:val="39"/>
    <w:pPr>
      <w:ind w:left="1200"/>
      <w:jc w:val="left"/>
    </w:pPr>
    <w:rPr>
      <w:rFonts w:eastAsiaTheme="minorHAnsi"/>
      <w:sz w:val="18"/>
      <w:szCs w:val="18"/>
    </w:rPr>
  </w:style>
  <w:style w:type="paragraph" w:styleId="16">
    <w:name w:val="toc 2"/>
    <w:basedOn w:val="1"/>
    <w:next w:val="1"/>
    <w:unhideWhenUsed/>
    <w:qFormat/>
    <w:uiPriority w:val="39"/>
    <w:pPr>
      <w:ind w:left="240"/>
      <w:jc w:val="left"/>
    </w:pPr>
    <w:rPr>
      <w:rFonts w:eastAsiaTheme="minorHAnsi"/>
      <w:smallCaps/>
      <w:sz w:val="22"/>
    </w:rPr>
  </w:style>
  <w:style w:type="paragraph" w:styleId="17">
    <w:name w:val="toc 9"/>
    <w:basedOn w:val="1"/>
    <w:next w:val="1"/>
    <w:unhideWhenUsed/>
    <w:qFormat/>
    <w:uiPriority w:val="39"/>
    <w:pPr>
      <w:ind w:left="1920"/>
      <w:jc w:val="left"/>
    </w:pPr>
    <w:rPr>
      <w:rFonts w:eastAsiaTheme="minorHAnsi"/>
      <w:sz w:val="18"/>
      <w:szCs w:val="18"/>
    </w:rPr>
  </w:style>
  <w:style w:type="paragraph" w:styleId="18">
    <w:name w:val="annotation subject"/>
    <w:basedOn w:val="6"/>
    <w:next w:val="6"/>
    <w:link w:val="37"/>
    <w:semiHidden/>
    <w:unhideWhenUsed/>
    <w:qFormat/>
    <w:uiPriority w:val="99"/>
    <w:rPr>
      <w:b/>
      <w:bCs/>
    </w:r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Heading 1 Char"/>
    <w:basedOn w:val="20"/>
    <w:link w:val="2"/>
    <w:qFormat/>
    <w:uiPriority w:val="9"/>
    <w:rPr>
      <w:rFonts w:eastAsia="黑体"/>
      <w:b/>
      <w:bCs/>
      <w:kern w:val="44"/>
      <w:sz w:val="28"/>
      <w:szCs w:val="44"/>
    </w:rPr>
  </w:style>
  <w:style w:type="paragraph" w:customStyle="1" w:styleId="24">
    <w:name w:val="标题2"/>
    <w:basedOn w:val="1"/>
    <w:link w:val="25"/>
    <w:qFormat/>
    <w:uiPriority w:val="0"/>
    <w:rPr>
      <w:rFonts w:ascii="Times New Roman" w:hAnsi="Times New Roman" w:eastAsia="黑体" w:cs="Times New Roman"/>
      <w:szCs w:val="28"/>
    </w:rPr>
  </w:style>
  <w:style w:type="character" w:customStyle="1" w:styleId="25">
    <w:name w:val="标题2 字符"/>
    <w:link w:val="24"/>
    <w:qFormat/>
    <w:uiPriority w:val="0"/>
    <w:rPr>
      <w:rFonts w:ascii="Times New Roman" w:hAnsi="Times New Roman" w:eastAsia="黑体" w:cs="Times New Roman"/>
      <w:sz w:val="24"/>
      <w:szCs w:val="28"/>
    </w:rPr>
  </w:style>
  <w:style w:type="character" w:customStyle="1" w:styleId="26">
    <w:name w:val="Heading 2 Char"/>
    <w:basedOn w:val="20"/>
    <w:link w:val="3"/>
    <w:qFormat/>
    <w:uiPriority w:val="9"/>
    <w:rPr>
      <w:rFonts w:eastAsia="黑体" w:asciiTheme="majorHAnsi" w:hAnsiTheme="majorHAnsi" w:cstheme="majorBidi"/>
      <w:b/>
      <w:bCs/>
      <w:snapToGrid w:val="0"/>
      <w:kern w:val="0"/>
      <w:sz w:val="24"/>
      <w:szCs w:val="32"/>
    </w:rPr>
  </w:style>
  <w:style w:type="character" w:customStyle="1" w:styleId="27">
    <w:name w:val="Header Char"/>
    <w:basedOn w:val="20"/>
    <w:link w:val="12"/>
    <w:qFormat/>
    <w:uiPriority w:val="99"/>
    <w:rPr>
      <w:rFonts w:eastAsia="宋体"/>
      <w:sz w:val="18"/>
      <w:szCs w:val="18"/>
    </w:rPr>
  </w:style>
  <w:style w:type="character" w:customStyle="1" w:styleId="28">
    <w:name w:val="Footer Char"/>
    <w:basedOn w:val="20"/>
    <w:link w:val="11"/>
    <w:qFormat/>
    <w:uiPriority w:val="99"/>
    <w:rPr>
      <w:rFonts w:eastAsia="宋体"/>
      <w:sz w:val="18"/>
      <w:szCs w:val="18"/>
    </w:rPr>
  </w:style>
  <w:style w:type="character" w:customStyle="1" w:styleId="29">
    <w:name w:val="Document Map Char"/>
    <w:basedOn w:val="20"/>
    <w:link w:val="5"/>
    <w:semiHidden/>
    <w:qFormat/>
    <w:uiPriority w:val="99"/>
    <w:rPr>
      <w:rFonts w:ascii="宋体" w:eastAsia="宋体"/>
      <w:sz w:val="18"/>
      <w:szCs w:val="18"/>
    </w:rPr>
  </w:style>
  <w:style w:type="paragraph" w:styleId="30">
    <w:name w:val="List Paragraph"/>
    <w:basedOn w:val="1"/>
    <w:qFormat/>
    <w:uiPriority w:val="34"/>
    <w:pPr>
      <w:spacing w:beforeLines="0" w:afterLines="0" w:line="240" w:lineRule="auto"/>
      <w:ind w:firstLine="420"/>
    </w:pPr>
    <w:rPr>
      <w:rFonts w:ascii="Times New Roman" w:hAnsi="Times New Roman" w:cs="Times New Roman"/>
      <w:sz w:val="21"/>
      <w:szCs w:val="24"/>
    </w:rPr>
  </w:style>
  <w:style w:type="paragraph" w:customStyle="1" w:styleId="31">
    <w:name w:val="段"/>
    <w:link w:val="3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段 Char"/>
    <w:link w:val="31"/>
    <w:qFormat/>
    <w:uiPriority w:val="0"/>
    <w:rPr>
      <w:rFonts w:ascii="宋体" w:hAnsi="Times New Roman" w:eastAsia="宋体" w:cs="Times New Roman"/>
      <w:kern w:val="0"/>
      <w:szCs w:val="20"/>
    </w:rPr>
  </w:style>
  <w:style w:type="paragraph" w:customStyle="1" w:styleId="33">
    <w:name w:val="二级条标题"/>
    <w:basedOn w:val="1"/>
    <w:next w:val="31"/>
    <w:qFormat/>
    <w:uiPriority w:val="0"/>
    <w:pPr>
      <w:widowControl/>
      <w:spacing w:beforeLines="0" w:afterLines="0" w:line="240" w:lineRule="auto"/>
      <w:ind w:left="2268" w:firstLine="0" w:firstLineChars="0"/>
      <w:jc w:val="left"/>
      <w:outlineLvl w:val="3"/>
    </w:pPr>
    <w:rPr>
      <w:rFonts w:ascii="黑体" w:hAnsi="Times New Roman" w:eastAsia="黑体" w:cs="Times New Roman"/>
      <w:kern w:val="0"/>
      <w:sz w:val="21"/>
      <w:szCs w:val="21"/>
    </w:rPr>
  </w:style>
  <w:style w:type="paragraph" w:customStyle="1" w:styleId="34">
    <w:name w:val="一级条标题"/>
    <w:basedOn w:val="1"/>
    <w:next w:val="31"/>
    <w:qFormat/>
    <w:uiPriority w:val="0"/>
    <w:pPr>
      <w:widowControl/>
      <w:spacing w:beforeLines="0" w:afterLines="0" w:line="240" w:lineRule="auto"/>
      <w:ind w:firstLine="0" w:firstLineChars="0"/>
      <w:outlineLvl w:val="2"/>
    </w:pPr>
    <w:rPr>
      <w:rFonts w:ascii="黑体" w:hAnsi="Times New Roman" w:eastAsia="黑体" w:cs="Times New Roman"/>
      <w:kern w:val="0"/>
      <w:sz w:val="21"/>
      <w:szCs w:val="20"/>
    </w:rPr>
  </w:style>
  <w:style w:type="character" w:customStyle="1" w:styleId="35">
    <w:name w:val="Balloon Text Char"/>
    <w:basedOn w:val="20"/>
    <w:link w:val="10"/>
    <w:semiHidden/>
    <w:qFormat/>
    <w:uiPriority w:val="99"/>
    <w:rPr>
      <w:rFonts w:eastAsia="宋体"/>
      <w:sz w:val="18"/>
      <w:szCs w:val="18"/>
    </w:rPr>
  </w:style>
  <w:style w:type="character" w:customStyle="1" w:styleId="36">
    <w:name w:val="Comment Text Char"/>
    <w:basedOn w:val="20"/>
    <w:link w:val="6"/>
    <w:semiHidden/>
    <w:qFormat/>
    <w:uiPriority w:val="99"/>
    <w:rPr>
      <w:rFonts w:eastAsia="宋体"/>
      <w:sz w:val="24"/>
    </w:rPr>
  </w:style>
  <w:style w:type="character" w:customStyle="1" w:styleId="37">
    <w:name w:val="Comment Subject Char"/>
    <w:basedOn w:val="36"/>
    <w:link w:val="18"/>
    <w:semiHidden/>
    <w:qFormat/>
    <w:uiPriority w:val="99"/>
    <w:rPr>
      <w:rFonts w:eastAsia="宋体"/>
      <w:b/>
      <w:bCs/>
      <w:sz w:val="24"/>
    </w:rPr>
  </w:style>
  <w:style w:type="paragraph" w:customStyle="1" w:styleId="38">
    <w:name w:val="Revision"/>
    <w:hidden/>
    <w:semiHidden/>
    <w:qFormat/>
    <w:uiPriority w:val="99"/>
    <w:rPr>
      <w:rFonts w:eastAsia="宋体" w:asciiTheme="minorHAnsi" w:hAnsiTheme="minorHAnsi" w:cstheme="minorBidi"/>
      <w:kern w:val="2"/>
      <w:sz w:val="24"/>
      <w:szCs w:val="22"/>
      <w:lang w:val="en-US" w:eastAsia="zh-CN" w:bidi="ar-SA"/>
    </w:rPr>
  </w:style>
  <w:style w:type="character" w:styleId="39">
    <w:name w:val="Placeholder Text"/>
    <w:basedOn w:val="2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D0C78-9E94-4755-BA41-94E4C93F70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1845</Words>
  <Characters>10523</Characters>
  <Lines>87</Lines>
  <Paragraphs>24</Paragraphs>
  <TotalTime>1</TotalTime>
  <ScaleCrop>false</ScaleCrop>
  <LinksUpToDate>false</LinksUpToDate>
  <CharactersWithSpaces>12344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2021-09-17T04:22:00Z</dcterms:created>
  <dc:creator>Yu'e Li</dc:creator>
  <cp:lastModifiedBy>张逦嘉</cp:lastModifiedBy>
  <dcterms:modified xsi:type="dcterms:W3CDTF">2022-08-12T00:19:42Z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03CC794201AC4295BD639F14A5B6B43F</vt:lpwstr>
  </property>
</Properties>
</file>