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 xml:space="preserve">《质量分级及“领跑者”评价要求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农村生活污水地埋式一体化处理设备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农村生活污水地埋式一体化处理设备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中华环保联合会水环境治理专业委员会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中建环能科技股份有限公司等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6FC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1</Lines>
  <Paragraphs>1</Paragraphs>
  <TotalTime>0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2022-11-12T11:58:24Z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23980557008E49FAA00F9A08FBA5195B</vt:lpwstr>
  </property>
</Properties>
</file>