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rPr>
          <w:rFonts w:hAnsi="黑体" w:cs="黑体"/>
          <w:szCs w:val="20"/>
        </w:rPr>
      </w:pPr>
      <w:bookmarkStart w:id="0" w:name="_Toc873628"/>
      <w:bookmarkStart w:id="1" w:name="_Toc530051741"/>
      <w:bookmarkStart w:id="2" w:name="_Toc509826185"/>
      <w:bookmarkStart w:id="3" w:name="_Toc525046548"/>
      <w:bookmarkStart w:id="4" w:name="_Toc415043548"/>
      <w:bookmarkStart w:id="5" w:name="_Toc415043487"/>
      <w:bookmarkStart w:id="6" w:name="_Toc13964"/>
      <w:bookmarkStart w:id="7" w:name="_Toc385602845"/>
      <w:bookmarkStart w:id="48" w:name="_GoBack"/>
      <w:bookmarkEnd w:id="48"/>
      <w:r>
        <w:rPr>
          <w:rFonts w:hint="eastAsia" w:hAnsi="黑体" w:cs="黑体"/>
          <w:szCs w:val="20"/>
        </w:rPr>
        <w:t>ICS XXX</w:t>
      </w:r>
    </w:p>
    <w:p>
      <w:pPr>
        <w:pStyle w:val="37"/>
        <w:rPr>
          <w:rFonts w:hAnsi="黑体" w:cs="黑体"/>
          <w:szCs w:val="20"/>
        </w:rPr>
      </w:pPr>
      <w:r>
        <w:rPr>
          <w:rFonts w:hint="eastAsia" w:hAnsi="黑体" w:cs="黑体"/>
          <w:szCs w:val="20"/>
        </w:rPr>
        <w:t>CCS XX</w:t>
      </w:r>
    </w:p>
    <w:p>
      <w:pPr>
        <w:pStyle w:val="37"/>
        <w:rPr>
          <w:rFonts w:hAnsi="黑体" w:cs="黑体"/>
          <w:szCs w:val="20"/>
        </w:rPr>
      </w:pPr>
    </w:p>
    <w:p>
      <w:pPr>
        <w:rPr>
          <w:rFonts w:ascii="黑体" w:hAnsi="黑体" w:eastAsia="黑体" w:cs="黑体"/>
          <w:sz w:val="18"/>
          <w:szCs w:val="18"/>
        </w:rPr>
      </w:pPr>
    </w:p>
    <w:p>
      <w:pPr>
        <w:snapToGrid w:val="0"/>
        <w:spacing w:after="57"/>
        <w:jc w:val="center"/>
        <w:rPr>
          <w:rFonts w:ascii="黑体" w:hAnsi="黑体" w:eastAsia="黑体" w:cs="黑体"/>
          <w:sz w:val="72"/>
          <w:szCs w:val="72"/>
        </w:rPr>
      </w:pPr>
      <w:r>
        <w:rPr>
          <w:rFonts w:hint="eastAsia" w:ascii="黑体" w:hAnsi="黑体" w:eastAsia="黑体" w:cs="黑体"/>
          <w:sz w:val="72"/>
          <w:szCs w:val="72"/>
        </w:rPr>
        <w:t>团     体     标     准</w:t>
      </w:r>
    </w:p>
    <w:p>
      <w:pPr>
        <w:pStyle w:val="35"/>
        <w:ind w:right="-2" w:firstLine="0" w:firstLineChars="0"/>
        <w:jc w:val="right"/>
        <w:rPr>
          <w:rFonts w:ascii="黑体" w:hAnsi="黑体" w:eastAsia="黑体" w:cs="黑体"/>
          <w:kern w:val="0"/>
          <w:sz w:val="28"/>
          <w:szCs w:val="20"/>
        </w:rPr>
      </w:pPr>
      <w:r>
        <w:rPr>
          <w:rFonts w:hint="eastAsia" w:ascii="黑体" w:hAnsi="黑体" w:eastAsia="黑体" w:cs="黑体"/>
          <w:kern w:val="0"/>
          <w:sz w:val="28"/>
          <w:szCs w:val="20"/>
        </w:rPr>
        <w:t>T/CSTE XXXX-XXXX</w:t>
      </w:r>
    </w:p>
    <w:p>
      <w:pPr>
        <w:pStyle w:val="35"/>
        <w:ind w:right="-2" w:firstLine="0" w:firstLineChars="0"/>
        <w:jc w:val="right"/>
        <w:rPr>
          <w:rFonts w:ascii="黑体" w:hAnsi="黑体" w:eastAsia="黑体" w:cs="黑体"/>
          <w:b/>
          <w:sz w:val="24"/>
          <w:szCs w:val="24"/>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32385</wp:posOffset>
                </wp:positionV>
                <wp:extent cx="6120130" cy="0"/>
                <wp:effectExtent l="0" t="6350" r="4445" b="762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81.9pt;z-index:251659264;mso-width-relative:page;mso-height-relative:page;" filled="f" stroked="t" coordsize="21600,21600" o:gfxdata="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txX1AAAAAUB&#10;AAAPAAAAAAAAAAEAIAAAACIAAABkcnMvZG93bnJldi54bWxQSwECFAAUAAAACACHTuJAvIsAbuYB&#10;AACtAwAADgAAAAAAAAABACAAAAAjAQAAZHJzL2Uyb0RvYy54bWxQSwUGAAAAAAYABgBZAQAAewUA&#10;AAAA&#10;">
                <v:fill on="f" focussize="0,0"/>
                <v:stroke weight="1pt" color="#080000" joinstyle="round"/>
                <v:imagedata o:title=""/>
                <o:lock v:ext="edit" aspectratio="f"/>
              </v:line>
            </w:pict>
          </mc:Fallback>
        </mc:AlternateContent>
      </w:r>
    </w:p>
    <w:p>
      <w:pPr>
        <w:pStyle w:val="35"/>
        <w:ind w:firstLine="0" w:firstLineChars="0"/>
        <w:rPr>
          <w:rFonts w:ascii="黑体" w:hAnsi="黑体" w:eastAsia="黑体" w:cs="黑体"/>
          <w:b/>
          <w:spacing w:val="40"/>
          <w:kern w:val="0"/>
          <w:sz w:val="52"/>
          <w:szCs w:val="52"/>
        </w:rPr>
      </w:pPr>
    </w:p>
    <w:p>
      <w:pPr>
        <w:pStyle w:val="35"/>
        <w:ind w:firstLine="548" w:firstLineChars="100"/>
        <w:jc w:val="center"/>
        <w:rPr>
          <w:rFonts w:ascii="黑体" w:hAnsi="黑体" w:eastAsia="黑体" w:cs="黑体"/>
          <w:bCs/>
          <w:spacing w:val="40"/>
          <w:w w:val="90"/>
          <w:kern w:val="0"/>
          <w:sz w:val="52"/>
          <w:szCs w:val="52"/>
        </w:rPr>
      </w:pPr>
      <w:r>
        <w:rPr>
          <w:rFonts w:hint="eastAsia" w:ascii="黑体" w:hAnsi="黑体" w:eastAsia="黑体" w:cs="黑体"/>
          <w:bCs/>
          <w:spacing w:val="40"/>
          <w:w w:val="90"/>
          <w:kern w:val="0"/>
          <w:sz w:val="52"/>
          <w:szCs w:val="52"/>
        </w:rPr>
        <w:t>循环流化床锅炉焚烧一般可燃固体废弃物配伍技术要求</w:t>
      </w:r>
    </w:p>
    <w:p>
      <w:pPr>
        <w:spacing w:before="156" w:beforeLines="50" w:line="360" w:lineRule="exact"/>
        <w:jc w:val="center"/>
        <w:rPr>
          <w:rFonts w:ascii="黑体" w:hAnsi="黑体" w:eastAsia="黑体" w:cs="黑体"/>
          <w:kern w:val="0"/>
          <w:sz w:val="28"/>
          <w:szCs w:val="28"/>
          <w:shd w:val="clear" w:color="auto" w:fill="FFFFFF"/>
        </w:rPr>
      </w:pPr>
      <w:r>
        <w:rPr>
          <w:rFonts w:hint="eastAsia" w:ascii="黑体" w:hAnsi="黑体" w:eastAsia="黑体" w:cs="黑体"/>
          <w:kern w:val="0"/>
          <w:sz w:val="28"/>
          <w:szCs w:val="28"/>
        </w:rPr>
        <w:t xml:space="preserve">     </w:t>
      </w:r>
      <w:r>
        <w:rPr>
          <w:rFonts w:ascii="黑体" w:hAnsi="黑体" w:eastAsia="黑体" w:cs="黑体"/>
          <w:kern w:val="0"/>
          <w:sz w:val="28"/>
          <w:szCs w:val="28"/>
        </w:rPr>
        <w:t>Technical requirements for matching general combustible solid wastes for incineration in circulating fluidized bed boilers</w:t>
      </w:r>
    </w:p>
    <w:p>
      <w:pPr>
        <w:pStyle w:val="35"/>
        <w:ind w:firstLine="0" w:firstLineChars="0"/>
        <w:rPr>
          <w:rFonts w:ascii="黑体" w:hAnsi="黑体" w:eastAsia="黑体" w:cs="黑体"/>
          <w:kern w:val="0"/>
          <w:sz w:val="36"/>
          <w:szCs w:val="20"/>
        </w:rPr>
      </w:pPr>
    </w:p>
    <w:p>
      <w:pPr>
        <w:pStyle w:val="35"/>
        <w:ind w:firstLine="0" w:firstLineChars="0"/>
        <w:rPr>
          <w:rFonts w:ascii="黑体" w:hAnsi="黑体" w:eastAsia="黑体" w:cs="黑体"/>
          <w:sz w:val="18"/>
          <w:szCs w:val="18"/>
        </w:rPr>
      </w:pPr>
    </w:p>
    <w:p>
      <w:pPr>
        <w:pStyle w:val="35"/>
        <w:ind w:firstLine="0" w:firstLineChars="0"/>
        <w:rPr>
          <w:rFonts w:ascii="黑体" w:hAnsi="黑体" w:eastAsia="黑体" w:cs="黑体"/>
          <w:sz w:val="18"/>
          <w:szCs w:val="18"/>
        </w:rPr>
      </w:pPr>
    </w:p>
    <w:p>
      <w:pPr>
        <w:pStyle w:val="35"/>
        <w:ind w:firstLine="0" w:firstLineChars="0"/>
        <w:jc w:val="center"/>
        <w:rPr>
          <w:rFonts w:ascii="黑体" w:hAnsi="黑体" w:eastAsia="黑体" w:cs="黑体"/>
          <w:sz w:val="40"/>
          <w:szCs w:val="40"/>
        </w:rPr>
      </w:pPr>
      <w:r>
        <w:rPr>
          <w:rFonts w:hint="eastAsia" w:ascii="黑体" w:hAnsi="黑体" w:eastAsia="黑体" w:cs="黑体"/>
          <w:sz w:val="40"/>
          <w:szCs w:val="40"/>
        </w:rPr>
        <w:t>（草案）</w:t>
      </w:r>
    </w:p>
    <w:p>
      <w:pPr>
        <w:pStyle w:val="35"/>
        <w:ind w:firstLine="0" w:firstLineChars="0"/>
        <w:rPr>
          <w:rFonts w:ascii="黑体" w:hAnsi="黑体" w:eastAsia="黑体" w:cs="黑体"/>
          <w:sz w:val="18"/>
          <w:szCs w:val="18"/>
        </w:rPr>
      </w:pPr>
    </w:p>
    <w:p>
      <w:pPr>
        <w:pStyle w:val="83"/>
        <w:framePr w:w="2854" w:h="665" w:hRule="exact" w:wrap="around" w:vAnchor="page" w:hAnchor="page" w:x="4659" w:y="14617"/>
        <w:spacing w:line="580" w:lineRule="exact"/>
        <w:rPr>
          <w:rFonts w:ascii="黑体" w:hAnsi="黑体" w:eastAsia="黑体" w:cs="黑体"/>
          <w:b w:val="0"/>
          <w:spacing w:val="0"/>
          <w:w w:val="100"/>
          <w:sz w:val="28"/>
          <w:szCs w:val="28"/>
        </w:rPr>
      </w:pPr>
      <w:r>
        <w:rPr>
          <w:rFonts w:hint="eastAsia" w:ascii="黑体" w:hAnsi="黑体" w:eastAsia="黑体" w:cs="黑体"/>
          <w:bCs/>
          <w:spacing w:val="0"/>
          <w:w w:val="100"/>
          <w:sz w:val="28"/>
          <w:szCs w:val="28"/>
        </w:rPr>
        <w:t>中国技术经济学会</w:t>
      </w:r>
    </w:p>
    <w:bookmarkEnd w:id="0"/>
    <w:bookmarkEnd w:id="1"/>
    <w:bookmarkEnd w:id="2"/>
    <w:bookmarkEnd w:id="3"/>
    <w:p>
      <w:pPr>
        <w:rPr>
          <w:rFonts w:ascii="宋体"/>
          <w:szCs w:val="21"/>
        </w:rPr>
      </w:pPr>
      <w:bookmarkStart w:id="8" w:name="_Toc415043894"/>
      <w:bookmarkStart w:id="9" w:name="_Toc65687976"/>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ind w:left="-424" w:leftChars="-202" w:right="-241" w:rightChars="-115" w:firstLine="560" w:firstLineChars="200"/>
        <w:jc w:val="left"/>
        <w:rPr>
          <w:rFonts w:ascii="黑体" w:hAnsi="微软雅黑" w:eastAsia="黑体"/>
          <w:sz w:val="28"/>
          <w:szCs w:val="28"/>
        </w:rPr>
      </w:pPr>
      <w:r>
        <w:rPr>
          <w:rFonts w:hint="eastAsia" w:ascii="黑体" w:hAnsi="黑体" w:eastAsia="黑体" w:cs="黑体"/>
          <w:sz w:val="28"/>
          <w:szCs w:val="28"/>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388620</wp:posOffset>
                </wp:positionV>
                <wp:extent cx="6121400" cy="0"/>
                <wp:effectExtent l="0" t="6350" r="3175" b="762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0.8pt;margin-top:30.6pt;height:0pt;width:482pt;z-index:251660288;mso-width-relative:page;mso-height-relative:page;" filled="f" stroked="t" coordsize="21600,21600" o:gfxdata="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JUOdcAAAAI&#10;AQAADwAAAAAAAAABACAAAAAiAAAAZHJzL2Rvd25yZXYueG1sUEsBAhQAFAAAAAgAh07iQG+6r5Tk&#10;AQAArAMAAA4AAAAAAAAAAQAgAAAAJgEAAGRycy9lMm9Eb2MueG1sUEsFBgAAAAAGAAYAWQEAAHwF&#10;AAAAAA==&#10;">
                <v:fill on="f" focussize="0,0"/>
                <v:stroke weight="1pt" color="#080000" joinstyle="round"/>
                <v:imagedata o:title=""/>
                <o:lock v:ext="edit" aspectratio="f"/>
              </v:line>
            </w:pict>
          </mc:Fallback>
        </mc:AlternateContent>
      </w:r>
      <w:r>
        <w:rPr>
          <w:rFonts w:hint="eastAsia" w:ascii="黑体" w:hAnsi="微软雅黑" w:eastAsia="黑体"/>
          <w:w w:val="99"/>
          <w:sz w:val="28"/>
          <w:szCs w:val="28"/>
        </w:rPr>
        <w:t>2021-</w:t>
      </w:r>
      <w:r>
        <w:rPr>
          <w:rFonts w:hint="eastAsia" w:ascii="黑体" w:hAnsi="黑体" w:eastAsia="黑体" w:cs="黑体"/>
          <w:kern w:val="0"/>
          <w:sz w:val="28"/>
          <w:szCs w:val="28"/>
        </w:rPr>
        <w:t>XX</w:t>
      </w:r>
      <w:r>
        <w:rPr>
          <w:rFonts w:hint="eastAsia" w:ascii="黑体" w:hAnsi="微软雅黑" w:eastAsia="黑体"/>
          <w:w w:val="99"/>
          <w:sz w:val="28"/>
          <w:szCs w:val="28"/>
        </w:rPr>
        <w:t>-</w:t>
      </w:r>
      <w:r>
        <w:rPr>
          <w:rFonts w:hint="eastAsia" w:ascii="黑体" w:hAnsi="黑体" w:eastAsia="黑体" w:cs="黑体"/>
          <w:kern w:val="0"/>
          <w:sz w:val="28"/>
          <w:szCs w:val="28"/>
        </w:rPr>
        <w:t>XX</w:t>
      </w:r>
      <w:r>
        <w:rPr>
          <w:rFonts w:hint="eastAsia" w:ascii="黑体" w:hAnsi="微软雅黑" w:eastAsia="黑体"/>
          <w:w w:val="99"/>
          <w:sz w:val="28"/>
          <w:szCs w:val="28"/>
        </w:rPr>
        <w:t xml:space="preserve"> </w:t>
      </w:r>
      <w:r>
        <w:rPr>
          <w:rFonts w:hint="eastAsia" w:ascii="黑体" w:hAnsi="微软雅黑" w:eastAsia="黑体"/>
          <w:w w:val="99"/>
          <w:sz w:val="28"/>
          <w:szCs w:val="28"/>
          <w:lang w:val="en-US" w:eastAsia="zh-CN"/>
        </w:rPr>
        <w:t>发布</w:t>
      </w:r>
      <w:r>
        <w:rPr>
          <w:rFonts w:hint="eastAsia" w:ascii="黑体" w:hAnsi="黑体" w:eastAsia="黑体"/>
          <w:w w:val="99"/>
          <w:sz w:val="28"/>
          <w:szCs w:val="28"/>
          <w:lang w:val="en-US" w:eastAsia="zh-CN"/>
        </w:rPr>
        <w:t xml:space="preserve"> </w:t>
      </w:r>
      <w:r>
        <w:rPr>
          <w:rFonts w:hint="eastAsia" w:ascii="黑体" w:hAnsi="黑体" w:eastAsia="黑体"/>
          <w:w w:val="99"/>
          <w:sz w:val="28"/>
          <w:szCs w:val="28"/>
        </w:rPr>
        <w:t>2021</w:t>
      </w:r>
      <w:r>
        <w:rPr>
          <w:rFonts w:hint="eastAsia" w:ascii="黑体" w:hAnsi="微软雅黑" w:eastAsia="黑体"/>
          <w:w w:val="99"/>
          <w:sz w:val="28"/>
          <w:szCs w:val="28"/>
        </w:rPr>
        <w:t>-</w:t>
      </w:r>
      <w:r>
        <w:rPr>
          <w:rFonts w:hint="eastAsia" w:ascii="黑体" w:hAnsi="黑体" w:eastAsia="黑体" w:cs="黑体"/>
          <w:kern w:val="0"/>
          <w:sz w:val="28"/>
          <w:szCs w:val="28"/>
        </w:rPr>
        <w:t>XX</w:t>
      </w:r>
      <w:r>
        <w:rPr>
          <w:rFonts w:hint="eastAsia" w:ascii="黑体" w:hAnsi="微软雅黑" w:eastAsia="黑体"/>
          <w:w w:val="99"/>
          <w:sz w:val="28"/>
          <w:szCs w:val="28"/>
        </w:rPr>
        <w:t>-</w:t>
      </w:r>
      <w:r>
        <w:rPr>
          <w:rFonts w:hint="eastAsia" w:ascii="黑体" w:hAnsi="黑体" w:eastAsia="黑体" w:cs="黑体"/>
          <w:kern w:val="0"/>
          <w:sz w:val="28"/>
          <w:szCs w:val="28"/>
        </w:rPr>
        <w:t>XX</w:t>
      </w:r>
      <w:r>
        <w:rPr>
          <w:rFonts w:hint="eastAsia" w:ascii="黑体" w:hAnsi="微软雅黑" w:eastAsia="黑体"/>
          <w:w w:val="99"/>
          <w:sz w:val="28"/>
          <w:szCs w:val="28"/>
        </w:rPr>
        <w:t xml:space="preserve"> </w:t>
      </w:r>
      <w:r>
        <w:rPr>
          <w:rFonts w:hint="eastAsia" w:ascii="黑体" w:hAnsi="黑体" w:eastAsia="黑体"/>
          <w:w w:val="99"/>
          <w:sz w:val="28"/>
          <w:szCs w:val="28"/>
        </w:rPr>
        <w:t>实施</w:t>
      </w:r>
    </w:p>
    <w:p>
      <w:pPr>
        <w:pStyle w:val="83"/>
        <w:framePr w:w="954" w:h="654" w:hRule="exact" w:wrap="around" w:vAnchor="page" w:hAnchor="page" w:x="7582" w:y="14616"/>
        <w:spacing w:line="580" w:lineRule="exact"/>
        <w:rPr>
          <w:rFonts w:ascii="黑体" w:hAnsi="黑体" w:eastAsia="黑体" w:cs="黑体"/>
          <w:bCs/>
          <w:spacing w:val="0"/>
          <w:w w:val="100"/>
          <w:sz w:val="28"/>
          <w:szCs w:val="28"/>
        </w:rPr>
      </w:pPr>
      <w:r>
        <w:rPr>
          <w:rFonts w:hint="eastAsia" w:ascii="黑体" w:hAnsi="黑体" w:eastAsia="黑体" w:cs="黑体"/>
          <w:bCs/>
          <w:spacing w:val="0"/>
          <w:w w:val="100"/>
          <w:sz w:val="28"/>
          <w:szCs w:val="28"/>
        </w:rPr>
        <w:t>发布</w:t>
      </w: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r>
        <w:rPr>
          <w:rFonts w:ascii="宋体"/>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156" w:beforeLines="50" w:after="156" w:afterLines="5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与发布机构获取。</w:t>
      </w:r>
    </w:p>
    <w:p>
      <w:pPr>
        <w:pStyle w:val="44"/>
        <w:spacing w:before="468" w:beforeLines="150"/>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360" w:lineRule="auto"/>
        <w:ind w:firstLine="420" w:firstLineChars="200"/>
        <w:rPr>
          <w:rFonts w:ascii="宋体" w:hAnsi="宋体"/>
          <w:szCs w:val="21"/>
        </w:rPr>
      </w:pPr>
      <w:r>
        <w:rPr>
          <w:rFonts w:hint="eastAsia" w:ascii="宋体" w:hAnsi="宋体"/>
          <w:szCs w:val="21"/>
        </w:rPr>
        <w:t>本文件按照GB/T 1.1—2020《标准化工作导则  第1部分：标准化文件的结构和起草规则》的规定起草。</w:t>
      </w:r>
    </w:p>
    <w:p>
      <w:pPr>
        <w:autoSpaceDE w:val="0"/>
        <w:autoSpaceDN w:val="0"/>
        <w:adjustRightInd w:val="0"/>
        <w:spacing w:line="276" w:lineRule="auto"/>
        <w:ind w:firstLine="420" w:firstLineChars="200"/>
        <w:rPr>
          <w:rFonts w:ascii="宋体" w:hAnsi="宋体" w:eastAsia="宋体" w:cs="Times New Roman"/>
          <w:kern w:val="0"/>
        </w:rPr>
      </w:pPr>
      <w:r>
        <w:rPr>
          <w:rFonts w:ascii="宋体" w:hAnsi="宋体" w:eastAsia="宋体" w:cs="Times New Roman"/>
          <w:kern w:val="0"/>
        </w:rPr>
        <w:t>请注意本文件的某些内容可能涉及专利。本文件的发布机构不承担识别专利的责任。</w:t>
      </w:r>
    </w:p>
    <w:p>
      <w:pPr>
        <w:spacing w:line="360" w:lineRule="auto"/>
        <w:ind w:firstLine="420" w:firstLineChars="200"/>
        <w:rPr>
          <w:rFonts w:cs="宋体"/>
        </w:rPr>
      </w:pPr>
      <w:r>
        <w:rPr>
          <w:rFonts w:cs="宋体"/>
        </w:rPr>
        <w:t>本</w:t>
      </w:r>
      <w:r>
        <w:rPr>
          <w:rFonts w:hint="eastAsia" w:cs="宋体"/>
        </w:rPr>
        <w:t>文件</w:t>
      </w:r>
      <w:r>
        <w:rPr>
          <w:rFonts w:cs="宋体"/>
        </w:rPr>
        <w:t>由</w:t>
      </w:r>
      <w:r>
        <w:rPr>
          <w:rFonts w:hint="eastAsia" w:cs="宋体"/>
        </w:rPr>
        <w:t>东南大学提出</w:t>
      </w:r>
    </w:p>
    <w:p>
      <w:pPr>
        <w:spacing w:line="360" w:lineRule="auto"/>
        <w:ind w:firstLine="420" w:firstLineChars="200"/>
        <w:rPr>
          <w:rFonts w:cs="宋体"/>
        </w:rPr>
      </w:pPr>
      <w:r>
        <w:rPr>
          <w:rFonts w:hint="eastAsia" w:cs="宋体"/>
        </w:rPr>
        <w:t>本文件由中国技术经济学会归口。</w:t>
      </w:r>
    </w:p>
    <w:p>
      <w:pPr>
        <w:spacing w:line="360" w:lineRule="auto"/>
        <w:ind w:firstLine="420" w:firstLineChars="200"/>
        <w:rPr>
          <w:rFonts w:cs="宋体"/>
        </w:rPr>
      </w:pPr>
      <w:r>
        <w:rPr>
          <w:rFonts w:hint="eastAsia" w:cs="宋体"/>
        </w:rPr>
        <w:t>本文件起草单位</w:t>
      </w:r>
      <w:r>
        <w:rPr>
          <w:rFonts w:cs="宋体"/>
        </w:rPr>
        <w:t>：</w:t>
      </w:r>
      <w:r>
        <w:rPr>
          <w:rFonts w:hint="eastAsia" w:cs="宋体"/>
        </w:rPr>
        <w:t>东南大学，无锡华光环保能源集团股份有限公司，光大绿色环保管理（深圳）有限公司等</w:t>
      </w:r>
    </w:p>
    <w:p>
      <w:pPr>
        <w:spacing w:line="360" w:lineRule="auto"/>
        <w:ind w:firstLine="420" w:firstLineChars="200"/>
        <w:rPr>
          <w:rFonts w:cs="宋体"/>
        </w:rPr>
      </w:pPr>
      <w:r>
        <w:rPr>
          <w:rFonts w:hint="eastAsia" w:cs="宋体"/>
        </w:rPr>
        <w:t>本文件主要起草人：段伦博，毛军华，钱晓东，李林，顾全斌，唐武，陆晓焰，陈玉青，朱纯，王越明，朱清等。</w:t>
      </w:r>
    </w:p>
    <w:p>
      <w:pPr>
        <w:spacing w:line="480" w:lineRule="exact"/>
        <w:ind w:firstLine="420" w:firstLineChars="200"/>
        <w:rPr>
          <w:szCs w:val="21"/>
        </w:rPr>
      </w:pPr>
      <w:bookmarkStart w:id="11" w:name="_Toc65687977"/>
      <w:r>
        <w:rPr>
          <w:rFonts w:hint="eastAsia"/>
          <w:szCs w:val="21"/>
        </w:rPr>
        <w:t>本文件为首次发布。</w:t>
      </w:r>
    </w:p>
    <w:p>
      <w:pPr>
        <w:pStyle w:val="60"/>
        <w:spacing w:before="312" w:beforeLines="100" w:after="312" w:afterLines="100"/>
        <w:outlineLvl w:val="9"/>
        <w:sectPr>
          <w:headerReference r:id="rId3" w:type="default"/>
          <w:pgSz w:w="11906" w:h="16838"/>
          <w:pgMar w:top="1134" w:right="1134" w:bottom="1134" w:left="1134" w:header="907" w:footer="880" w:gutter="0"/>
          <w:pgNumType w:fmt="upperRoman" w:start="1"/>
          <w:cols w:space="720" w:num="1"/>
          <w:formProt w:val="0"/>
          <w:docGrid w:type="lines" w:linePitch="312" w:charSpace="0"/>
        </w:sectPr>
      </w:pPr>
    </w:p>
    <w:bookmarkEnd w:id="11"/>
    <w:p>
      <w:pPr>
        <w:pStyle w:val="91"/>
        <w:spacing w:before="3" w:beforeLines="1" w:after="686" w:afterLines="220"/>
        <w:rPr>
          <w:rFonts w:hint="default"/>
        </w:rPr>
      </w:pPr>
      <w:bookmarkStart w:id="12" w:name="_Toc415043557"/>
      <w:bookmarkStart w:id="13" w:name="_Toc25668"/>
      <w:bookmarkStart w:id="14" w:name="_Toc385602850"/>
      <w:bookmarkStart w:id="15" w:name="_Toc528835813"/>
      <w:bookmarkStart w:id="16" w:name="_Toc33563757"/>
      <w:bookmarkStart w:id="17" w:name="_Toc35259974"/>
      <w:bookmarkStart w:id="18" w:name="_Toc415043496"/>
      <w:bookmarkStart w:id="19" w:name="_Toc415043903"/>
      <w:bookmarkStart w:id="20" w:name="_Toc401669933"/>
      <w:r>
        <w:t>循环流化床锅炉焚烧一般可燃固体废弃物配伍技术要求</w:t>
      </w:r>
    </w:p>
    <w:p>
      <w:pPr>
        <w:pStyle w:val="89"/>
        <w:spacing w:before="312" w:after="312"/>
        <w:rPr>
          <w:rFonts w:hint="default"/>
        </w:rPr>
      </w:pPr>
      <w:bookmarkStart w:id="21" w:name="_Toc17233333"/>
      <w:bookmarkStart w:id="22" w:name="_Toc24884211"/>
      <w:bookmarkStart w:id="23" w:name="_Toc26648465"/>
      <w:bookmarkStart w:id="24" w:name="_Toc26718930"/>
      <w:bookmarkStart w:id="25" w:name="_Toc17233325"/>
      <w:bookmarkStart w:id="26" w:name="_Toc26986530"/>
      <w:bookmarkStart w:id="27" w:name="_Toc97192964"/>
      <w:bookmarkStart w:id="28" w:name="_Toc24884218"/>
      <w:bookmarkStart w:id="29" w:name="_Toc106639521"/>
      <w:bookmarkStart w:id="30" w:name="_Toc26986771"/>
      <w:r>
        <w:t>范围</w:t>
      </w:r>
      <w:bookmarkEnd w:id="21"/>
      <w:bookmarkEnd w:id="22"/>
      <w:bookmarkEnd w:id="23"/>
      <w:bookmarkEnd w:id="24"/>
      <w:bookmarkEnd w:id="25"/>
      <w:bookmarkEnd w:id="26"/>
      <w:bookmarkEnd w:id="27"/>
      <w:bookmarkEnd w:id="28"/>
      <w:bookmarkEnd w:id="29"/>
      <w:bookmarkEnd w:id="30"/>
    </w:p>
    <w:p>
      <w:pPr>
        <w:adjustRightInd w:val="0"/>
        <w:spacing w:line="300" w:lineRule="auto"/>
        <w:ind w:firstLine="420" w:firstLineChars="200"/>
        <w:rPr>
          <w:rFonts w:ascii="宋体" w:hAnsi="宋体" w:eastAsia="宋体" w:cs="宋体"/>
          <w:szCs w:val="21"/>
          <w:lang w:bidi="ar"/>
        </w:rPr>
      </w:pPr>
      <w:bookmarkStart w:id="31" w:name="_Toc24884219"/>
      <w:bookmarkStart w:id="32" w:name="_Toc24884212"/>
      <w:bookmarkStart w:id="33" w:name="_Toc17233326"/>
      <w:bookmarkStart w:id="34" w:name="_Toc26648466"/>
      <w:bookmarkStart w:id="35" w:name="_Toc17233334"/>
      <w:r>
        <w:rPr>
          <w:rFonts w:hint="eastAsia" w:ascii="宋体" w:hAnsi="宋体" w:eastAsia="宋体" w:cs="宋体"/>
          <w:szCs w:val="21"/>
          <w:lang w:bidi="ar"/>
        </w:rPr>
        <w:t>本文件规定了循环流化床锅炉焚烧一般可燃固体废弃物的总则、设备技术要求、入炉前配伍方式、配伍前工作、入炉前配伍燃料检测。</w:t>
      </w:r>
    </w:p>
    <w:p>
      <w:pPr>
        <w:adjustRightInd w:val="0"/>
        <w:spacing w:line="300" w:lineRule="auto"/>
        <w:ind w:firstLine="420" w:firstLineChars="200"/>
        <w:rPr>
          <w:rFonts w:ascii="宋体" w:hAnsi="宋体" w:eastAsia="宋体" w:cs="宋体"/>
          <w:szCs w:val="21"/>
          <w:lang w:bidi="ar"/>
        </w:rPr>
      </w:pPr>
      <w:r>
        <w:rPr>
          <w:rFonts w:hint="eastAsia" w:ascii="宋体" w:hAnsi="宋体" w:eastAsia="宋体" w:cs="宋体"/>
          <w:szCs w:val="21"/>
          <w:lang w:bidi="ar"/>
        </w:rPr>
        <w:t>本文件适用于以农林固体废弃物、纺织品废弃物、皮革废弃物、废木材</w:t>
      </w:r>
      <w:r>
        <w:rPr>
          <w:rFonts w:hint="eastAsia" w:ascii="宋体" w:hAnsi="宋体" w:eastAsia="宋体" w:cs="宋体"/>
          <w:szCs w:val="21"/>
          <w:lang w:eastAsia="zh-CN" w:bidi="ar"/>
        </w:rPr>
        <w:t>、</w:t>
      </w:r>
      <w:r>
        <w:rPr>
          <w:rFonts w:hint="eastAsia" w:ascii="宋体" w:hAnsi="宋体" w:eastAsia="宋体" w:cs="宋体"/>
          <w:szCs w:val="21"/>
          <w:lang w:val="en-US" w:eastAsia="zh-CN" w:bidi="ar"/>
        </w:rPr>
        <w:t>废家具料</w:t>
      </w:r>
      <w:r>
        <w:rPr>
          <w:rFonts w:hint="eastAsia" w:ascii="宋体" w:hAnsi="宋体" w:eastAsia="宋体" w:cs="宋体"/>
          <w:szCs w:val="21"/>
          <w:lang w:bidi="ar"/>
        </w:rPr>
        <w:t>、废纸、废橡胶、废塑料、废复合包装物、植物残留物、谷物和食品加工废料、动物残体、畜禽粪便、中药渣、废水污泥等一般可燃固废及其混合物为燃料的循环流化床锅炉燃料配伍水平评价。</w:t>
      </w:r>
      <w:bookmarkStart w:id="36" w:name="_Hlk116503110"/>
      <w:r>
        <w:rPr>
          <w:rFonts w:asciiTheme="minorEastAsia" w:hAnsiTheme="minorEastAsia"/>
        </w:rPr>
        <w:t>国家、地方及行业法律法规、技术规范中认定具有危险性的物质，不在本导则适用范围内</w:t>
      </w:r>
      <w:bookmarkEnd w:id="36"/>
      <w:r>
        <w:rPr>
          <w:rFonts w:asciiTheme="minorEastAsia" w:hAnsiTheme="minorEastAsia"/>
        </w:rPr>
        <w:t>。</w:t>
      </w:r>
    </w:p>
    <w:p>
      <w:pPr>
        <w:pStyle w:val="89"/>
        <w:spacing w:before="312" w:after="312"/>
        <w:rPr>
          <w:rFonts w:hint="default"/>
        </w:rPr>
      </w:pPr>
      <w:bookmarkStart w:id="37" w:name="_Toc97192965"/>
      <w:bookmarkStart w:id="38" w:name="_Toc26986772"/>
      <w:bookmarkStart w:id="39" w:name="_Toc26986531"/>
      <w:bookmarkStart w:id="40" w:name="_Toc26718931"/>
      <w:bookmarkStart w:id="41" w:name="_Toc106639522"/>
      <w:r>
        <w:t>规范性引用文件</w:t>
      </w:r>
      <w:bookmarkEnd w:id="31"/>
      <w:bookmarkEnd w:id="32"/>
      <w:bookmarkEnd w:id="33"/>
      <w:bookmarkEnd w:id="34"/>
      <w:bookmarkEnd w:id="35"/>
      <w:bookmarkEnd w:id="37"/>
      <w:bookmarkEnd w:id="38"/>
      <w:bookmarkEnd w:id="39"/>
      <w:bookmarkEnd w:id="40"/>
      <w:bookmarkEnd w:id="41"/>
    </w:p>
    <w:p>
      <w:pPr>
        <w:pStyle w:val="85"/>
        <w:ind w:firstLine="420"/>
        <w:rPr>
          <w:rFonts w:hint="default"/>
        </w:rPr>
      </w:pPr>
      <w: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85"/>
        <w:ind w:firstLine="420"/>
        <w:rPr>
          <w:rFonts w:hint="default" w:ascii="Times New Roman"/>
        </w:rPr>
      </w:pPr>
      <w:r>
        <w:rPr>
          <w:rFonts w:ascii="Times New Roman"/>
        </w:rPr>
        <w:t>GB/T 219     煤灰熔融性的测定方法</w:t>
      </w:r>
    </w:p>
    <w:p>
      <w:pPr>
        <w:pStyle w:val="85"/>
        <w:ind w:firstLine="420"/>
        <w:rPr>
          <w:rFonts w:hint="default" w:ascii="Times New Roman"/>
        </w:rPr>
      </w:pPr>
      <w:r>
        <w:rPr>
          <w:rFonts w:ascii="Times New Roman"/>
        </w:rPr>
        <w:t>GB/T 1574    煤灰成分分析方法</w:t>
      </w:r>
    </w:p>
    <w:p>
      <w:pPr>
        <w:pStyle w:val="85"/>
        <w:ind w:firstLine="420"/>
        <w:rPr>
          <w:rFonts w:hint="default" w:ascii="Times New Roman"/>
        </w:rPr>
      </w:pPr>
      <w:r>
        <w:rPr>
          <w:rFonts w:ascii="Times New Roman"/>
        </w:rPr>
        <w:t>GB/T 3558    煤中氯的测定方法</w:t>
      </w:r>
    </w:p>
    <w:p>
      <w:pPr>
        <w:pStyle w:val="85"/>
        <w:ind w:firstLine="420"/>
        <w:rPr>
          <w:rFonts w:hint="default" w:ascii="Times New Roman"/>
        </w:rPr>
      </w:pPr>
      <w:r>
        <w:rPr>
          <w:rFonts w:hint="default" w:ascii="Times New Roman"/>
        </w:rPr>
        <w:t>GB/T 28731   固体生物质燃料工业分析方法</w:t>
      </w:r>
    </w:p>
    <w:p>
      <w:pPr>
        <w:pStyle w:val="85"/>
        <w:ind w:firstLine="420"/>
        <w:rPr>
          <w:rFonts w:hint="default" w:ascii="Times New Roman"/>
        </w:rPr>
      </w:pPr>
      <w:r>
        <w:rPr>
          <w:rFonts w:ascii="Times New Roman"/>
        </w:rPr>
        <w:t>GB/T 28732   固体生物质燃料全硫测定方法</w:t>
      </w:r>
    </w:p>
    <w:p>
      <w:pPr>
        <w:pStyle w:val="85"/>
        <w:ind w:firstLine="420"/>
        <w:rPr>
          <w:rFonts w:hint="default" w:ascii="Times New Roman"/>
        </w:rPr>
      </w:pPr>
      <w:r>
        <w:rPr>
          <w:rFonts w:ascii="Times New Roman"/>
        </w:rPr>
        <w:t>GB/T 28734   固体生物质燃料中碳氢测定方法</w:t>
      </w:r>
    </w:p>
    <w:p>
      <w:pPr>
        <w:pStyle w:val="85"/>
        <w:ind w:firstLine="420"/>
        <w:rPr>
          <w:rFonts w:hint="default" w:ascii="Times New Roman"/>
        </w:rPr>
      </w:pPr>
      <w:r>
        <w:rPr>
          <w:rFonts w:ascii="Times New Roman"/>
        </w:rPr>
        <w:t>GB/T 30725   固体生物质燃料灰成分测定方法</w:t>
      </w:r>
    </w:p>
    <w:p>
      <w:pPr>
        <w:pStyle w:val="85"/>
        <w:ind w:firstLine="420"/>
        <w:rPr>
          <w:rFonts w:hint="default" w:ascii="Times New Roman"/>
        </w:rPr>
      </w:pPr>
      <w:r>
        <w:rPr>
          <w:rFonts w:ascii="Times New Roman"/>
        </w:rPr>
        <w:t>GB/T 30727   固体生物质燃料发热量测定方法</w:t>
      </w:r>
    </w:p>
    <w:p>
      <w:pPr>
        <w:pStyle w:val="85"/>
        <w:ind w:firstLine="420"/>
        <w:rPr>
          <w:rFonts w:hint="default" w:ascii="Times New Roman"/>
        </w:rPr>
      </w:pPr>
      <w:r>
        <w:rPr>
          <w:rFonts w:ascii="Times New Roman"/>
        </w:rPr>
        <w:t>G</w:t>
      </w:r>
      <w:r>
        <w:rPr>
          <w:rFonts w:hint="default" w:ascii="Times New Roman"/>
        </w:rPr>
        <w:t xml:space="preserve">B/T 30728   </w:t>
      </w:r>
      <w:r>
        <w:rPr>
          <w:rFonts w:ascii="Times New Roman"/>
        </w:rPr>
        <w:t>固体生物质燃料中氮的测量方法</w:t>
      </w:r>
    </w:p>
    <w:p>
      <w:pPr>
        <w:pStyle w:val="85"/>
        <w:ind w:firstLine="420"/>
        <w:rPr>
          <w:rFonts w:hint="default" w:ascii="Times New Roman"/>
        </w:rPr>
      </w:pPr>
      <w:r>
        <w:rPr>
          <w:rFonts w:ascii="Times New Roman"/>
        </w:rPr>
        <w:t>GB/T 30729</w:t>
      </w:r>
      <w:r>
        <w:rPr>
          <w:rFonts w:hint="default" w:ascii="Times New Roman"/>
        </w:rPr>
        <w:t xml:space="preserve">   </w:t>
      </w:r>
      <w:r>
        <w:rPr>
          <w:rFonts w:ascii="Times New Roman"/>
        </w:rPr>
        <w:t>固体生物质燃料中氯的测定方法</w:t>
      </w:r>
    </w:p>
    <w:p>
      <w:pPr>
        <w:pStyle w:val="85"/>
        <w:ind w:firstLine="420"/>
        <w:rPr>
          <w:rFonts w:hint="default" w:ascii="Times New Roman"/>
        </w:rPr>
      </w:pPr>
      <w:r>
        <w:rPr>
          <w:rFonts w:hint="default" w:ascii="Times New Roman"/>
        </w:rPr>
        <w:t>GB 34330     固体废物鉴别标准—通则</w:t>
      </w:r>
    </w:p>
    <w:p>
      <w:pPr>
        <w:pStyle w:val="85"/>
        <w:ind w:firstLine="420"/>
        <w:rPr>
          <w:rFonts w:hint="default" w:ascii="Times New Roman"/>
        </w:rPr>
      </w:pPr>
      <w:r>
        <w:rPr>
          <w:rFonts w:hint="default" w:ascii="Times New Roman"/>
        </w:rPr>
        <w:t>GB/T 39198   一般固体废物分类与代码</w:t>
      </w:r>
    </w:p>
    <w:p>
      <w:pPr>
        <w:pStyle w:val="85"/>
        <w:ind w:firstLine="420"/>
        <w:rPr>
          <w:rFonts w:hint="default" w:ascii="Times New Roman"/>
        </w:rPr>
      </w:pPr>
    </w:p>
    <w:p>
      <w:pPr>
        <w:pStyle w:val="89"/>
        <w:spacing w:before="312" w:after="312"/>
        <w:rPr>
          <w:rFonts w:hint="default"/>
        </w:rPr>
      </w:pPr>
      <w:bookmarkStart w:id="42" w:name="_Toc97192966"/>
      <w:bookmarkStart w:id="43" w:name="_Toc106639523"/>
      <w:r>
        <w:rPr>
          <w:szCs w:val="21"/>
        </w:rPr>
        <w:t>术语和定义</w:t>
      </w:r>
      <w:bookmarkEnd w:id="42"/>
      <w:bookmarkEnd w:id="43"/>
    </w:p>
    <w:p>
      <w:pPr>
        <w:pStyle w:val="85"/>
        <w:ind w:firstLine="420"/>
        <w:rPr>
          <w:rFonts w:hint="default"/>
        </w:rPr>
      </w:pPr>
      <w:bookmarkStart w:id="44" w:name="_Toc26986532"/>
      <w:bookmarkEnd w:id="44"/>
      <w:r>
        <w:t>下列术语和定义适用于本文件。</w:t>
      </w:r>
    </w:p>
    <w:p>
      <w:pPr>
        <w:pStyle w:val="90"/>
        <w:spacing w:before="156" w:after="156"/>
        <w:rPr>
          <w:rFonts w:hint="default" w:asciiTheme="minorEastAsia" w:hAnsiTheme="minorEastAsia" w:eastAsiaTheme="minorEastAsia"/>
        </w:rPr>
      </w:pPr>
      <w:r>
        <w:rPr>
          <w:rFonts w:asciiTheme="minorEastAsia" w:hAnsiTheme="minorEastAsia" w:eastAsiaTheme="minorEastAsia"/>
        </w:rPr>
        <w:t xml:space="preserve">一般可燃固体废弃物 </w:t>
      </w:r>
      <w:r>
        <w:rPr>
          <w:rFonts w:ascii="Times New Roman" w:eastAsiaTheme="minorEastAsia"/>
        </w:rPr>
        <w:t>g</w:t>
      </w:r>
      <w:r>
        <w:rPr>
          <w:rFonts w:hint="default" w:ascii="Times New Roman" w:eastAsiaTheme="minorEastAsia"/>
        </w:rPr>
        <w:t>eneral combustible solid waste</w:t>
      </w:r>
    </w:p>
    <w:p>
      <w:pPr>
        <w:pStyle w:val="85"/>
        <w:ind w:firstLine="420"/>
        <w:rPr>
          <w:rFonts w:hint="default"/>
        </w:rPr>
      </w:pPr>
      <w:r>
        <w:rPr>
          <w:rFonts w:cs="黑体" w:asciiTheme="minorEastAsia" w:hAnsiTheme="minorEastAsia" w:eastAsiaTheme="minorEastAsia"/>
        </w:rPr>
        <w:t>一般可燃工业固</w:t>
      </w:r>
      <w:r>
        <w:rPr>
          <w:rFonts w:hint="default" w:ascii="Times New Roman" w:eastAsiaTheme="minorEastAsia"/>
        </w:rPr>
        <w:t>体废弃物（名录可参见GB/T 39198）和农林</w:t>
      </w:r>
      <w:r>
        <w:rPr>
          <w:rFonts w:cs="黑体" w:asciiTheme="minorEastAsia" w:hAnsiTheme="minorEastAsia" w:eastAsiaTheme="minorEastAsia"/>
        </w:rPr>
        <w:t>固体废弃物及其混合物，如秸秆、麦秆、树皮、稻壳、纺织品废弃物、皮革废弃物、废木材</w:t>
      </w:r>
      <w:r>
        <w:rPr>
          <w:rFonts w:hint="eastAsia" w:cs="黑体" w:asciiTheme="minorEastAsia" w:hAnsiTheme="minorEastAsia" w:eastAsiaTheme="minorEastAsia"/>
          <w:lang w:eastAsia="zh-CN"/>
        </w:rPr>
        <w:t>、</w:t>
      </w:r>
      <w:r>
        <w:rPr>
          <w:rFonts w:hint="eastAsia" w:cs="黑体" w:asciiTheme="minorEastAsia" w:hAnsiTheme="minorEastAsia" w:eastAsiaTheme="minorEastAsia"/>
          <w:lang w:val="en-US" w:eastAsia="zh-CN"/>
        </w:rPr>
        <w:t>废家具料</w:t>
      </w:r>
      <w:r>
        <w:rPr>
          <w:rFonts w:cs="黑体" w:asciiTheme="minorEastAsia" w:hAnsiTheme="minorEastAsia" w:eastAsiaTheme="minorEastAsia"/>
        </w:rPr>
        <w:t>、废纸、废橡胶、废塑料、废复合包装物、植物残留物、谷物和食品加工废料、动物残体、畜禽粪便、中药渣、废水污泥等，危险废弃物除外。</w:t>
      </w:r>
    </w:p>
    <w:p>
      <w:pPr>
        <w:pStyle w:val="90"/>
        <w:spacing w:before="156" w:after="156"/>
        <w:rPr>
          <w:rFonts w:hint="default" w:asciiTheme="minorEastAsia" w:hAnsiTheme="minorEastAsia" w:eastAsiaTheme="minorEastAsia"/>
        </w:rPr>
      </w:pPr>
      <w:r>
        <w:rPr>
          <w:rFonts w:asciiTheme="minorEastAsia" w:hAnsiTheme="minorEastAsia" w:eastAsiaTheme="minorEastAsia"/>
        </w:rPr>
        <w:t>燃料</w:t>
      </w:r>
      <w:r>
        <w:rPr>
          <w:rFonts w:hint="default" w:ascii="Times New Roman" w:eastAsiaTheme="minorEastAsia"/>
        </w:rPr>
        <w:t xml:space="preserve"> fuel</w:t>
      </w:r>
    </w:p>
    <w:p>
      <w:pPr>
        <w:pStyle w:val="85"/>
        <w:ind w:firstLine="420"/>
        <w:rPr>
          <w:rFonts w:hint="default"/>
        </w:rPr>
      </w:pPr>
      <w:r>
        <w:t>指3</w:t>
      </w:r>
      <w:r>
        <w:rPr>
          <w:rFonts w:hint="default"/>
        </w:rPr>
        <w:t>.1</w:t>
      </w:r>
      <w:r>
        <w:t>中约定的一种或多种一般可燃固体废弃物的混合物，用于作为进入循环流化床锅炉燃烧的原料。</w:t>
      </w:r>
    </w:p>
    <w:p>
      <w:pPr>
        <w:pStyle w:val="90"/>
        <w:spacing w:before="156" w:after="156"/>
        <w:rPr>
          <w:rFonts w:hint="default" w:ascii="Times New Roman" w:eastAsia="宋体"/>
        </w:rPr>
      </w:pPr>
      <w:r>
        <w:rPr>
          <w:rFonts w:ascii="Times New Roman" w:eastAsia="宋体"/>
        </w:rPr>
        <w:t>燃料配伍 fuel matching</w:t>
      </w:r>
    </w:p>
    <w:p>
      <w:pPr>
        <w:pStyle w:val="85"/>
        <w:ind w:firstLine="420"/>
        <w:rPr>
          <w:rFonts w:hint="default"/>
        </w:rPr>
      </w:pPr>
      <w:r>
        <w:rPr>
          <w:rFonts w:cs="黑体" w:asciiTheme="minorEastAsia" w:hAnsiTheme="minorEastAsia" w:eastAsiaTheme="minorEastAsia"/>
        </w:rPr>
        <w:t>把两种或两种以上的一般可燃固体废弃物按照一定的比例掺混起来作为燃料使用。</w:t>
      </w:r>
    </w:p>
    <w:p>
      <w:pPr>
        <w:pStyle w:val="90"/>
        <w:spacing w:before="156" w:after="156"/>
        <w:rPr>
          <w:rFonts w:hint="default" w:ascii="Times New Roman" w:eastAsia="宋体"/>
        </w:rPr>
      </w:pPr>
      <w:bookmarkStart w:id="45" w:name="OLE_LINK2"/>
      <w:r>
        <w:rPr>
          <w:rFonts w:ascii="Times New Roman" w:eastAsia="宋体"/>
        </w:rPr>
        <w:t>破碎装置</w:t>
      </w:r>
      <w:bookmarkEnd w:id="45"/>
      <w:r>
        <w:rPr>
          <w:rFonts w:ascii="Times New Roman" w:eastAsia="宋体"/>
        </w:rPr>
        <w:t xml:space="preserve"> crushing equipment</w:t>
      </w:r>
    </w:p>
    <w:p>
      <w:pPr>
        <w:pStyle w:val="85"/>
        <w:ind w:firstLine="420"/>
        <w:rPr>
          <w:rFonts w:hint="default" w:cs="黑体" w:asciiTheme="minorEastAsia" w:hAnsiTheme="minorEastAsia" w:eastAsiaTheme="minorEastAsia"/>
        </w:rPr>
      </w:pPr>
      <w:r>
        <w:rPr>
          <w:rFonts w:cs="黑体" w:asciiTheme="minorEastAsia" w:hAnsiTheme="minorEastAsia" w:eastAsiaTheme="minorEastAsia"/>
        </w:rPr>
        <w:t>将大块一般可燃固体废弃物通过外力破坏作用成为满足入炉要求的小块，主要有剪切式破碎、颚式破碎和辊式破碎等型式。</w:t>
      </w:r>
    </w:p>
    <w:p>
      <w:pPr>
        <w:pStyle w:val="90"/>
        <w:spacing w:before="156" w:after="156"/>
        <w:rPr>
          <w:rFonts w:hint="default" w:ascii="Times New Roman" w:eastAsia="宋体"/>
        </w:rPr>
      </w:pPr>
      <w:r>
        <w:rPr>
          <w:rFonts w:ascii="Times New Roman" w:eastAsia="宋体"/>
        </w:rPr>
        <w:t>燃料特性 fuel</w:t>
      </w:r>
      <w:r>
        <w:rPr>
          <w:rFonts w:hint="default" w:ascii="Times New Roman" w:eastAsia="宋体"/>
        </w:rPr>
        <w:t xml:space="preserve"> </w:t>
      </w:r>
      <w:r>
        <w:rPr>
          <w:rFonts w:ascii="Times New Roman" w:eastAsia="宋体"/>
        </w:rPr>
        <w:t>characteristics</w:t>
      </w:r>
    </w:p>
    <w:p>
      <w:pPr>
        <w:pStyle w:val="85"/>
        <w:ind w:firstLine="420"/>
        <w:rPr>
          <w:rFonts w:hint="default" w:ascii="Times New Roman" w:eastAsiaTheme="minorEastAsia"/>
        </w:rPr>
      </w:pPr>
      <w:r>
        <w:rPr>
          <w:rFonts w:hint="default" w:ascii="Times New Roman" w:eastAsiaTheme="minorEastAsia"/>
        </w:rPr>
        <w:t>包括燃料的工业分析、元素分析、热值以及灰分分析等，工业分析包括水分含量、灰分含量、挥发分含量和焦炭含量；元素分析包括C、H、O、N、S、Cl等元素含量分析；灰分分析包含灰熔点相关的分析、灰分中金属氧化物和非金属氧化物的含量分析。</w:t>
      </w:r>
    </w:p>
    <w:p>
      <w:pPr>
        <w:pStyle w:val="85"/>
        <w:ind w:firstLine="0" w:firstLineChars="0"/>
        <w:rPr>
          <w:rFonts w:hint="default"/>
        </w:rPr>
      </w:pPr>
    </w:p>
    <w:p>
      <w:pPr>
        <w:pStyle w:val="89"/>
        <w:spacing w:before="312" w:after="312"/>
        <w:rPr>
          <w:rFonts w:hint="default"/>
        </w:rPr>
      </w:pPr>
      <w:r>
        <w:t>总则</w:t>
      </w:r>
      <w:bookmarkStart w:id="46" w:name="_Toc106639525"/>
    </w:p>
    <w:p>
      <w:pPr>
        <w:pStyle w:val="90"/>
        <w:spacing w:before="156" w:after="156"/>
        <w:rPr>
          <w:rFonts w:hint="default"/>
        </w:rPr>
      </w:pPr>
      <w:r>
        <w:rPr>
          <w:rFonts w:asciiTheme="minorEastAsia" w:hAnsiTheme="minorEastAsia" w:eastAsiaTheme="minorEastAsia"/>
        </w:rPr>
        <w:t>一般可燃固体废弃物配伍的具体工艺流程应结合工程规模、厂址、锅炉运行方式、设计和校核燃料、燃料处理与储运等技术条件综合选定可以带来经济效益或社会效益的燃料种类和掺混比例。</w:t>
      </w:r>
    </w:p>
    <w:p>
      <w:pPr>
        <w:pStyle w:val="90"/>
        <w:spacing w:before="156" w:after="156"/>
        <w:rPr>
          <w:rFonts w:hint="default"/>
        </w:rPr>
      </w:pPr>
      <w:r>
        <w:rPr>
          <w:rFonts w:ascii="Times New Roman" w:eastAsia="宋体"/>
        </w:rPr>
        <w:t>不同一般可燃工业固体废弃物分别通过输送系统进入破碎机进行破碎，随后经过除杂和筛分后合格的产品进入掺混系统进行混合。</w:t>
      </w:r>
    </w:p>
    <w:p>
      <w:pPr>
        <w:pStyle w:val="90"/>
        <w:spacing w:before="156" w:after="156"/>
        <w:rPr>
          <w:rFonts w:hint="default" w:asciiTheme="minorEastAsia" w:hAnsiTheme="minorEastAsia" w:eastAsiaTheme="minorEastAsia"/>
        </w:rPr>
      </w:pPr>
      <w:r>
        <w:rPr>
          <w:rFonts w:hint="default" w:ascii="Times New Roman" w:eastAsiaTheme="minorEastAsia"/>
        </w:rPr>
        <w:t>应根据入厂一般可燃固体废弃物的</w:t>
      </w:r>
      <w:r>
        <w:rPr>
          <w:rFonts w:ascii="Times New Roman" w:eastAsiaTheme="minorEastAsia"/>
        </w:rPr>
        <w:t>组分</w:t>
      </w:r>
      <w:r>
        <w:rPr>
          <w:rFonts w:hint="default" w:ascii="Times New Roman" w:eastAsiaTheme="minorEastAsia"/>
        </w:rPr>
        <w:t>、</w:t>
      </w:r>
      <w:r>
        <w:rPr>
          <w:rFonts w:ascii="Times New Roman" w:eastAsiaTheme="minorEastAsia"/>
        </w:rPr>
        <w:t>破碎难度以及燃烧特性</w:t>
      </w:r>
      <w:r>
        <w:rPr>
          <w:rFonts w:hint="default" w:ascii="Times New Roman" w:eastAsiaTheme="minorEastAsia"/>
        </w:rPr>
        <w:t>等情况，</w:t>
      </w:r>
      <w:r>
        <w:rPr>
          <w:rFonts w:ascii="Times New Roman" w:eastAsiaTheme="minorEastAsia"/>
        </w:rPr>
        <w:t>根据</w:t>
      </w:r>
      <w:r>
        <w:rPr>
          <w:rFonts w:hint="default" w:ascii="Times New Roman" w:eastAsiaTheme="minorEastAsia"/>
        </w:rPr>
        <w:t>不同废弃物原料</w:t>
      </w:r>
      <w:r>
        <w:rPr>
          <w:rFonts w:ascii="Times New Roman" w:eastAsiaTheme="minorEastAsia"/>
        </w:rPr>
        <w:t>的破碎特性和原始尺寸选取破碎装置，从而保证入炉燃料的尺寸，入炉</w:t>
      </w:r>
      <w:r>
        <w:rPr>
          <w:rFonts w:hint="default" w:ascii="Times New Roman" w:eastAsiaTheme="minorEastAsia"/>
        </w:rPr>
        <w:t>燃料</w:t>
      </w:r>
      <w:r>
        <w:rPr>
          <w:rFonts w:ascii="Times New Roman" w:eastAsiaTheme="minorEastAsia"/>
        </w:rPr>
        <w:t>尺寸宜</w:t>
      </w:r>
      <w:r>
        <w:rPr>
          <w:rFonts w:hint="default" w:ascii="Times New Roman" w:eastAsiaTheme="minorEastAsia"/>
        </w:rPr>
        <w:t xml:space="preserve">≤ </w:t>
      </w:r>
      <w:r>
        <w:rPr>
          <w:rFonts w:hint="eastAsia" w:ascii="Times New Roman" w:eastAsiaTheme="minorEastAsia"/>
          <w:lang w:val="en-US" w:eastAsia="zh-CN"/>
        </w:rPr>
        <w:t>10</w:t>
      </w:r>
      <w:r>
        <w:rPr>
          <w:rFonts w:hint="default" w:ascii="Times New Roman" w:eastAsiaTheme="minorEastAsia"/>
        </w:rPr>
        <w:t>0 mm</w:t>
      </w:r>
      <w:r>
        <w:rPr>
          <w:rFonts w:ascii="Times New Roman" w:eastAsiaTheme="minorEastAsia"/>
        </w:rPr>
        <w:t>。</w:t>
      </w:r>
    </w:p>
    <w:p>
      <w:pPr>
        <w:pStyle w:val="90"/>
        <w:spacing w:before="156" w:after="156"/>
        <w:rPr>
          <w:rFonts w:hint="default" w:asciiTheme="minorEastAsia" w:hAnsiTheme="minorEastAsia" w:eastAsiaTheme="minorEastAsia"/>
        </w:rPr>
      </w:pPr>
      <w:r>
        <w:rPr>
          <w:rFonts w:asciiTheme="minorEastAsia" w:hAnsiTheme="minorEastAsia" w:eastAsiaTheme="minorEastAsia"/>
        </w:rPr>
        <w:t>一般可燃固体废弃物焚烧前应按照一定比例进行配伍，这些废弃物一般与设计燃料或校核燃料特性具有差异，这些差异包括灰分差异、水分差异、热值差异以及及氮和硫成分差异等，掺混后燃料特性应与设计燃料特性较接近。</w:t>
      </w:r>
    </w:p>
    <w:p>
      <w:pPr>
        <w:pStyle w:val="90"/>
        <w:spacing w:before="156" w:after="156"/>
        <w:rPr>
          <w:rFonts w:hint="default" w:asciiTheme="minorEastAsia" w:hAnsiTheme="minorEastAsia" w:eastAsiaTheme="minorEastAsia"/>
        </w:rPr>
      </w:pPr>
      <w:r>
        <w:rPr>
          <w:rFonts w:asciiTheme="minorEastAsia" w:hAnsiTheme="minorEastAsia" w:eastAsiaTheme="minorEastAsia"/>
        </w:rPr>
        <w:t>配伍后燃料参数</w:t>
      </w:r>
      <w:r>
        <w:rPr>
          <w:rFonts w:hint="default" w:ascii="Times New Roman" w:eastAsiaTheme="minorEastAsia"/>
          <w:i/>
          <w:iCs/>
        </w:rPr>
        <w:t>RL</w:t>
      </w:r>
      <w:r>
        <w:rPr>
          <w:rFonts w:asciiTheme="minorEastAsia" w:hAnsiTheme="minorEastAsia" w:eastAsiaTheme="minorEastAsia"/>
        </w:rPr>
        <w:t>（水分、灰分、挥发分、发热量、氮、硫等）按照公式（1）计算：</w:t>
      </w:r>
    </w:p>
    <w:p>
      <w:pPr>
        <w:pStyle w:val="90"/>
        <w:numPr>
          <w:ilvl w:val="0"/>
          <w:numId w:val="0"/>
        </w:numPr>
        <w:spacing w:before="156" w:after="156"/>
        <w:jc w:val="right"/>
        <w:rPr>
          <w:rFonts w:hint="default" w:ascii="Times New Roman" w:eastAsiaTheme="minorEastAsia"/>
        </w:rPr>
      </w:pPr>
      <m:oMath>
        <m:r>
          <m:rPr>
            <m:nor/>
          </m:rPr>
          <w:rPr>
            <w:rStyle w:val="94"/>
            <w:rFonts w:hint="default" w:ascii="Times New Roman"/>
            <w:i/>
            <w:iCs/>
            <w:color w:val="auto"/>
          </w:rPr>
          <m:t>RL</m:t>
        </m:r>
        <m:r>
          <m:rPr>
            <m:nor/>
          </m:rPr>
          <w:rPr>
            <w:rStyle w:val="94"/>
            <w:rFonts w:hint="default" w:ascii="Cambria Math"/>
            <w:i/>
            <w:iCs/>
            <w:color w:val="auto"/>
          </w:rPr>
          <m:t xml:space="preserve"> </m:t>
        </m:r>
        <m:r>
          <m:rPr>
            <m:nor/>
            <m:sty m:val="p"/>
          </m:rPr>
          <w:rPr>
            <w:rStyle w:val="94"/>
            <w:rFonts w:hint="default" w:ascii="Times New Roman"/>
            <w:b w:val="0"/>
            <w:i w:val="0"/>
            <w:color w:val="auto"/>
          </w:rPr>
          <m:t>=</m:t>
        </m:r>
        <m:r>
          <m:rPr>
            <m:nor/>
            <m:sty m:val="p"/>
          </m:rPr>
          <w:rPr>
            <w:rStyle w:val="94"/>
            <w:rFonts w:hint="default" w:ascii="Cambria Math"/>
            <w:b w:val="0"/>
            <w:i w:val="0"/>
            <w:color w:val="auto"/>
          </w:rPr>
          <m:t xml:space="preserve"> </m:t>
        </m:r>
        <m:f>
          <m:fPr>
            <m:ctrlPr>
              <w:rPr>
                <w:rStyle w:val="94"/>
                <w:rFonts w:hint="default" w:ascii="Cambria Math" w:hAnsi="Cambria Math"/>
                <w:i/>
                <w:color w:val="auto"/>
              </w:rPr>
            </m:ctrlPr>
          </m:fPr>
          <m:num>
            <m:nary>
              <m:naryPr>
                <m:chr m:val="∑"/>
                <m:limLoc m:val="subSup"/>
                <m:ctrlPr>
                  <w:rPr>
                    <w:rStyle w:val="94"/>
                    <w:rFonts w:hint="default" w:ascii="Cambria Math" w:hAnsi="Cambria Math"/>
                    <w:i/>
                    <w:color w:val="auto"/>
                  </w:rPr>
                </m:ctrlPr>
              </m:naryPr>
              <m:sub>
                <m:r>
                  <m:rPr>
                    <m:nor/>
                  </m:rPr>
                  <w:rPr>
                    <w:rStyle w:val="94"/>
                    <w:rFonts w:hint="default" w:ascii="Times New Roman"/>
                    <w:i/>
                    <w:iCs/>
                    <w:color w:val="auto"/>
                  </w:rPr>
                  <m:t>i</m:t>
                </m:r>
                <m:r>
                  <m:rPr>
                    <m:nor/>
                    <m:sty m:val="p"/>
                  </m:rPr>
                  <w:rPr>
                    <w:rStyle w:val="94"/>
                    <w:rFonts w:hint="default" w:ascii="Times New Roman"/>
                    <w:b w:val="0"/>
                    <w:i w:val="0"/>
                    <w:color w:val="auto"/>
                  </w:rPr>
                  <m:t>=1</m:t>
                </m:r>
                <m:ctrlPr>
                  <w:rPr>
                    <w:rStyle w:val="94"/>
                    <w:rFonts w:hint="default" w:ascii="Cambria Math" w:hAnsi="Cambria Math"/>
                    <w:i/>
                    <w:color w:val="auto"/>
                  </w:rPr>
                </m:ctrlPr>
              </m:sub>
              <m:sup>
                <m:r>
                  <m:rPr>
                    <m:nor/>
                  </m:rPr>
                  <w:rPr>
                    <w:rStyle w:val="94"/>
                    <w:rFonts w:hint="default" w:ascii="Times New Roman"/>
                    <w:i/>
                    <w:iCs/>
                    <w:color w:val="auto"/>
                  </w:rPr>
                  <m:t>n</m:t>
                </m:r>
                <m:ctrlPr>
                  <w:rPr>
                    <w:rStyle w:val="94"/>
                    <w:rFonts w:hint="default" w:ascii="Cambria Math" w:hAnsi="Cambria Math"/>
                    <w:i/>
                    <w:color w:val="auto"/>
                  </w:rPr>
                </m:ctrlPr>
              </m:sup>
              <m:e>
                <m:sSub>
                  <m:sSubPr>
                    <m:ctrlPr>
                      <w:rPr>
                        <w:rStyle w:val="94"/>
                        <w:rFonts w:hint="default" w:ascii="Cambria Math" w:hAnsi="Cambria Math"/>
                        <w:i/>
                        <w:color w:val="auto"/>
                      </w:rPr>
                    </m:ctrlPr>
                  </m:sSubPr>
                  <m:e>
                    <m:r>
                      <m:rPr>
                        <m:nor/>
                      </m:rPr>
                      <w:rPr>
                        <w:rStyle w:val="94"/>
                        <w:rFonts w:hint="default" w:ascii="Times New Roman"/>
                        <w:i/>
                        <w:iCs/>
                        <w:color w:val="auto"/>
                      </w:rPr>
                      <m:t>P</m:t>
                    </m:r>
                    <m:ctrlPr>
                      <w:rPr>
                        <w:rStyle w:val="94"/>
                        <w:rFonts w:hint="default" w:ascii="Cambria Math" w:hAnsi="Cambria Math"/>
                        <w:i/>
                        <w:color w:val="auto"/>
                      </w:rPr>
                    </m:ctrlPr>
                  </m:e>
                  <m:sub>
                    <m:r>
                      <m:rPr>
                        <m:nor/>
                        <m:sty m:val="p"/>
                      </m:rPr>
                      <w:rPr>
                        <w:rStyle w:val="94"/>
                        <w:rFonts w:hint="default" w:ascii="Times New Roman"/>
                        <w:b w:val="0"/>
                        <w:i w:val="0"/>
                        <w:color w:val="auto"/>
                      </w:rPr>
                      <m:t>i</m:t>
                    </m:r>
                    <m:ctrlPr>
                      <w:rPr>
                        <w:rStyle w:val="94"/>
                        <w:rFonts w:hint="default" w:ascii="Cambria Math" w:hAnsi="Cambria Math"/>
                        <w:i/>
                        <w:color w:val="auto"/>
                      </w:rPr>
                    </m:ctrlPr>
                  </m:sub>
                </m:sSub>
                <m:r>
                  <m:rPr>
                    <m:nor/>
                    <m:sty m:val="p"/>
                  </m:rPr>
                  <w:rPr>
                    <w:rStyle w:val="94"/>
                    <w:rFonts w:hint="default" w:ascii="Times New Roman"/>
                    <w:b w:val="0"/>
                    <w:i w:val="0"/>
                    <w:color w:val="auto"/>
                  </w:rPr>
                  <m:t>×</m:t>
                </m:r>
                <m:sSub>
                  <m:sSubPr>
                    <m:ctrlPr>
                      <w:rPr>
                        <w:rStyle w:val="94"/>
                        <w:rFonts w:hint="default" w:ascii="Cambria Math" w:hAnsi="Cambria Math"/>
                        <w:i/>
                        <w:color w:val="auto"/>
                      </w:rPr>
                    </m:ctrlPr>
                  </m:sSubPr>
                  <m:e>
                    <m:r>
                      <m:rPr>
                        <m:nor/>
                      </m:rPr>
                      <w:rPr>
                        <w:rStyle w:val="94"/>
                        <w:rFonts w:hint="default" w:ascii="Times New Roman"/>
                        <w:i/>
                        <w:iCs/>
                        <w:color w:val="auto"/>
                      </w:rPr>
                      <m:t>C</m:t>
                    </m:r>
                    <m:ctrlPr>
                      <w:rPr>
                        <w:rStyle w:val="94"/>
                        <w:rFonts w:hint="default" w:ascii="Cambria Math" w:hAnsi="Cambria Math"/>
                        <w:i/>
                        <w:color w:val="auto"/>
                      </w:rPr>
                    </m:ctrlPr>
                  </m:e>
                  <m:sub>
                    <m:r>
                      <m:rPr>
                        <m:nor/>
                        <m:sty m:val="p"/>
                      </m:rPr>
                      <w:rPr>
                        <w:rStyle w:val="94"/>
                        <w:rFonts w:hint="default" w:ascii="Times New Roman"/>
                        <w:b w:val="0"/>
                        <w:i w:val="0"/>
                        <w:color w:val="auto"/>
                      </w:rPr>
                      <m:t>i</m:t>
                    </m:r>
                    <m:ctrlPr>
                      <w:rPr>
                        <w:rStyle w:val="94"/>
                        <w:rFonts w:hint="default" w:ascii="Cambria Math" w:hAnsi="Cambria Math"/>
                        <w:i/>
                        <w:color w:val="auto"/>
                      </w:rPr>
                    </m:ctrlPr>
                  </m:sub>
                </m:sSub>
                <m:ctrlPr>
                  <w:rPr>
                    <w:rStyle w:val="94"/>
                    <w:rFonts w:hint="default" w:ascii="Cambria Math" w:hAnsi="Cambria Math"/>
                    <w:i/>
                    <w:color w:val="auto"/>
                  </w:rPr>
                </m:ctrlPr>
              </m:e>
            </m:nary>
            <m:ctrlPr>
              <w:rPr>
                <w:rStyle w:val="94"/>
                <w:rFonts w:hint="default" w:ascii="Cambria Math" w:hAnsi="Cambria Math"/>
                <w:i/>
                <w:color w:val="auto"/>
              </w:rPr>
            </m:ctrlPr>
          </m:num>
          <m:den>
            <m:nary>
              <m:naryPr>
                <m:chr m:val="∑"/>
                <m:limLoc m:val="subSup"/>
                <m:ctrlPr>
                  <w:rPr>
                    <w:rStyle w:val="94"/>
                    <w:rFonts w:hint="default" w:ascii="Cambria Math" w:hAnsi="Cambria Math"/>
                    <w:i/>
                    <w:color w:val="auto"/>
                  </w:rPr>
                </m:ctrlPr>
              </m:naryPr>
              <m:sub>
                <m:r>
                  <m:rPr>
                    <m:nor/>
                  </m:rPr>
                  <w:rPr>
                    <w:rStyle w:val="94"/>
                    <w:rFonts w:hint="default" w:ascii="Times New Roman"/>
                    <w:i/>
                    <w:iCs/>
                    <w:color w:val="auto"/>
                  </w:rPr>
                  <m:t>i</m:t>
                </m:r>
                <m:r>
                  <m:rPr>
                    <m:nor/>
                    <m:sty m:val="p"/>
                  </m:rPr>
                  <w:rPr>
                    <w:rStyle w:val="94"/>
                    <w:rFonts w:hint="default" w:ascii="Times New Roman"/>
                    <w:b w:val="0"/>
                    <w:i w:val="0"/>
                    <w:color w:val="auto"/>
                  </w:rPr>
                  <m:t>=1</m:t>
                </m:r>
                <m:ctrlPr>
                  <w:rPr>
                    <w:rStyle w:val="94"/>
                    <w:rFonts w:hint="default" w:ascii="Cambria Math" w:hAnsi="Cambria Math"/>
                    <w:i/>
                    <w:color w:val="auto"/>
                  </w:rPr>
                </m:ctrlPr>
              </m:sub>
              <m:sup>
                <m:r>
                  <m:rPr>
                    <m:nor/>
                  </m:rPr>
                  <w:rPr>
                    <w:rStyle w:val="94"/>
                    <w:rFonts w:hint="default" w:ascii="Times New Roman"/>
                    <w:i/>
                    <w:iCs/>
                    <w:color w:val="auto"/>
                  </w:rPr>
                  <m:t>n</m:t>
                </m:r>
                <m:ctrlPr>
                  <w:rPr>
                    <w:rStyle w:val="94"/>
                    <w:rFonts w:hint="default" w:ascii="Cambria Math" w:hAnsi="Cambria Math"/>
                    <w:i/>
                    <w:color w:val="auto"/>
                  </w:rPr>
                </m:ctrlPr>
              </m:sup>
              <m:e>
                <m:sSub>
                  <m:sSubPr>
                    <m:ctrlPr>
                      <w:rPr>
                        <w:rStyle w:val="94"/>
                        <w:rFonts w:hint="default" w:ascii="Cambria Math" w:hAnsi="Cambria Math"/>
                        <w:i/>
                        <w:color w:val="auto"/>
                      </w:rPr>
                    </m:ctrlPr>
                  </m:sSubPr>
                  <m:e>
                    <m:r>
                      <m:rPr>
                        <m:nor/>
                      </m:rPr>
                      <w:rPr>
                        <w:rStyle w:val="94"/>
                        <w:rFonts w:hint="default" w:ascii="Times New Roman"/>
                        <w:i/>
                        <w:iCs/>
                        <w:color w:val="auto"/>
                      </w:rPr>
                      <m:t>P</m:t>
                    </m:r>
                    <m:ctrlPr>
                      <w:rPr>
                        <w:rStyle w:val="94"/>
                        <w:rFonts w:hint="default" w:ascii="Cambria Math" w:hAnsi="Cambria Math"/>
                        <w:i/>
                        <w:color w:val="auto"/>
                      </w:rPr>
                    </m:ctrlPr>
                  </m:e>
                  <m:sub>
                    <m:r>
                      <m:rPr>
                        <m:nor/>
                        <m:sty m:val="p"/>
                      </m:rPr>
                      <w:rPr>
                        <w:rStyle w:val="94"/>
                        <w:rFonts w:hint="default" w:ascii="Times New Roman"/>
                        <w:b w:val="0"/>
                        <w:i w:val="0"/>
                        <w:color w:val="auto"/>
                      </w:rPr>
                      <m:t>i</m:t>
                    </m:r>
                    <m:ctrlPr>
                      <w:rPr>
                        <w:rStyle w:val="94"/>
                        <w:rFonts w:hint="default" w:ascii="Cambria Math" w:hAnsi="Cambria Math"/>
                        <w:i/>
                        <w:color w:val="auto"/>
                      </w:rPr>
                    </m:ctrlPr>
                  </m:sub>
                </m:sSub>
                <m:ctrlPr>
                  <w:rPr>
                    <w:rStyle w:val="94"/>
                    <w:rFonts w:hint="default" w:ascii="Cambria Math" w:hAnsi="Cambria Math"/>
                    <w:i/>
                    <w:color w:val="auto"/>
                  </w:rPr>
                </m:ctrlPr>
              </m:e>
            </m:nary>
            <m:ctrlPr>
              <w:rPr>
                <w:rStyle w:val="94"/>
                <w:rFonts w:hint="default" w:ascii="Cambria Math" w:hAnsi="Cambria Math"/>
                <w:i/>
                <w:color w:val="auto"/>
              </w:rPr>
            </m:ctrlPr>
          </m:den>
        </m:f>
      </m:oMath>
      <w:r>
        <w:rPr>
          <w:rFonts w:ascii="Times New Roman"/>
        </w:rPr>
        <w:t xml:space="preserve"> </w:t>
      </w:r>
      <w:r>
        <w:rPr>
          <w:rFonts w:hint="default" w:ascii="Times New Roman"/>
        </w:rPr>
        <w:t xml:space="preserve">                                     </w:t>
      </w:r>
      <w:r>
        <w:rPr>
          <w:rFonts w:ascii="Times New Roman"/>
        </w:rPr>
        <w:t>（1）</w:t>
      </w:r>
    </w:p>
    <w:p>
      <w:pPr>
        <w:pStyle w:val="85"/>
        <w:ind w:firstLine="420"/>
        <w:rPr>
          <w:rFonts w:hint="default" w:ascii="Times New Roman"/>
        </w:rPr>
      </w:pPr>
      <w:r>
        <w:rPr>
          <w:rFonts w:hint="default" w:ascii="Times New Roman"/>
        </w:rPr>
        <w:t>式中：</w:t>
      </w:r>
    </w:p>
    <w:p>
      <w:pPr>
        <w:pStyle w:val="85"/>
        <w:ind w:firstLine="420"/>
        <w:rPr>
          <w:rFonts w:hint="default" w:ascii="Times New Roman"/>
        </w:rPr>
      </w:pPr>
      <w:r>
        <w:rPr>
          <w:rFonts w:hint="default" w:ascii="Times New Roman"/>
          <w:i/>
          <w:iCs/>
        </w:rPr>
        <w:t>P</w:t>
      </w:r>
      <w:r>
        <w:rPr>
          <w:rFonts w:hint="default" w:ascii="Times New Roman"/>
          <w:vertAlign w:val="subscript"/>
        </w:rPr>
        <w:t>i</w:t>
      </w:r>
      <w:r>
        <w:rPr>
          <w:rFonts w:hint="default" w:ascii="Times New Roman"/>
        </w:rPr>
        <w:t>为</w:t>
      </w:r>
      <w:r>
        <w:rPr>
          <w:rFonts w:ascii="Times New Roman"/>
        </w:rPr>
        <w:t>单一</w:t>
      </w:r>
      <w:r>
        <w:rPr>
          <w:rFonts w:hint="default" w:ascii="Times New Roman"/>
        </w:rPr>
        <w:t>固废燃料</w:t>
      </w:r>
      <w:r>
        <w:rPr>
          <w:rFonts w:hint="default" w:ascii="Times New Roman"/>
          <w:i/>
          <w:iCs/>
        </w:rPr>
        <w:t>i</w:t>
      </w:r>
      <w:r>
        <w:rPr>
          <w:rFonts w:ascii="Times New Roman"/>
        </w:rPr>
        <w:t>占配伍后燃料</w:t>
      </w:r>
      <w:r>
        <w:rPr>
          <w:rFonts w:hint="default" w:ascii="Times New Roman"/>
        </w:rPr>
        <w:t>的质量分数</w:t>
      </w:r>
      <w:r>
        <w:rPr>
          <w:rFonts w:ascii="Times New Roman"/>
        </w:rPr>
        <w:t>，单位为%</w:t>
      </w:r>
      <w:r>
        <w:rPr>
          <w:rFonts w:hint="default" w:ascii="Times New Roman"/>
        </w:rPr>
        <w:t>；</w:t>
      </w:r>
    </w:p>
    <w:p>
      <w:pPr>
        <w:pStyle w:val="85"/>
        <w:ind w:firstLine="420"/>
        <w:rPr>
          <w:rFonts w:hint="default" w:ascii="Times New Roman"/>
        </w:rPr>
      </w:pPr>
      <w:r>
        <w:rPr>
          <w:rFonts w:hint="default" w:ascii="Times New Roman"/>
          <w:i/>
          <w:iCs/>
        </w:rPr>
        <w:t>C</w:t>
      </w:r>
      <w:r>
        <w:rPr>
          <w:rFonts w:hint="default" w:ascii="Times New Roman"/>
          <w:vertAlign w:val="subscript"/>
        </w:rPr>
        <w:t>i</w:t>
      </w:r>
      <w:r>
        <w:rPr>
          <w:rFonts w:hint="default" w:ascii="Times New Roman"/>
        </w:rPr>
        <w:t>为</w:t>
      </w:r>
      <w:r>
        <w:rPr>
          <w:rFonts w:ascii="Times New Roman"/>
        </w:rPr>
        <w:t>单一</w:t>
      </w:r>
      <w:r>
        <w:rPr>
          <w:rFonts w:hint="default" w:ascii="Times New Roman"/>
        </w:rPr>
        <w:t>固废燃料</w:t>
      </w:r>
      <w:r>
        <w:rPr>
          <w:rFonts w:hint="default" w:ascii="Times New Roman"/>
          <w:i/>
          <w:iCs/>
        </w:rPr>
        <w:t>i</w:t>
      </w:r>
      <w:r>
        <w:rPr>
          <w:rFonts w:hint="default" w:ascii="Times New Roman"/>
        </w:rPr>
        <w:t>的燃料</w:t>
      </w:r>
      <w:r>
        <w:rPr>
          <w:rFonts w:ascii="Times New Roman"/>
        </w:rPr>
        <w:t>参数，单位为%</w:t>
      </w:r>
      <w:r>
        <w:rPr>
          <w:rFonts w:hint="default" w:ascii="Times New Roman"/>
        </w:rPr>
        <w:t>。</w:t>
      </w:r>
    </w:p>
    <w:p>
      <w:pPr>
        <w:pStyle w:val="90"/>
        <w:spacing w:before="156" w:after="156"/>
        <w:rPr>
          <w:rFonts w:hint="default" w:asciiTheme="minorEastAsia" w:hAnsiTheme="minorEastAsia" w:eastAsiaTheme="minorEastAsia"/>
        </w:rPr>
      </w:pPr>
      <w:r>
        <w:rPr>
          <w:rFonts w:asciiTheme="minorEastAsia" w:hAnsiTheme="minorEastAsia" w:eastAsiaTheme="minorEastAsia"/>
        </w:rPr>
        <w:t>配伍后燃料灰分指标</w:t>
      </w:r>
      <w:r>
        <w:rPr>
          <w:rFonts w:hint="default" w:ascii="Times New Roman" w:eastAsiaTheme="minorEastAsia"/>
          <w:i/>
          <w:iCs/>
        </w:rPr>
        <w:t>HF</w:t>
      </w:r>
      <w:r>
        <w:rPr>
          <w:rFonts w:asciiTheme="minorEastAsia" w:hAnsiTheme="minorEastAsia" w:eastAsiaTheme="minorEastAsia"/>
        </w:rPr>
        <w:t>（包括金属氧化物和非金属氧化物等）按照公式（</w:t>
      </w:r>
      <w:r>
        <w:rPr>
          <w:rFonts w:hint="default" w:asciiTheme="minorEastAsia" w:hAnsiTheme="minorEastAsia" w:eastAsiaTheme="minorEastAsia"/>
        </w:rPr>
        <w:t>2</w:t>
      </w:r>
      <w:r>
        <w:rPr>
          <w:rFonts w:asciiTheme="minorEastAsia" w:hAnsiTheme="minorEastAsia" w:eastAsiaTheme="minorEastAsia"/>
        </w:rPr>
        <w:t>）计算：</w:t>
      </w:r>
    </w:p>
    <w:p>
      <w:pPr>
        <w:pStyle w:val="90"/>
        <w:numPr>
          <w:ilvl w:val="0"/>
          <w:numId w:val="0"/>
        </w:numPr>
        <w:spacing w:before="156" w:after="156"/>
        <w:jc w:val="right"/>
        <w:rPr>
          <w:rFonts w:hint="default" w:ascii="Times New Roman" w:eastAsiaTheme="minorEastAsia"/>
        </w:rPr>
      </w:pPr>
      <m:oMath>
        <m:r>
          <m:rPr>
            <m:nor/>
          </m:rPr>
          <w:rPr>
            <w:rStyle w:val="94"/>
            <w:rFonts w:hint="default" w:ascii="Times New Roman"/>
            <w:i/>
            <w:color w:val="auto"/>
          </w:rPr>
          <m:t xml:space="preserve">HF </m:t>
        </m:r>
        <m:r>
          <m:rPr>
            <m:nor/>
            <m:sty m:val="p"/>
          </m:rPr>
          <w:rPr>
            <w:rStyle w:val="94"/>
            <w:rFonts w:hint="default" w:ascii="Times New Roman"/>
            <w:b w:val="0"/>
            <w:i w:val="0"/>
            <w:color w:val="auto"/>
          </w:rPr>
          <m:t>=</m:t>
        </m:r>
        <m:r>
          <m:rPr>
            <m:nor/>
            <m:sty m:val="p"/>
          </m:rPr>
          <w:rPr>
            <w:rStyle w:val="94"/>
            <w:rFonts w:hint="default" w:ascii="Cambria Math"/>
            <w:b w:val="0"/>
            <w:i w:val="0"/>
            <w:color w:val="auto"/>
          </w:rPr>
          <m:t xml:space="preserve"> </m:t>
        </m:r>
        <m:f>
          <m:fPr>
            <m:ctrlPr>
              <w:rPr>
                <w:rStyle w:val="94"/>
                <w:rFonts w:hint="default" w:ascii="Cambria Math" w:hAnsi="Cambria Math"/>
                <w:i/>
                <w:color w:val="auto"/>
              </w:rPr>
            </m:ctrlPr>
          </m:fPr>
          <m:num>
            <m:nary>
              <m:naryPr>
                <m:chr m:val="∑"/>
                <m:limLoc m:val="subSup"/>
                <m:ctrlPr>
                  <w:rPr>
                    <w:rStyle w:val="94"/>
                    <w:rFonts w:hint="default" w:ascii="Cambria Math" w:hAnsi="Cambria Math"/>
                    <w:i/>
                    <w:color w:val="auto"/>
                  </w:rPr>
                </m:ctrlPr>
              </m:naryPr>
              <m:sub>
                <m:r>
                  <m:rPr>
                    <m:nor/>
                  </m:rPr>
                  <w:rPr>
                    <w:rStyle w:val="94"/>
                    <w:rFonts w:hint="default" w:ascii="Times New Roman"/>
                    <w:i/>
                    <w:iCs/>
                    <w:color w:val="auto"/>
                  </w:rPr>
                  <m:t>i</m:t>
                </m:r>
                <m:r>
                  <m:rPr>
                    <m:nor/>
                    <m:sty m:val="p"/>
                  </m:rPr>
                  <w:rPr>
                    <w:rStyle w:val="94"/>
                    <w:rFonts w:hint="default" w:ascii="Times New Roman"/>
                    <w:b w:val="0"/>
                    <w:i w:val="0"/>
                    <w:color w:val="auto"/>
                  </w:rPr>
                  <m:t>=1</m:t>
                </m:r>
                <m:ctrlPr>
                  <w:rPr>
                    <w:rStyle w:val="94"/>
                    <w:rFonts w:hint="default" w:ascii="Cambria Math" w:hAnsi="Cambria Math"/>
                    <w:i/>
                    <w:color w:val="auto"/>
                  </w:rPr>
                </m:ctrlPr>
              </m:sub>
              <m:sup>
                <m:r>
                  <m:rPr>
                    <m:nor/>
                  </m:rPr>
                  <w:rPr>
                    <w:rStyle w:val="94"/>
                    <w:rFonts w:hint="default" w:ascii="Times New Roman"/>
                    <w:i/>
                    <w:iCs/>
                    <w:color w:val="auto"/>
                  </w:rPr>
                  <m:t>n</m:t>
                </m:r>
                <m:ctrlPr>
                  <w:rPr>
                    <w:rStyle w:val="94"/>
                    <w:rFonts w:hint="default" w:ascii="Cambria Math" w:hAnsi="Cambria Math"/>
                    <w:i/>
                    <w:color w:val="auto"/>
                  </w:rPr>
                </m:ctrlPr>
              </m:sup>
              <m:e>
                <m:sSub>
                  <m:sSubPr>
                    <m:ctrlPr>
                      <w:rPr>
                        <w:rStyle w:val="94"/>
                        <w:rFonts w:hint="default" w:ascii="Cambria Math" w:hAnsi="Cambria Math"/>
                        <w:i/>
                        <w:color w:val="auto"/>
                      </w:rPr>
                    </m:ctrlPr>
                  </m:sSubPr>
                  <m:e>
                    <m:r>
                      <m:rPr>
                        <m:nor/>
                      </m:rPr>
                      <w:rPr>
                        <w:rStyle w:val="94"/>
                        <w:rFonts w:hint="default" w:ascii="Times New Roman"/>
                        <w:i/>
                        <w:iCs/>
                        <w:color w:val="auto"/>
                      </w:rPr>
                      <m:t>P</m:t>
                    </m:r>
                    <m:ctrlPr>
                      <w:rPr>
                        <w:rStyle w:val="94"/>
                        <w:rFonts w:hint="default" w:ascii="Cambria Math" w:hAnsi="Cambria Math"/>
                        <w:i/>
                        <w:color w:val="auto"/>
                      </w:rPr>
                    </m:ctrlPr>
                  </m:e>
                  <m:sub>
                    <m:r>
                      <m:rPr>
                        <m:nor/>
                        <m:sty m:val="p"/>
                      </m:rPr>
                      <w:rPr>
                        <w:rStyle w:val="94"/>
                        <w:rFonts w:hint="default" w:ascii="Times New Roman"/>
                        <w:b w:val="0"/>
                        <w:i w:val="0"/>
                        <w:color w:val="auto"/>
                      </w:rPr>
                      <m:t>i</m:t>
                    </m:r>
                    <m:ctrlPr>
                      <w:rPr>
                        <w:rStyle w:val="94"/>
                        <w:rFonts w:hint="default" w:ascii="Cambria Math" w:hAnsi="Cambria Math"/>
                        <w:i/>
                        <w:color w:val="auto"/>
                      </w:rPr>
                    </m:ctrlPr>
                  </m:sub>
                </m:sSub>
                <m:r>
                  <m:rPr>
                    <m:nor/>
                    <m:sty m:val="p"/>
                  </m:rPr>
                  <w:rPr>
                    <w:rStyle w:val="94"/>
                    <w:rFonts w:hint="default" w:ascii="Times New Roman"/>
                    <w:b w:val="0"/>
                    <w:i w:val="0"/>
                    <w:color w:val="auto"/>
                  </w:rPr>
                  <m:t>×</m:t>
                </m:r>
                <m:sSub>
                  <m:sSubPr>
                    <m:ctrlPr>
                      <w:rPr>
                        <w:rStyle w:val="94"/>
                        <w:rFonts w:hint="default" w:ascii="Cambria Math" w:hAnsi="Cambria Math"/>
                        <w:i/>
                        <w:color w:val="auto"/>
                      </w:rPr>
                    </m:ctrlPr>
                  </m:sSubPr>
                  <m:e>
                    <m:r>
                      <m:rPr>
                        <m:nor/>
                      </m:rPr>
                      <w:rPr>
                        <w:rStyle w:val="94"/>
                        <w:rFonts w:hint="default" w:ascii="Times New Roman"/>
                        <w:i/>
                        <w:iCs/>
                        <w:color w:val="auto"/>
                      </w:rPr>
                      <m:t>A</m:t>
                    </m:r>
                    <m:ctrlPr>
                      <w:rPr>
                        <w:rStyle w:val="94"/>
                        <w:rFonts w:hint="default" w:ascii="Cambria Math" w:hAnsi="Cambria Math"/>
                        <w:i/>
                        <w:color w:val="auto"/>
                      </w:rPr>
                    </m:ctrlPr>
                  </m:e>
                  <m:sub>
                    <m:r>
                      <m:rPr>
                        <m:nor/>
                        <m:sty m:val="p"/>
                      </m:rPr>
                      <w:rPr>
                        <w:rStyle w:val="94"/>
                        <w:rFonts w:hint="default" w:ascii="Times New Roman"/>
                        <w:b w:val="0"/>
                        <w:i w:val="0"/>
                        <w:color w:val="auto"/>
                      </w:rPr>
                      <m:t>i</m:t>
                    </m:r>
                    <m:ctrlPr>
                      <w:rPr>
                        <w:rStyle w:val="94"/>
                        <w:rFonts w:hint="default" w:ascii="Cambria Math" w:hAnsi="Cambria Math"/>
                        <w:i/>
                        <w:color w:val="auto"/>
                      </w:rPr>
                    </m:ctrlPr>
                  </m:sub>
                </m:sSub>
                <m:r>
                  <m:rPr>
                    <m:nor/>
                    <m:sty m:val="p"/>
                  </m:rPr>
                  <w:rPr>
                    <w:rStyle w:val="94"/>
                    <w:rFonts w:hint="default" w:ascii="Times New Roman"/>
                    <w:b w:val="0"/>
                    <w:i w:val="0"/>
                    <w:color w:val="auto"/>
                  </w:rPr>
                  <m:t>×</m:t>
                </m:r>
                <m:sSub>
                  <m:sSubPr>
                    <m:ctrlPr>
                      <w:rPr>
                        <w:rStyle w:val="94"/>
                        <w:rFonts w:hint="default" w:ascii="Cambria Math" w:hAnsi="Cambria Math"/>
                        <w:i/>
                        <w:color w:val="auto"/>
                      </w:rPr>
                    </m:ctrlPr>
                  </m:sSubPr>
                  <m:e>
                    <m:r>
                      <m:rPr>
                        <m:nor/>
                      </m:rPr>
                      <w:rPr>
                        <w:rStyle w:val="94"/>
                        <w:rFonts w:hint="default" w:ascii="Times New Roman"/>
                        <w:i/>
                        <w:color w:val="auto"/>
                      </w:rPr>
                      <m:t>Z</m:t>
                    </m:r>
                    <m:ctrlPr>
                      <w:rPr>
                        <w:rStyle w:val="94"/>
                        <w:rFonts w:hint="default" w:ascii="Cambria Math" w:hAnsi="Cambria Math"/>
                        <w:i/>
                        <w:color w:val="auto"/>
                      </w:rPr>
                    </m:ctrlPr>
                  </m:e>
                  <m:sub>
                    <m:r>
                      <m:rPr>
                        <m:nor/>
                        <m:sty m:val="p"/>
                      </m:rPr>
                      <w:rPr>
                        <w:rStyle w:val="94"/>
                        <w:rFonts w:hint="default" w:ascii="Times New Roman"/>
                        <w:b w:val="0"/>
                        <w:i w:val="0"/>
                        <w:color w:val="auto"/>
                      </w:rPr>
                      <m:t>i</m:t>
                    </m:r>
                    <m:ctrlPr>
                      <w:rPr>
                        <w:rStyle w:val="94"/>
                        <w:rFonts w:hint="default" w:ascii="Cambria Math" w:hAnsi="Cambria Math"/>
                        <w:i/>
                        <w:color w:val="auto"/>
                      </w:rPr>
                    </m:ctrlPr>
                  </m:sub>
                </m:sSub>
                <m:ctrlPr>
                  <w:rPr>
                    <w:rStyle w:val="94"/>
                    <w:rFonts w:hint="default" w:ascii="Cambria Math" w:hAnsi="Cambria Math"/>
                    <w:i/>
                    <w:color w:val="auto"/>
                  </w:rPr>
                </m:ctrlPr>
              </m:e>
            </m:nary>
            <m:ctrlPr>
              <w:rPr>
                <w:rStyle w:val="94"/>
                <w:rFonts w:hint="default" w:ascii="Cambria Math" w:hAnsi="Cambria Math"/>
                <w:i/>
                <w:color w:val="auto"/>
              </w:rPr>
            </m:ctrlPr>
          </m:num>
          <m:den>
            <m:nary>
              <m:naryPr>
                <m:chr m:val="∑"/>
                <m:limLoc m:val="subSup"/>
                <m:ctrlPr>
                  <w:rPr>
                    <w:rStyle w:val="94"/>
                    <w:rFonts w:hint="default" w:ascii="Cambria Math" w:hAnsi="Cambria Math"/>
                    <w:i/>
                    <w:color w:val="auto"/>
                  </w:rPr>
                </m:ctrlPr>
              </m:naryPr>
              <m:sub>
                <m:r>
                  <m:rPr>
                    <m:nor/>
                  </m:rPr>
                  <w:rPr>
                    <w:rStyle w:val="94"/>
                    <w:rFonts w:hint="default" w:ascii="Times New Roman"/>
                    <w:i/>
                    <w:iCs/>
                    <w:color w:val="auto"/>
                  </w:rPr>
                  <m:t>i</m:t>
                </m:r>
                <m:r>
                  <m:rPr>
                    <m:nor/>
                    <m:sty m:val="p"/>
                  </m:rPr>
                  <w:rPr>
                    <w:rStyle w:val="94"/>
                    <w:rFonts w:hint="default" w:ascii="Times New Roman"/>
                    <w:b w:val="0"/>
                    <w:i w:val="0"/>
                    <w:color w:val="auto"/>
                  </w:rPr>
                  <m:t>=1</m:t>
                </m:r>
                <m:ctrlPr>
                  <w:rPr>
                    <w:rStyle w:val="94"/>
                    <w:rFonts w:hint="default" w:ascii="Cambria Math" w:hAnsi="Cambria Math"/>
                    <w:i/>
                    <w:color w:val="auto"/>
                  </w:rPr>
                </m:ctrlPr>
              </m:sub>
              <m:sup>
                <m:r>
                  <m:rPr>
                    <m:nor/>
                  </m:rPr>
                  <w:rPr>
                    <w:rStyle w:val="94"/>
                    <w:rFonts w:hint="default" w:ascii="Times New Roman"/>
                    <w:i/>
                    <w:iCs/>
                    <w:color w:val="auto"/>
                  </w:rPr>
                  <m:t>n</m:t>
                </m:r>
                <m:ctrlPr>
                  <w:rPr>
                    <w:rStyle w:val="94"/>
                    <w:rFonts w:hint="default" w:ascii="Cambria Math" w:hAnsi="Cambria Math"/>
                    <w:i/>
                    <w:color w:val="auto"/>
                  </w:rPr>
                </m:ctrlPr>
              </m:sup>
              <m:e>
                <m:sSub>
                  <m:sSubPr>
                    <m:ctrlPr>
                      <w:rPr>
                        <w:rStyle w:val="94"/>
                        <w:rFonts w:hint="default" w:ascii="Cambria Math" w:hAnsi="Cambria Math"/>
                        <w:i/>
                        <w:color w:val="auto"/>
                      </w:rPr>
                    </m:ctrlPr>
                  </m:sSubPr>
                  <m:e>
                    <m:r>
                      <m:rPr>
                        <m:nor/>
                      </m:rPr>
                      <w:rPr>
                        <w:rStyle w:val="94"/>
                        <w:rFonts w:hint="default" w:ascii="Times New Roman"/>
                        <w:i/>
                        <w:iCs/>
                        <w:color w:val="auto"/>
                      </w:rPr>
                      <m:t>P</m:t>
                    </m:r>
                    <m:ctrlPr>
                      <w:rPr>
                        <w:rStyle w:val="94"/>
                        <w:rFonts w:hint="default" w:ascii="Cambria Math" w:hAnsi="Cambria Math"/>
                        <w:i/>
                        <w:color w:val="auto"/>
                      </w:rPr>
                    </m:ctrlPr>
                  </m:e>
                  <m:sub>
                    <m:r>
                      <m:rPr>
                        <m:nor/>
                        <m:sty m:val="p"/>
                      </m:rPr>
                      <w:rPr>
                        <w:rStyle w:val="94"/>
                        <w:rFonts w:hint="default" w:ascii="Times New Roman"/>
                        <w:b w:val="0"/>
                        <w:i w:val="0"/>
                        <w:color w:val="auto"/>
                      </w:rPr>
                      <m:t>i</m:t>
                    </m:r>
                    <m:ctrlPr>
                      <w:rPr>
                        <w:rStyle w:val="94"/>
                        <w:rFonts w:hint="default" w:ascii="Cambria Math" w:hAnsi="Cambria Math"/>
                        <w:i/>
                        <w:color w:val="auto"/>
                      </w:rPr>
                    </m:ctrlPr>
                  </m:sub>
                </m:sSub>
                <m:ctrlPr>
                  <w:rPr>
                    <w:rStyle w:val="94"/>
                    <w:rFonts w:hint="default" w:ascii="Cambria Math" w:hAnsi="Cambria Math"/>
                    <w:i/>
                    <w:color w:val="auto"/>
                  </w:rPr>
                </m:ctrlPr>
              </m:e>
            </m:nary>
            <m:r>
              <m:rPr>
                <m:nor/>
                <m:sty m:val="p"/>
              </m:rPr>
              <w:rPr>
                <w:rStyle w:val="94"/>
                <w:rFonts w:hint="default" w:ascii="Times New Roman"/>
                <w:b w:val="0"/>
                <w:i w:val="0"/>
                <w:color w:val="auto"/>
              </w:rPr>
              <m:t>×</m:t>
            </m:r>
            <m:sSub>
              <m:sSubPr>
                <m:ctrlPr>
                  <w:rPr>
                    <w:rStyle w:val="94"/>
                    <w:rFonts w:hint="default" w:ascii="Cambria Math" w:hAnsi="Cambria Math"/>
                    <w:i/>
                    <w:color w:val="auto"/>
                  </w:rPr>
                </m:ctrlPr>
              </m:sSubPr>
              <m:e>
                <m:r>
                  <m:rPr>
                    <m:nor/>
                  </m:rPr>
                  <w:rPr>
                    <w:rStyle w:val="94"/>
                    <w:rFonts w:hint="default" w:ascii="Times New Roman"/>
                    <w:i/>
                    <w:iCs/>
                    <w:color w:val="auto"/>
                  </w:rPr>
                  <m:t>A</m:t>
                </m:r>
                <m:ctrlPr>
                  <w:rPr>
                    <w:rStyle w:val="94"/>
                    <w:rFonts w:hint="default" w:ascii="Cambria Math" w:hAnsi="Cambria Math"/>
                    <w:i/>
                    <w:color w:val="auto"/>
                  </w:rPr>
                </m:ctrlPr>
              </m:e>
              <m:sub>
                <m:r>
                  <m:rPr>
                    <m:nor/>
                    <m:sty m:val="p"/>
                  </m:rPr>
                  <w:rPr>
                    <w:rStyle w:val="94"/>
                    <w:rFonts w:hint="default" w:ascii="Times New Roman"/>
                    <w:b w:val="0"/>
                    <w:i w:val="0"/>
                    <w:color w:val="auto"/>
                  </w:rPr>
                  <m:t>i</m:t>
                </m:r>
                <m:ctrlPr>
                  <w:rPr>
                    <w:rStyle w:val="94"/>
                    <w:rFonts w:hint="default" w:ascii="Cambria Math" w:hAnsi="Cambria Math"/>
                    <w:i/>
                    <w:color w:val="auto"/>
                  </w:rPr>
                </m:ctrlPr>
              </m:sub>
            </m:sSub>
            <m:ctrlPr>
              <w:rPr>
                <w:rStyle w:val="94"/>
                <w:rFonts w:hint="default" w:ascii="Cambria Math" w:hAnsi="Cambria Math"/>
                <w:i/>
                <w:color w:val="auto"/>
              </w:rPr>
            </m:ctrlPr>
          </m:den>
        </m:f>
      </m:oMath>
      <w:r>
        <w:rPr>
          <w:rFonts w:hint="default" w:ascii="Times New Roman"/>
        </w:rPr>
        <w:t xml:space="preserve">                                    </w:t>
      </w:r>
      <w:r>
        <w:rPr>
          <w:rFonts w:ascii="Times New Roman"/>
        </w:rPr>
        <w:t>（</w:t>
      </w:r>
      <w:r>
        <w:rPr>
          <w:rFonts w:hint="default" w:ascii="Times New Roman"/>
        </w:rPr>
        <w:t>2</w:t>
      </w:r>
      <w:r>
        <w:rPr>
          <w:rFonts w:ascii="Times New Roman"/>
        </w:rPr>
        <w:t>）</w:t>
      </w:r>
    </w:p>
    <w:p>
      <w:pPr>
        <w:pStyle w:val="85"/>
        <w:ind w:firstLine="420"/>
        <w:rPr>
          <w:rFonts w:hint="default" w:ascii="Times New Roman"/>
        </w:rPr>
      </w:pPr>
      <w:r>
        <w:rPr>
          <w:rFonts w:hint="default" w:ascii="Times New Roman"/>
        </w:rPr>
        <w:t>式中：</w:t>
      </w:r>
    </w:p>
    <w:p>
      <w:pPr>
        <w:pStyle w:val="85"/>
        <w:ind w:firstLine="420"/>
        <w:rPr>
          <w:rFonts w:hint="default" w:ascii="Times New Roman"/>
        </w:rPr>
      </w:pPr>
      <w:r>
        <w:rPr>
          <w:rFonts w:hint="default" w:ascii="Times New Roman"/>
          <w:i/>
          <w:iCs/>
        </w:rPr>
        <w:t>n</w:t>
      </w:r>
      <w:r>
        <w:rPr>
          <w:rFonts w:hint="default" w:ascii="Times New Roman"/>
        </w:rPr>
        <w:t>为参与配伍燃料</w:t>
      </w:r>
      <w:r>
        <w:rPr>
          <w:rFonts w:ascii="Times New Roman"/>
        </w:rPr>
        <w:t>的种类数量，个;</w:t>
      </w:r>
    </w:p>
    <w:p>
      <w:pPr>
        <w:pStyle w:val="85"/>
        <w:ind w:firstLine="420"/>
        <w:rPr>
          <w:rFonts w:hint="default" w:ascii="Times New Roman"/>
        </w:rPr>
      </w:pPr>
      <w:r>
        <w:rPr>
          <w:rFonts w:hint="default" w:ascii="Times New Roman"/>
          <w:i/>
          <w:iCs/>
        </w:rPr>
        <w:t>A</w:t>
      </w:r>
      <w:r>
        <w:rPr>
          <w:rFonts w:hint="default" w:ascii="Times New Roman"/>
          <w:vertAlign w:val="subscript"/>
        </w:rPr>
        <w:t>i</w:t>
      </w:r>
      <w:r>
        <w:rPr>
          <w:rFonts w:hint="default" w:ascii="Times New Roman"/>
        </w:rPr>
        <w:t>为</w:t>
      </w:r>
      <w:r>
        <w:rPr>
          <w:rFonts w:ascii="Times New Roman"/>
        </w:rPr>
        <w:t>单一</w:t>
      </w:r>
      <w:r>
        <w:rPr>
          <w:rFonts w:hint="default" w:ascii="Times New Roman"/>
        </w:rPr>
        <w:t>固废燃料</w:t>
      </w:r>
      <w:r>
        <w:rPr>
          <w:rFonts w:hint="default" w:ascii="Times New Roman"/>
          <w:i/>
          <w:iCs/>
        </w:rPr>
        <w:t>i</w:t>
      </w:r>
      <w:r>
        <w:rPr>
          <w:rFonts w:hint="default" w:ascii="Times New Roman"/>
        </w:rPr>
        <w:t>的</w:t>
      </w:r>
      <w:r>
        <w:rPr>
          <w:rFonts w:ascii="Times New Roman"/>
        </w:rPr>
        <w:t>灰分</w:t>
      </w:r>
      <w:r>
        <w:rPr>
          <w:rFonts w:hint="default" w:ascii="Times New Roman"/>
        </w:rPr>
        <w:t>质量分数</w:t>
      </w:r>
      <w:r>
        <w:rPr>
          <w:rFonts w:ascii="Times New Roman"/>
        </w:rPr>
        <w:t>，单位为%</w:t>
      </w:r>
      <w:r>
        <w:rPr>
          <w:rFonts w:hint="default" w:ascii="Times New Roman"/>
        </w:rPr>
        <w:t>；</w:t>
      </w:r>
    </w:p>
    <w:p>
      <w:pPr>
        <w:pStyle w:val="85"/>
        <w:ind w:firstLine="420"/>
        <w:rPr>
          <w:rFonts w:hint="default" w:ascii="Times New Roman"/>
        </w:rPr>
      </w:pPr>
      <w:r>
        <w:rPr>
          <w:rFonts w:ascii="Times New Roman"/>
          <w:i/>
          <w:iCs/>
        </w:rPr>
        <w:t>Z</w:t>
      </w:r>
      <w:r>
        <w:rPr>
          <w:rFonts w:hint="default" w:ascii="Times New Roman"/>
          <w:vertAlign w:val="subscript"/>
        </w:rPr>
        <w:t>i</w:t>
      </w:r>
      <w:r>
        <w:rPr>
          <w:rFonts w:hint="default" w:ascii="Times New Roman"/>
        </w:rPr>
        <w:t>为</w:t>
      </w:r>
      <w:r>
        <w:rPr>
          <w:rFonts w:ascii="Times New Roman"/>
        </w:rPr>
        <w:t>单一</w:t>
      </w:r>
      <w:r>
        <w:rPr>
          <w:rFonts w:hint="default" w:ascii="Times New Roman"/>
        </w:rPr>
        <w:t>固废燃料</w:t>
      </w:r>
      <w:r>
        <w:rPr>
          <w:rFonts w:hint="default" w:ascii="Times New Roman"/>
          <w:i/>
          <w:iCs/>
        </w:rPr>
        <w:t>i</w:t>
      </w:r>
      <w:r>
        <w:rPr>
          <w:rFonts w:hint="default" w:ascii="Times New Roman"/>
        </w:rPr>
        <w:t>的</w:t>
      </w:r>
      <w:r>
        <w:rPr>
          <w:rFonts w:ascii="Times New Roman"/>
        </w:rPr>
        <w:t>灰分中某单一元素或组分的质量分数，单位为%</w:t>
      </w:r>
      <w:r>
        <w:rPr>
          <w:rFonts w:hint="default" w:ascii="Times New Roman"/>
        </w:rPr>
        <w:t>。</w:t>
      </w:r>
    </w:p>
    <w:p>
      <w:pPr>
        <w:pStyle w:val="90"/>
        <w:spacing w:before="156" w:after="156"/>
        <w:rPr>
          <w:rFonts w:hint="default" w:asciiTheme="minorEastAsia" w:hAnsiTheme="minorEastAsia" w:eastAsiaTheme="minorEastAsia"/>
        </w:rPr>
      </w:pPr>
      <w:r>
        <w:rPr>
          <w:rFonts w:hint="default" w:asciiTheme="minorEastAsia" w:hAnsiTheme="minorEastAsia" w:eastAsiaTheme="minorEastAsia"/>
        </w:rPr>
        <w:t>应根据入厂</w:t>
      </w:r>
      <w:r>
        <w:rPr>
          <w:rFonts w:hint="default" w:ascii="Times New Roman" w:eastAsiaTheme="minorEastAsia"/>
        </w:rPr>
        <w:t>一般可燃固体废弃物的成分、设计参数和锅炉运行条件等情况，确定不同废弃物原料进料比例范围，建议配伍后燃料</w:t>
      </w:r>
      <w:r>
        <w:rPr>
          <w:rFonts w:ascii="Times New Roman" w:eastAsiaTheme="minorEastAsia"/>
        </w:rPr>
        <w:t>的燃料状态、密度、全水分、挥发分、低位热值、硫和氮元素含量等指标与锅炉原有设计燃料指标偏差值如表1所示</w:t>
      </w:r>
      <w:r>
        <w:rPr>
          <w:rFonts w:asciiTheme="minorEastAsia" w:hAnsiTheme="minorEastAsia" w:eastAsiaTheme="minorEastAsia"/>
        </w:rPr>
        <w:t>。</w:t>
      </w:r>
    </w:p>
    <w:p>
      <w:pPr>
        <w:pStyle w:val="85"/>
        <w:ind w:firstLine="0" w:firstLineChars="0"/>
        <w:jc w:val="center"/>
        <w:rPr>
          <w:rFonts w:hint="default" w:ascii="Times New Roman"/>
        </w:rPr>
      </w:pPr>
      <w:r>
        <w:rPr>
          <w:rFonts w:hint="default" w:ascii="Times New Roman"/>
        </w:rPr>
        <w:t>表1 CFB锅炉焚烧一般可燃固体废弃物配伍燃料推荐指标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序号</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指标名称</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推荐指标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1</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物理状态</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固态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2</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全水分</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与设计燃料偏差≤ ±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3</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灰分</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与设计燃料偏差≤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4</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挥发分</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与设计燃料偏差≤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5</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S</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与设计燃料偏差≤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6</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低位热值</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与设计燃料偏差≤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7</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Cl</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8</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灰熔点</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≥1050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9</w:t>
            </w:r>
          </w:p>
        </w:tc>
        <w:tc>
          <w:tcPr>
            <w:tcW w:w="1984" w:type="dxa"/>
            <w:vAlign w:val="center"/>
          </w:tcPr>
          <w:p>
            <w:pPr>
              <w:pStyle w:val="85"/>
              <w:ind w:firstLine="0" w:firstLineChars="0"/>
              <w:jc w:val="center"/>
              <w:rPr>
                <w:rFonts w:hint="default" w:ascii="Times New Roman"/>
                <w:sz w:val="18"/>
                <w:szCs w:val="18"/>
              </w:rPr>
            </w:pPr>
            <w:r>
              <w:rPr>
                <w:rFonts w:hint="default" w:ascii="Times New Roman"/>
                <w:sz w:val="18"/>
                <w:szCs w:val="18"/>
              </w:rPr>
              <w:t>自燃</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常温不自燃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85"/>
              <w:ind w:firstLine="0" w:firstLineChars="0"/>
              <w:jc w:val="center"/>
              <w:rPr>
                <w:rFonts w:hint="default" w:ascii="Times New Roman"/>
                <w:sz w:val="18"/>
                <w:szCs w:val="18"/>
              </w:rPr>
            </w:pPr>
            <w:r>
              <w:rPr>
                <w:rFonts w:hint="default" w:ascii="Times New Roman"/>
                <w:sz w:val="18"/>
                <w:szCs w:val="18"/>
              </w:rPr>
              <w:t>10</w:t>
            </w:r>
          </w:p>
        </w:tc>
        <w:tc>
          <w:tcPr>
            <w:tcW w:w="1984" w:type="dxa"/>
            <w:vAlign w:val="center"/>
          </w:tcPr>
          <w:p>
            <w:pPr>
              <w:pStyle w:val="85"/>
              <w:ind w:firstLine="0" w:firstLineChars="0"/>
              <w:jc w:val="center"/>
              <w:rPr>
                <w:rFonts w:hint="default" w:ascii="Times New Roman"/>
                <w:sz w:val="18"/>
                <w:szCs w:val="18"/>
              </w:rPr>
            </w:pPr>
            <w:r>
              <w:rPr>
                <w:rFonts w:ascii="Times New Roman"/>
                <w:sz w:val="18"/>
                <w:szCs w:val="18"/>
              </w:rPr>
              <w:t>掺混</w:t>
            </w:r>
            <w:r>
              <w:rPr>
                <w:rFonts w:hint="default" w:ascii="Times New Roman"/>
                <w:sz w:val="18"/>
                <w:szCs w:val="18"/>
              </w:rPr>
              <w:t>位置及方法</w:t>
            </w:r>
          </w:p>
        </w:tc>
        <w:tc>
          <w:tcPr>
            <w:tcW w:w="3969" w:type="dxa"/>
            <w:vAlign w:val="center"/>
          </w:tcPr>
          <w:p>
            <w:pPr>
              <w:pStyle w:val="85"/>
              <w:ind w:firstLine="0" w:firstLineChars="0"/>
              <w:jc w:val="center"/>
              <w:rPr>
                <w:rFonts w:hint="default" w:ascii="Times New Roman"/>
                <w:sz w:val="18"/>
                <w:szCs w:val="18"/>
              </w:rPr>
            </w:pPr>
            <w:r>
              <w:rPr>
                <w:rFonts w:hint="default" w:ascii="Times New Roman"/>
                <w:sz w:val="18"/>
                <w:szCs w:val="18"/>
              </w:rPr>
              <w:t>燃料棚/抓斗</w:t>
            </w:r>
          </w:p>
        </w:tc>
      </w:tr>
    </w:tbl>
    <w:p>
      <w:pPr>
        <w:pStyle w:val="85"/>
        <w:ind w:firstLine="0" w:firstLineChars="0"/>
        <w:rPr>
          <w:rFonts w:hint="default"/>
        </w:rPr>
      </w:pPr>
    </w:p>
    <w:p>
      <w:pPr>
        <w:pStyle w:val="90"/>
        <w:spacing w:before="156" w:after="156"/>
        <w:rPr>
          <w:rFonts w:hint="default" w:ascii="Times New Roman" w:eastAsiaTheme="minorEastAsia"/>
        </w:rPr>
      </w:pPr>
      <w:r>
        <w:rPr>
          <w:rFonts w:hint="default" w:ascii="Times New Roman" w:eastAsiaTheme="minorEastAsia"/>
        </w:rPr>
        <w:t>应根据入厂一般可燃固体废弃物的成分、设计参数和锅炉运行条件等情况，确定不同废弃物原料进料比例范围，建议配伍后燃料灰的软化温度ST（</w:t>
      </w:r>
      <w:r>
        <w:rPr>
          <w:rFonts w:hint="default" w:ascii="Times New Roman" w:eastAsiaTheme="minorEastAsia"/>
          <w:vertAlign w:val="superscript"/>
        </w:rPr>
        <w:t>o</w:t>
      </w:r>
      <w:r>
        <w:rPr>
          <w:rFonts w:hint="default" w:ascii="Times New Roman" w:eastAsiaTheme="minorEastAsia"/>
        </w:rPr>
        <w:t>C）应当比炉膛出口温度高150</w:t>
      </w:r>
      <w:r>
        <w:rPr>
          <w:rFonts w:hint="default" w:ascii="Times New Roman" w:eastAsiaTheme="minorEastAsia"/>
          <w:vertAlign w:val="superscript"/>
        </w:rPr>
        <w:t xml:space="preserve"> o</w:t>
      </w:r>
      <w:r>
        <w:rPr>
          <w:rFonts w:hint="default" w:ascii="Times New Roman" w:eastAsiaTheme="minorEastAsia"/>
        </w:rPr>
        <w:t>C以上，</w:t>
      </w:r>
      <w:r>
        <w:rPr>
          <w:rFonts w:ascii="Times New Roman" w:eastAsiaTheme="minorEastAsia"/>
        </w:rPr>
        <w:t>同</w:t>
      </w:r>
      <w:r>
        <w:rPr>
          <w:rFonts w:hint="default" w:ascii="Times New Roman" w:eastAsiaTheme="minorEastAsia"/>
        </w:rPr>
        <w:t>时建议燃料灰的熔融温度FT（</w:t>
      </w:r>
      <w:r>
        <w:rPr>
          <w:rFonts w:hint="default" w:ascii="Times New Roman" w:eastAsiaTheme="minorEastAsia"/>
          <w:vertAlign w:val="superscript"/>
        </w:rPr>
        <w:t>o</w:t>
      </w:r>
      <w:r>
        <w:rPr>
          <w:rFonts w:hint="default" w:ascii="Times New Roman" w:eastAsiaTheme="minorEastAsia"/>
        </w:rPr>
        <w:t>C）应当 ≥T</w:t>
      </w:r>
      <w:r>
        <w:rPr>
          <w:rFonts w:hint="default" w:ascii="Times New Roman" w:eastAsiaTheme="minorEastAsia"/>
          <w:vertAlign w:val="subscript"/>
        </w:rPr>
        <w:t>p</w:t>
      </w:r>
      <w:r>
        <w:rPr>
          <w:rFonts w:hint="default" w:ascii="Times New Roman" w:eastAsiaTheme="minorEastAsia"/>
        </w:rPr>
        <w:t xml:space="preserve"> – 100</w:t>
      </w:r>
      <w:r>
        <w:rPr>
          <w:rFonts w:ascii="Times New Roman" w:eastAsiaTheme="minorEastAsia"/>
        </w:rPr>
        <w:t>（</w:t>
      </w:r>
      <w:r>
        <w:rPr>
          <w:rFonts w:hint="default" w:ascii="Times New Roman" w:eastAsiaTheme="minorEastAsia"/>
        </w:rPr>
        <w:t>T</w:t>
      </w:r>
      <w:r>
        <w:rPr>
          <w:rFonts w:hint="default" w:ascii="Times New Roman" w:eastAsiaTheme="minorEastAsia"/>
          <w:vertAlign w:val="subscript"/>
        </w:rPr>
        <w:t>p</w:t>
      </w:r>
      <w:r>
        <w:rPr>
          <w:rFonts w:ascii="Times New Roman" w:eastAsiaTheme="minorEastAsia"/>
        </w:rPr>
        <w:t>为设计屏底温度）。</w:t>
      </w:r>
      <w:bookmarkEnd w:id="46"/>
    </w:p>
    <w:p>
      <w:pPr>
        <w:pStyle w:val="90"/>
        <w:spacing w:before="156" w:after="156"/>
        <w:rPr>
          <w:rFonts w:hint="default" w:ascii="Times New Roman" w:eastAsiaTheme="minorEastAsia"/>
        </w:rPr>
      </w:pPr>
      <w:r>
        <w:rPr>
          <w:rFonts w:hint="default" w:ascii="Times New Roman" w:eastAsiaTheme="minorEastAsia"/>
        </w:rPr>
        <w:t>应</w:t>
      </w:r>
      <w:r>
        <w:rPr>
          <w:rFonts w:hint="default" w:asciiTheme="minorEastAsia" w:hAnsiTheme="minorEastAsia" w:eastAsiaTheme="minorEastAsia"/>
        </w:rPr>
        <w:t>根据入厂</w:t>
      </w:r>
      <w:r>
        <w:rPr>
          <w:rFonts w:hint="default" w:ascii="Times New Roman" w:eastAsiaTheme="minorEastAsia"/>
        </w:rPr>
        <w:t>一般可燃固体废弃物的成分、设计参数和锅炉运行条件等情况，确定不同废弃物原料进料比例范围，为控制锅炉</w:t>
      </w:r>
      <w:r>
        <w:rPr>
          <w:rFonts w:ascii="Times New Roman" w:eastAsiaTheme="minorEastAsia"/>
        </w:rPr>
        <w:t>受热面</w:t>
      </w:r>
      <w:r>
        <w:rPr>
          <w:rFonts w:hint="default" w:ascii="Times New Roman" w:eastAsiaTheme="minorEastAsia"/>
        </w:rPr>
        <w:t>腐蚀</w:t>
      </w:r>
      <w:r>
        <w:rPr>
          <w:rFonts w:ascii="Times New Roman" w:eastAsiaTheme="minorEastAsia"/>
        </w:rPr>
        <w:t>、结渣、</w:t>
      </w:r>
      <w:r>
        <w:rPr>
          <w:rFonts w:hint="default" w:ascii="Times New Roman" w:eastAsiaTheme="minorEastAsia"/>
        </w:rPr>
        <w:t>床层团聚</w:t>
      </w:r>
      <w:r>
        <w:rPr>
          <w:rFonts w:ascii="Times New Roman" w:eastAsiaTheme="minorEastAsia"/>
        </w:rPr>
        <w:t>、</w:t>
      </w:r>
      <w:r>
        <w:rPr>
          <w:rFonts w:hint="default" w:ascii="Times New Roman" w:eastAsiaTheme="minorEastAsia"/>
        </w:rPr>
        <w:t>积灰</w:t>
      </w:r>
      <w:r>
        <w:rPr>
          <w:rFonts w:ascii="Times New Roman" w:eastAsiaTheme="minorEastAsia"/>
        </w:rPr>
        <w:t>以及磨损等不良现象的发生，</w:t>
      </w:r>
      <w:r>
        <w:rPr>
          <w:rFonts w:hint="default" w:ascii="Times New Roman" w:eastAsiaTheme="minorEastAsia"/>
        </w:rPr>
        <w:t>建议配伍后燃料</w:t>
      </w:r>
      <w:r>
        <w:rPr>
          <w:rFonts w:ascii="Times New Roman" w:eastAsiaTheme="minorEastAsia"/>
        </w:rPr>
        <w:t>的灰分指标推荐值如表</w:t>
      </w:r>
      <w:r>
        <w:rPr>
          <w:rFonts w:hint="default" w:ascii="Times New Roman" w:eastAsiaTheme="minorEastAsia"/>
        </w:rPr>
        <w:t>2</w:t>
      </w:r>
      <w:r>
        <w:rPr>
          <w:rFonts w:ascii="Times New Roman" w:eastAsiaTheme="minorEastAsia"/>
        </w:rPr>
        <w:t>所示</w:t>
      </w:r>
      <w:r>
        <w:rPr>
          <w:rFonts w:asciiTheme="minorEastAsia" w:hAnsiTheme="minorEastAsia" w:eastAsiaTheme="minorEastAsia"/>
        </w:rPr>
        <w:t>。</w:t>
      </w:r>
    </w:p>
    <w:p>
      <w:pPr>
        <w:pStyle w:val="85"/>
        <w:ind w:firstLine="0" w:firstLineChars="0"/>
        <w:jc w:val="center"/>
        <w:rPr>
          <w:rFonts w:hint="default" w:ascii="Times New Roman"/>
        </w:rPr>
      </w:pPr>
      <w:r>
        <w:rPr>
          <w:rFonts w:hint="default" w:ascii="Times New Roman"/>
        </w:rPr>
        <w:t>表2 CFB锅炉焚烧一般可燃固体废弃物配伍燃料</w:t>
      </w:r>
      <w:r>
        <w:rPr>
          <w:rFonts w:ascii="Times New Roman"/>
        </w:rPr>
        <w:t>灰分</w:t>
      </w:r>
      <w:r>
        <w:rPr>
          <w:rFonts w:hint="default" w:ascii="Times New Roman"/>
        </w:rPr>
        <w:t>推荐指标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60"/>
        <w:gridCol w:w="3000"/>
        <w:gridCol w:w="2794"/>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pStyle w:val="85"/>
              <w:ind w:firstLine="0" w:firstLineChars="0"/>
              <w:jc w:val="center"/>
              <w:rPr>
                <w:rFonts w:hint="default" w:ascii="Times New Roman"/>
                <w:sz w:val="18"/>
                <w:szCs w:val="18"/>
              </w:rPr>
            </w:pPr>
            <w:r>
              <w:rPr>
                <w:rFonts w:hint="default" w:ascii="Times New Roman"/>
                <w:sz w:val="18"/>
                <w:szCs w:val="18"/>
              </w:rPr>
              <w:t>序号</w:t>
            </w:r>
          </w:p>
        </w:tc>
        <w:tc>
          <w:tcPr>
            <w:tcW w:w="1160" w:type="dxa"/>
            <w:vAlign w:val="center"/>
          </w:tcPr>
          <w:p>
            <w:pPr>
              <w:pStyle w:val="85"/>
              <w:ind w:firstLine="0" w:firstLineChars="0"/>
              <w:jc w:val="center"/>
              <w:rPr>
                <w:rFonts w:hint="default" w:ascii="Times New Roman"/>
                <w:sz w:val="18"/>
                <w:szCs w:val="18"/>
              </w:rPr>
            </w:pPr>
            <w:r>
              <w:rPr>
                <w:rFonts w:ascii="Times New Roman"/>
                <w:sz w:val="18"/>
                <w:szCs w:val="18"/>
              </w:rPr>
              <w:t>类型</w:t>
            </w:r>
          </w:p>
        </w:tc>
        <w:tc>
          <w:tcPr>
            <w:tcW w:w="3000" w:type="dxa"/>
            <w:vAlign w:val="center"/>
          </w:tcPr>
          <w:p>
            <w:pPr>
              <w:pStyle w:val="85"/>
              <w:ind w:firstLine="0" w:firstLineChars="0"/>
              <w:jc w:val="center"/>
              <w:rPr>
                <w:rFonts w:hint="default" w:ascii="Times New Roman"/>
                <w:sz w:val="18"/>
                <w:szCs w:val="18"/>
              </w:rPr>
            </w:pPr>
            <w:r>
              <w:rPr>
                <w:rFonts w:ascii="Times New Roman"/>
                <w:sz w:val="18"/>
                <w:szCs w:val="18"/>
              </w:rPr>
              <w:t>评价</w:t>
            </w:r>
            <w:r>
              <w:rPr>
                <w:rFonts w:hint="default" w:ascii="Times New Roman"/>
                <w:sz w:val="18"/>
                <w:szCs w:val="18"/>
              </w:rPr>
              <w:t>指标</w:t>
            </w:r>
          </w:p>
        </w:tc>
        <w:tc>
          <w:tcPr>
            <w:tcW w:w="2794" w:type="dxa"/>
            <w:vAlign w:val="center"/>
          </w:tcPr>
          <w:p>
            <w:pPr>
              <w:pStyle w:val="85"/>
              <w:ind w:firstLine="0" w:firstLineChars="0"/>
              <w:jc w:val="center"/>
              <w:rPr>
                <w:rFonts w:hint="default" w:ascii="Times New Roman"/>
                <w:sz w:val="18"/>
                <w:szCs w:val="18"/>
              </w:rPr>
            </w:pPr>
            <w:r>
              <w:rPr>
                <w:rFonts w:ascii="Times New Roman"/>
                <w:sz w:val="18"/>
                <w:szCs w:val="18"/>
              </w:rPr>
              <w:t>评价标准</w:t>
            </w:r>
          </w:p>
        </w:tc>
        <w:tc>
          <w:tcPr>
            <w:tcW w:w="2050" w:type="dxa"/>
            <w:vAlign w:val="center"/>
          </w:tcPr>
          <w:p>
            <w:pPr>
              <w:pStyle w:val="85"/>
              <w:ind w:firstLine="0" w:firstLineChars="0"/>
              <w:jc w:val="center"/>
              <w:rPr>
                <w:rFonts w:hint="default" w:ascii="Times New Roman"/>
                <w:sz w:val="18"/>
                <w:szCs w:val="18"/>
              </w:rPr>
            </w:pPr>
            <w:r>
              <w:rPr>
                <w:rFonts w:ascii="Times New Roman"/>
                <w:sz w:val="18"/>
                <w:szCs w:val="18"/>
              </w:rPr>
              <w:t>推荐值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pStyle w:val="85"/>
              <w:ind w:firstLine="0" w:firstLineChars="0"/>
              <w:jc w:val="center"/>
              <w:rPr>
                <w:rFonts w:hint="default" w:ascii="Times New Roman"/>
                <w:sz w:val="18"/>
                <w:szCs w:val="18"/>
              </w:rPr>
            </w:pPr>
            <w:r>
              <w:rPr>
                <w:rFonts w:hint="default" w:ascii="Times New Roman"/>
                <w:sz w:val="18"/>
                <w:szCs w:val="18"/>
              </w:rPr>
              <w:t>1</w:t>
            </w:r>
          </w:p>
        </w:tc>
        <w:tc>
          <w:tcPr>
            <w:tcW w:w="1160" w:type="dxa"/>
            <w:vAlign w:val="center"/>
          </w:tcPr>
          <w:p>
            <w:pPr>
              <w:pStyle w:val="85"/>
              <w:ind w:firstLine="0" w:firstLineChars="0"/>
              <w:jc w:val="center"/>
              <w:rPr>
                <w:rFonts w:hint="default" w:ascii="Times New Roman"/>
                <w:sz w:val="18"/>
                <w:szCs w:val="18"/>
              </w:rPr>
            </w:pPr>
            <w:r>
              <w:rPr>
                <w:rFonts w:ascii="Times New Roman"/>
                <w:sz w:val="18"/>
                <w:szCs w:val="18"/>
              </w:rPr>
              <w:t>腐蚀</w:t>
            </w:r>
          </w:p>
        </w:tc>
        <w:tc>
          <w:tcPr>
            <w:tcW w:w="3000" w:type="dxa"/>
            <w:vAlign w:val="center"/>
          </w:tcPr>
          <w:p>
            <w:pPr>
              <w:pStyle w:val="85"/>
              <w:ind w:firstLine="0" w:firstLineChars="0"/>
              <w:jc w:val="center"/>
              <w:rPr>
                <w:rFonts w:hint="default" w:ascii="Times New Roman"/>
                <w:sz w:val="18"/>
                <w:szCs w:val="18"/>
              </w:rPr>
            </w:pPr>
            <w:r>
              <w:rPr>
                <w:rFonts w:hint="default" w:ascii="Times New Roman" w:eastAsiaTheme="minorEastAsia"/>
                <w:sz w:val="18"/>
                <w:szCs w:val="18"/>
              </w:rPr>
              <w:t>S/Cl</w:t>
            </w:r>
          </w:p>
        </w:tc>
        <w:tc>
          <w:tcPr>
            <w:tcW w:w="2794" w:type="dxa"/>
            <w:vAlign w:val="center"/>
          </w:tcPr>
          <w:p>
            <w:pPr>
              <w:pStyle w:val="85"/>
              <w:ind w:firstLine="0" w:firstLineChars="0"/>
              <w:jc w:val="center"/>
              <w:rPr>
                <w:rFonts w:hint="default" w:ascii="Times New Roman"/>
                <w:sz w:val="18"/>
                <w:szCs w:val="18"/>
              </w:rPr>
            </w:pPr>
            <w:r>
              <w:rPr>
                <w:rFonts w:ascii="Times New Roman"/>
                <w:sz w:val="18"/>
                <w:szCs w:val="18"/>
              </w:rPr>
              <w:t>&gt;</w:t>
            </w:r>
            <w:r>
              <w:rPr>
                <w:rFonts w:hint="default" w:ascii="Times New Roman"/>
                <w:sz w:val="18"/>
                <w:szCs w:val="18"/>
              </w:rPr>
              <w:t>4</w:t>
            </w:r>
            <w:r>
              <w:rPr>
                <w:rFonts w:ascii="Times New Roman"/>
                <w:sz w:val="18"/>
                <w:szCs w:val="18"/>
              </w:rPr>
              <w:t>, 轻微；</w:t>
            </w:r>
            <w:r>
              <w:rPr>
                <w:rFonts w:hint="default" w:ascii="Times New Roman"/>
                <w:sz w:val="18"/>
                <w:szCs w:val="18"/>
              </w:rPr>
              <w:t>2</w:t>
            </w:r>
            <w:r>
              <w:rPr>
                <w:rFonts w:ascii="Times New Roman"/>
                <w:sz w:val="18"/>
                <w:szCs w:val="18"/>
              </w:rPr>
              <w:t>-</w:t>
            </w:r>
            <w:r>
              <w:rPr>
                <w:rFonts w:hint="default" w:ascii="Times New Roman"/>
                <w:sz w:val="18"/>
                <w:szCs w:val="18"/>
              </w:rPr>
              <w:t>4</w:t>
            </w:r>
            <w:r>
              <w:rPr>
                <w:rFonts w:ascii="Times New Roman"/>
                <w:sz w:val="18"/>
                <w:szCs w:val="18"/>
              </w:rPr>
              <w:t>，中等；&lt;</w:t>
            </w:r>
            <w:r>
              <w:rPr>
                <w:rFonts w:hint="default" w:ascii="Times New Roman"/>
                <w:sz w:val="18"/>
                <w:szCs w:val="18"/>
              </w:rPr>
              <w:t>2</w:t>
            </w:r>
            <w:r>
              <w:rPr>
                <w:rFonts w:ascii="Times New Roman"/>
                <w:sz w:val="18"/>
                <w:szCs w:val="18"/>
              </w:rPr>
              <w:t>，严重</w:t>
            </w:r>
          </w:p>
        </w:tc>
        <w:tc>
          <w:tcPr>
            <w:tcW w:w="2050" w:type="dxa"/>
            <w:vAlign w:val="center"/>
          </w:tcPr>
          <w:p>
            <w:pPr>
              <w:pStyle w:val="85"/>
              <w:ind w:firstLine="0" w:firstLineChars="0"/>
              <w:jc w:val="center"/>
              <w:rPr>
                <w:rFonts w:hint="default" w:ascii="Times New Roman"/>
                <w:sz w:val="18"/>
                <w:szCs w:val="18"/>
              </w:rPr>
            </w:pPr>
            <w:r>
              <w:rPr>
                <w:rFonts w:hint="default" w:ascii="Times New Roman" w:eastAsiaTheme="minorEastAsia"/>
                <w:sz w:val="18"/>
                <w:szCs w:val="18"/>
              </w:rPr>
              <w:t>&gt;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pStyle w:val="85"/>
              <w:ind w:firstLine="0" w:firstLineChars="0"/>
              <w:jc w:val="center"/>
              <w:rPr>
                <w:rFonts w:hint="default" w:ascii="Times New Roman"/>
                <w:sz w:val="18"/>
                <w:szCs w:val="18"/>
              </w:rPr>
            </w:pPr>
            <w:r>
              <w:rPr>
                <w:rFonts w:hint="default" w:ascii="Times New Roman"/>
                <w:sz w:val="18"/>
                <w:szCs w:val="18"/>
              </w:rPr>
              <w:t>2</w:t>
            </w:r>
          </w:p>
        </w:tc>
        <w:tc>
          <w:tcPr>
            <w:tcW w:w="1160" w:type="dxa"/>
            <w:vAlign w:val="center"/>
          </w:tcPr>
          <w:p>
            <w:pPr>
              <w:pStyle w:val="85"/>
              <w:ind w:firstLine="0" w:firstLineChars="0"/>
              <w:jc w:val="center"/>
              <w:rPr>
                <w:rFonts w:hint="default" w:ascii="Times New Roman"/>
                <w:sz w:val="18"/>
                <w:szCs w:val="18"/>
              </w:rPr>
            </w:pPr>
            <w:r>
              <w:rPr>
                <w:rFonts w:ascii="Times New Roman" w:eastAsiaTheme="minorEastAsia"/>
                <w:sz w:val="18"/>
                <w:szCs w:val="18"/>
              </w:rPr>
              <w:t>结渣</w:t>
            </w:r>
          </w:p>
        </w:tc>
        <w:tc>
          <w:tcPr>
            <w:tcW w:w="3000" w:type="dxa"/>
            <w:vAlign w:val="center"/>
          </w:tcPr>
          <w:p>
            <w:pPr>
              <w:pStyle w:val="85"/>
              <w:ind w:firstLine="0" w:firstLineChars="0"/>
              <w:jc w:val="center"/>
              <w:rPr>
                <w:rFonts w:hint="default" w:ascii="Times New Roman"/>
                <w:sz w:val="18"/>
                <w:szCs w:val="18"/>
                <w:highlight w:val="yellow"/>
              </w:rPr>
            </w:pPr>
            <w:r>
              <w:rPr>
                <w:rFonts w:ascii="Times New Roman" w:eastAsiaTheme="minorEastAsia"/>
                <w:sz w:val="18"/>
                <w:szCs w:val="18"/>
              </w:rPr>
              <w:t>(Fe</w:t>
            </w:r>
            <w:r>
              <w:rPr>
                <w:rFonts w:ascii="Times New Roman" w:eastAsiaTheme="minorEastAsia"/>
                <w:sz w:val="18"/>
                <w:szCs w:val="18"/>
                <w:vertAlign w:val="subscript"/>
              </w:rPr>
              <w:t>2</w:t>
            </w:r>
            <w:r>
              <w:rPr>
                <w:rFonts w:ascii="Times New Roman" w:eastAsiaTheme="minorEastAsia"/>
                <w:sz w:val="18"/>
                <w:szCs w:val="18"/>
              </w:rPr>
              <w:t>O</w:t>
            </w:r>
            <w:r>
              <w:rPr>
                <w:rFonts w:ascii="Times New Roman" w:eastAsiaTheme="minorEastAsia"/>
                <w:sz w:val="18"/>
                <w:szCs w:val="18"/>
                <w:vertAlign w:val="subscript"/>
              </w:rPr>
              <w:t>3</w:t>
            </w:r>
            <w:r>
              <w:rPr>
                <w:rFonts w:hint="default" w:ascii="Times New Roman" w:eastAsiaTheme="minorEastAsia"/>
                <w:sz w:val="18"/>
                <w:szCs w:val="18"/>
                <w:vertAlign w:val="subscript"/>
              </w:rPr>
              <w:t xml:space="preserve"> </w:t>
            </w:r>
            <w:r>
              <w:rPr>
                <w:rFonts w:ascii="Times New Roman" w:eastAsiaTheme="minorEastAsia"/>
                <w:sz w:val="18"/>
                <w:szCs w:val="18"/>
              </w:rPr>
              <w:t>+</w:t>
            </w:r>
            <w:r>
              <w:rPr>
                <w:rFonts w:hint="default" w:ascii="Times New Roman" w:eastAsiaTheme="minorEastAsia"/>
                <w:sz w:val="18"/>
                <w:szCs w:val="18"/>
              </w:rPr>
              <w:t xml:space="preserve"> </w:t>
            </w:r>
            <w:r>
              <w:rPr>
                <w:rFonts w:ascii="Times New Roman" w:eastAsiaTheme="minorEastAsia"/>
                <w:sz w:val="18"/>
                <w:szCs w:val="18"/>
              </w:rPr>
              <w:t>CaO</w:t>
            </w:r>
            <w:r>
              <w:rPr>
                <w:rFonts w:hint="default" w:ascii="Times New Roman" w:eastAsiaTheme="minorEastAsia"/>
                <w:sz w:val="18"/>
                <w:szCs w:val="18"/>
              </w:rPr>
              <w:t xml:space="preserve"> </w:t>
            </w:r>
            <w:r>
              <w:rPr>
                <w:rFonts w:ascii="Times New Roman" w:eastAsiaTheme="minorEastAsia"/>
                <w:sz w:val="18"/>
                <w:szCs w:val="18"/>
              </w:rPr>
              <w:t>+</w:t>
            </w:r>
            <w:r>
              <w:rPr>
                <w:rFonts w:hint="default" w:ascii="Times New Roman" w:eastAsiaTheme="minorEastAsia"/>
                <w:sz w:val="18"/>
                <w:szCs w:val="18"/>
              </w:rPr>
              <w:t xml:space="preserve"> </w:t>
            </w:r>
            <w:r>
              <w:rPr>
                <w:rFonts w:ascii="Times New Roman" w:eastAsiaTheme="minorEastAsia"/>
                <w:sz w:val="18"/>
                <w:szCs w:val="18"/>
              </w:rPr>
              <w:t>MgO</w:t>
            </w:r>
            <w:r>
              <w:rPr>
                <w:rFonts w:hint="default" w:ascii="Times New Roman" w:eastAsiaTheme="minorEastAsia"/>
                <w:sz w:val="18"/>
                <w:szCs w:val="18"/>
              </w:rPr>
              <w:t xml:space="preserve"> </w:t>
            </w:r>
            <w:r>
              <w:rPr>
                <w:rFonts w:ascii="Times New Roman" w:eastAsiaTheme="minorEastAsia"/>
                <w:sz w:val="18"/>
                <w:szCs w:val="18"/>
              </w:rPr>
              <w:t>+</w:t>
            </w:r>
            <w:r>
              <w:rPr>
                <w:rFonts w:hint="default" w:ascii="Times New Roman" w:eastAsiaTheme="minorEastAsia"/>
                <w:sz w:val="18"/>
                <w:szCs w:val="18"/>
              </w:rPr>
              <w:t xml:space="preserve"> </w:t>
            </w:r>
            <w:r>
              <w:rPr>
                <w:rFonts w:ascii="Times New Roman" w:eastAsiaTheme="minorEastAsia"/>
                <w:sz w:val="18"/>
                <w:szCs w:val="18"/>
              </w:rPr>
              <w:t>K</w:t>
            </w:r>
            <w:r>
              <w:rPr>
                <w:rFonts w:ascii="Times New Roman" w:eastAsiaTheme="minorEastAsia"/>
                <w:sz w:val="18"/>
                <w:szCs w:val="18"/>
                <w:vertAlign w:val="subscript"/>
              </w:rPr>
              <w:t>2</w:t>
            </w:r>
            <w:r>
              <w:rPr>
                <w:rFonts w:ascii="Times New Roman" w:eastAsiaTheme="minorEastAsia"/>
                <w:sz w:val="18"/>
                <w:szCs w:val="18"/>
              </w:rPr>
              <w:t>O</w:t>
            </w:r>
            <w:r>
              <w:rPr>
                <w:rFonts w:hint="default" w:ascii="Times New Roman" w:eastAsiaTheme="minorEastAsia"/>
                <w:sz w:val="18"/>
                <w:szCs w:val="18"/>
              </w:rPr>
              <w:t xml:space="preserve"> </w:t>
            </w:r>
            <w:r>
              <w:rPr>
                <w:rFonts w:ascii="Times New Roman" w:eastAsiaTheme="minorEastAsia"/>
                <w:sz w:val="18"/>
                <w:szCs w:val="18"/>
              </w:rPr>
              <w:t>+</w:t>
            </w:r>
            <w:r>
              <w:rPr>
                <w:rFonts w:hint="default" w:ascii="Times New Roman" w:eastAsiaTheme="minorEastAsia"/>
                <w:sz w:val="18"/>
                <w:szCs w:val="18"/>
              </w:rPr>
              <w:t xml:space="preserve"> </w:t>
            </w:r>
            <w:r>
              <w:rPr>
                <w:rFonts w:ascii="Times New Roman" w:eastAsiaTheme="minorEastAsia"/>
                <w:sz w:val="18"/>
                <w:szCs w:val="18"/>
              </w:rPr>
              <w:t>Na</w:t>
            </w:r>
            <w:r>
              <w:rPr>
                <w:rFonts w:ascii="Times New Roman" w:eastAsiaTheme="minorEastAsia"/>
                <w:sz w:val="18"/>
                <w:szCs w:val="18"/>
                <w:vertAlign w:val="subscript"/>
              </w:rPr>
              <w:t>2</w:t>
            </w:r>
            <w:r>
              <w:rPr>
                <w:rFonts w:ascii="Times New Roman" w:eastAsiaTheme="minorEastAsia"/>
                <w:sz w:val="18"/>
                <w:szCs w:val="18"/>
              </w:rPr>
              <w:t>O) / (SiO</w:t>
            </w:r>
            <w:r>
              <w:rPr>
                <w:rFonts w:ascii="Times New Roman" w:eastAsiaTheme="minorEastAsia"/>
                <w:sz w:val="18"/>
                <w:szCs w:val="18"/>
                <w:vertAlign w:val="subscript"/>
              </w:rPr>
              <w:t>2</w:t>
            </w:r>
            <w:r>
              <w:rPr>
                <w:rFonts w:hint="default" w:ascii="Times New Roman" w:eastAsiaTheme="minorEastAsia"/>
                <w:sz w:val="18"/>
                <w:szCs w:val="18"/>
                <w:vertAlign w:val="subscript"/>
              </w:rPr>
              <w:t xml:space="preserve"> </w:t>
            </w:r>
            <w:r>
              <w:rPr>
                <w:rFonts w:ascii="Times New Roman" w:eastAsiaTheme="minorEastAsia"/>
                <w:sz w:val="18"/>
                <w:szCs w:val="18"/>
              </w:rPr>
              <w:t>+</w:t>
            </w:r>
            <w:r>
              <w:rPr>
                <w:rFonts w:hint="default" w:ascii="Times New Roman" w:eastAsiaTheme="minorEastAsia"/>
                <w:sz w:val="18"/>
                <w:szCs w:val="18"/>
              </w:rPr>
              <w:t xml:space="preserve"> </w:t>
            </w:r>
            <w:r>
              <w:rPr>
                <w:rFonts w:ascii="Times New Roman" w:eastAsiaTheme="minorEastAsia"/>
                <w:sz w:val="18"/>
                <w:szCs w:val="18"/>
              </w:rPr>
              <w:t>TiO</w:t>
            </w:r>
            <w:r>
              <w:rPr>
                <w:rFonts w:ascii="Times New Roman" w:eastAsiaTheme="minorEastAsia"/>
                <w:sz w:val="18"/>
                <w:szCs w:val="18"/>
                <w:vertAlign w:val="subscript"/>
              </w:rPr>
              <w:t>2</w:t>
            </w:r>
            <w:r>
              <w:rPr>
                <w:rFonts w:hint="default" w:ascii="Times New Roman" w:eastAsiaTheme="minorEastAsia"/>
                <w:sz w:val="18"/>
                <w:szCs w:val="18"/>
                <w:vertAlign w:val="subscript"/>
              </w:rPr>
              <w:t xml:space="preserve"> </w:t>
            </w:r>
            <w:r>
              <w:rPr>
                <w:rFonts w:ascii="Times New Roman" w:eastAsiaTheme="minorEastAsia"/>
                <w:sz w:val="18"/>
                <w:szCs w:val="18"/>
              </w:rPr>
              <w:t>+</w:t>
            </w:r>
            <w:r>
              <w:rPr>
                <w:rFonts w:hint="default" w:ascii="Times New Roman" w:eastAsiaTheme="minorEastAsia"/>
                <w:sz w:val="18"/>
                <w:szCs w:val="18"/>
              </w:rPr>
              <w:t xml:space="preserve"> </w:t>
            </w:r>
            <w:r>
              <w:rPr>
                <w:rFonts w:ascii="Times New Roman" w:eastAsiaTheme="minorEastAsia"/>
                <w:sz w:val="18"/>
                <w:szCs w:val="18"/>
              </w:rPr>
              <w:t>Al</w:t>
            </w:r>
            <w:r>
              <w:rPr>
                <w:rFonts w:ascii="Times New Roman" w:eastAsiaTheme="minorEastAsia"/>
                <w:sz w:val="18"/>
                <w:szCs w:val="18"/>
                <w:vertAlign w:val="subscript"/>
              </w:rPr>
              <w:t>2</w:t>
            </w:r>
            <w:r>
              <w:rPr>
                <w:rFonts w:ascii="Times New Roman" w:eastAsiaTheme="minorEastAsia"/>
                <w:sz w:val="18"/>
                <w:szCs w:val="18"/>
              </w:rPr>
              <w:t>O</w:t>
            </w:r>
            <w:r>
              <w:rPr>
                <w:rFonts w:ascii="Times New Roman" w:eastAsiaTheme="minorEastAsia"/>
                <w:sz w:val="18"/>
                <w:szCs w:val="18"/>
                <w:vertAlign w:val="subscript"/>
              </w:rPr>
              <w:t>3</w:t>
            </w:r>
            <w:r>
              <w:rPr>
                <w:rFonts w:ascii="Times New Roman" w:eastAsiaTheme="minorEastAsia"/>
                <w:sz w:val="18"/>
                <w:szCs w:val="18"/>
              </w:rPr>
              <w:t>)</w:t>
            </w:r>
          </w:p>
        </w:tc>
        <w:tc>
          <w:tcPr>
            <w:tcW w:w="2794" w:type="dxa"/>
            <w:vAlign w:val="center"/>
          </w:tcPr>
          <w:p>
            <w:pPr>
              <w:pStyle w:val="85"/>
              <w:ind w:firstLine="0" w:firstLineChars="0"/>
              <w:jc w:val="center"/>
              <w:rPr>
                <w:rFonts w:hint="default" w:ascii="Times New Roman"/>
                <w:sz w:val="18"/>
                <w:szCs w:val="18"/>
              </w:rPr>
            </w:pPr>
            <w:r>
              <w:rPr>
                <w:rFonts w:ascii="Times New Roman"/>
                <w:sz w:val="18"/>
                <w:szCs w:val="18"/>
              </w:rPr>
              <w:t>&lt;0.5，轻微；0.5-1，中等；&gt;1，严重</w:t>
            </w:r>
          </w:p>
        </w:tc>
        <w:tc>
          <w:tcPr>
            <w:tcW w:w="2050" w:type="dxa"/>
            <w:vAlign w:val="center"/>
          </w:tcPr>
          <w:p>
            <w:pPr>
              <w:pStyle w:val="85"/>
              <w:ind w:firstLine="0" w:firstLineChars="0"/>
              <w:jc w:val="center"/>
              <w:rPr>
                <w:rFonts w:hint="default" w:ascii="Times New Roman"/>
                <w:sz w:val="18"/>
                <w:szCs w:val="18"/>
              </w:rPr>
            </w:pPr>
            <w:r>
              <w:rPr>
                <w:rFonts w:ascii="Times New Roman" w:eastAsiaTheme="minorEastAsia"/>
                <w:sz w:val="18"/>
                <w:szCs w:val="18"/>
              </w:rPr>
              <w:t>&lt;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pStyle w:val="85"/>
              <w:ind w:firstLine="0" w:firstLineChars="0"/>
              <w:jc w:val="center"/>
              <w:rPr>
                <w:rFonts w:hint="default" w:ascii="Times New Roman"/>
                <w:sz w:val="18"/>
                <w:szCs w:val="18"/>
              </w:rPr>
            </w:pPr>
            <w:r>
              <w:rPr>
                <w:rFonts w:hint="default" w:ascii="Times New Roman"/>
                <w:sz w:val="18"/>
                <w:szCs w:val="18"/>
              </w:rPr>
              <w:t>3</w:t>
            </w:r>
          </w:p>
        </w:tc>
        <w:tc>
          <w:tcPr>
            <w:tcW w:w="1160" w:type="dxa"/>
            <w:vAlign w:val="center"/>
          </w:tcPr>
          <w:p>
            <w:pPr>
              <w:pStyle w:val="85"/>
              <w:ind w:firstLine="0" w:firstLineChars="0"/>
              <w:jc w:val="center"/>
              <w:rPr>
                <w:rFonts w:hint="default" w:ascii="Times New Roman"/>
                <w:sz w:val="18"/>
                <w:szCs w:val="18"/>
              </w:rPr>
            </w:pPr>
            <w:r>
              <w:rPr>
                <w:rFonts w:ascii="Times New Roman"/>
                <w:sz w:val="18"/>
                <w:szCs w:val="18"/>
              </w:rPr>
              <w:t>团聚</w:t>
            </w:r>
          </w:p>
        </w:tc>
        <w:tc>
          <w:tcPr>
            <w:tcW w:w="3000" w:type="dxa"/>
            <w:vAlign w:val="center"/>
          </w:tcPr>
          <w:p>
            <w:pPr>
              <w:pStyle w:val="85"/>
              <w:ind w:firstLine="0" w:firstLineChars="0"/>
              <w:jc w:val="center"/>
              <w:rPr>
                <w:rFonts w:hint="default" w:ascii="Times New Roman"/>
                <w:sz w:val="18"/>
                <w:szCs w:val="18"/>
              </w:rPr>
            </w:pPr>
            <w:r>
              <w:rPr>
                <w:rFonts w:ascii="Times New Roman"/>
                <w:sz w:val="18"/>
                <w:szCs w:val="18"/>
              </w:rPr>
              <w:t>SiO</w:t>
            </w:r>
            <w:r>
              <w:rPr>
                <w:rFonts w:ascii="Times New Roman"/>
                <w:sz w:val="18"/>
                <w:szCs w:val="18"/>
                <w:vertAlign w:val="subscript"/>
              </w:rPr>
              <w:t>2</w:t>
            </w:r>
            <w:r>
              <w:rPr>
                <w:rFonts w:hint="default" w:ascii="Times New Roman"/>
                <w:sz w:val="18"/>
                <w:szCs w:val="18"/>
              </w:rPr>
              <w:t xml:space="preserve"> </w:t>
            </w:r>
            <w:r>
              <w:rPr>
                <w:rFonts w:ascii="Times New Roman"/>
                <w:sz w:val="18"/>
                <w:szCs w:val="18"/>
              </w:rPr>
              <w:t>/</w:t>
            </w:r>
            <w:r>
              <w:rPr>
                <w:rFonts w:hint="default" w:ascii="Times New Roman"/>
                <w:sz w:val="18"/>
                <w:szCs w:val="18"/>
              </w:rPr>
              <w:t xml:space="preserve"> (</w:t>
            </w:r>
            <w:r>
              <w:rPr>
                <w:rFonts w:ascii="Times New Roman"/>
                <w:sz w:val="18"/>
                <w:szCs w:val="18"/>
              </w:rPr>
              <w:t>SiO</w:t>
            </w:r>
            <w:r>
              <w:rPr>
                <w:rFonts w:ascii="Times New Roman"/>
                <w:sz w:val="18"/>
                <w:szCs w:val="18"/>
                <w:vertAlign w:val="subscript"/>
              </w:rPr>
              <w:t>2</w:t>
            </w:r>
            <w:r>
              <w:rPr>
                <w:rFonts w:hint="default" w:ascii="Times New Roman"/>
                <w:sz w:val="18"/>
                <w:szCs w:val="18"/>
                <w:vertAlign w:val="subscript"/>
              </w:rPr>
              <w:t xml:space="preserve"> </w:t>
            </w:r>
            <w:r>
              <w:rPr>
                <w:rFonts w:ascii="Times New Roman"/>
                <w:sz w:val="18"/>
                <w:szCs w:val="18"/>
              </w:rPr>
              <w:t>+</w:t>
            </w:r>
            <w:r>
              <w:rPr>
                <w:rFonts w:hint="default" w:ascii="Times New Roman"/>
                <w:sz w:val="18"/>
                <w:szCs w:val="18"/>
              </w:rPr>
              <w:t xml:space="preserve"> </w:t>
            </w:r>
            <w:r>
              <w:rPr>
                <w:rFonts w:ascii="Times New Roman"/>
                <w:sz w:val="18"/>
                <w:szCs w:val="18"/>
              </w:rPr>
              <w:t>Fe</w:t>
            </w:r>
            <w:r>
              <w:rPr>
                <w:rFonts w:ascii="Times New Roman"/>
                <w:sz w:val="18"/>
                <w:szCs w:val="18"/>
                <w:vertAlign w:val="subscript"/>
              </w:rPr>
              <w:t>2</w:t>
            </w:r>
            <w:r>
              <w:rPr>
                <w:rFonts w:ascii="Times New Roman"/>
                <w:sz w:val="18"/>
                <w:szCs w:val="18"/>
              </w:rPr>
              <w:t>O</w:t>
            </w:r>
            <w:r>
              <w:rPr>
                <w:rFonts w:ascii="Times New Roman"/>
                <w:sz w:val="18"/>
                <w:szCs w:val="18"/>
                <w:vertAlign w:val="subscript"/>
              </w:rPr>
              <w:t>3</w:t>
            </w:r>
            <w:r>
              <w:rPr>
                <w:rFonts w:hint="default" w:ascii="Times New Roman"/>
                <w:sz w:val="18"/>
                <w:szCs w:val="18"/>
                <w:vertAlign w:val="subscript"/>
              </w:rPr>
              <w:t xml:space="preserve"> </w:t>
            </w:r>
            <w:r>
              <w:rPr>
                <w:rFonts w:ascii="Times New Roman"/>
                <w:sz w:val="18"/>
                <w:szCs w:val="18"/>
              </w:rPr>
              <w:t>+</w:t>
            </w:r>
            <w:r>
              <w:rPr>
                <w:rFonts w:hint="default" w:ascii="Times New Roman"/>
                <w:sz w:val="18"/>
                <w:szCs w:val="18"/>
              </w:rPr>
              <w:t xml:space="preserve"> </w:t>
            </w:r>
            <w:r>
              <w:rPr>
                <w:rFonts w:ascii="Times New Roman"/>
                <w:sz w:val="18"/>
                <w:szCs w:val="18"/>
              </w:rPr>
              <w:t>CaO</w:t>
            </w:r>
            <w:r>
              <w:rPr>
                <w:rFonts w:hint="default" w:ascii="Times New Roman"/>
                <w:sz w:val="18"/>
                <w:szCs w:val="18"/>
              </w:rPr>
              <w:t xml:space="preserve"> </w:t>
            </w:r>
            <w:r>
              <w:rPr>
                <w:rFonts w:ascii="Times New Roman"/>
                <w:sz w:val="18"/>
                <w:szCs w:val="18"/>
              </w:rPr>
              <w:t>+</w:t>
            </w:r>
            <w:r>
              <w:rPr>
                <w:rFonts w:hint="default" w:ascii="Times New Roman"/>
                <w:sz w:val="18"/>
                <w:szCs w:val="18"/>
              </w:rPr>
              <w:t xml:space="preserve"> </w:t>
            </w:r>
            <w:r>
              <w:rPr>
                <w:rFonts w:ascii="Times New Roman"/>
                <w:sz w:val="18"/>
                <w:szCs w:val="18"/>
              </w:rPr>
              <w:t>MgO</w:t>
            </w:r>
            <w:r>
              <w:rPr>
                <w:rFonts w:hint="default" w:ascii="Times New Roman"/>
                <w:sz w:val="18"/>
                <w:szCs w:val="18"/>
              </w:rPr>
              <w:t>)</w:t>
            </w:r>
          </w:p>
        </w:tc>
        <w:tc>
          <w:tcPr>
            <w:tcW w:w="2794" w:type="dxa"/>
            <w:vAlign w:val="center"/>
          </w:tcPr>
          <w:p>
            <w:pPr>
              <w:pStyle w:val="85"/>
              <w:ind w:firstLine="0" w:firstLineChars="0"/>
              <w:jc w:val="center"/>
              <w:rPr>
                <w:rFonts w:hint="default" w:ascii="Times New Roman"/>
                <w:sz w:val="18"/>
                <w:szCs w:val="18"/>
              </w:rPr>
            </w:pPr>
            <w:r>
              <w:rPr>
                <w:rFonts w:ascii="Times New Roman"/>
                <w:sz w:val="18"/>
                <w:szCs w:val="18"/>
              </w:rPr>
              <w:t>&gt;</w:t>
            </w:r>
            <w:r>
              <w:rPr>
                <w:rFonts w:hint="default" w:ascii="Times New Roman"/>
                <w:sz w:val="18"/>
                <w:szCs w:val="18"/>
              </w:rPr>
              <w:t>0.</w:t>
            </w:r>
            <w:r>
              <w:rPr>
                <w:rFonts w:ascii="Times New Roman"/>
                <w:sz w:val="18"/>
                <w:szCs w:val="18"/>
              </w:rPr>
              <w:t>78</w:t>
            </w:r>
            <w:r>
              <w:rPr>
                <w:rFonts w:hint="default" w:ascii="Times New Roman"/>
                <w:sz w:val="18"/>
                <w:szCs w:val="18"/>
              </w:rPr>
              <w:t>0</w:t>
            </w:r>
            <w:r>
              <w:rPr>
                <w:rFonts w:ascii="Times New Roman"/>
                <w:sz w:val="18"/>
                <w:szCs w:val="18"/>
              </w:rPr>
              <w:t>，轻微；0</w:t>
            </w:r>
            <w:r>
              <w:rPr>
                <w:rFonts w:hint="default" w:ascii="Times New Roman"/>
                <w:sz w:val="18"/>
                <w:szCs w:val="18"/>
              </w:rPr>
              <w:t>.</w:t>
            </w:r>
            <w:r>
              <w:rPr>
                <w:rFonts w:ascii="Times New Roman"/>
                <w:sz w:val="18"/>
                <w:szCs w:val="18"/>
              </w:rPr>
              <w:t>661-</w:t>
            </w:r>
            <w:r>
              <w:rPr>
                <w:rFonts w:hint="default" w:ascii="Times New Roman"/>
                <w:sz w:val="18"/>
                <w:szCs w:val="18"/>
              </w:rPr>
              <w:t>0.</w:t>
            </w:r>
            <w:r>
              <w:rPr>
                <w:rFonts w:ascii="Times New Roman"/>
                <w:sz w:val="18"/>
                <w:szCs w:val="18"/>
              </w:rPr>
              <w:t>78</w:t>
            </w:r>
            <w:r>
              <w:rPr>
                <w:rFonts w:hint="default" w:ascii="Times New Roman"/>
                <w:sz w:val="18"/>
                <w:szCs w:val="18"/>
              </w:rPr>
              <w:t>0</w:t>
            </w:r>
            <w:r>
              <w:rPr>
                <w:rFonts w:ascii="Times New Roman"/>
                <w:sz w:val="18"/>
                <w:szCs w:val="18"/>
              </w:rPr>
              <w:t>，中等；&lt;</w:t>
            </w:r>
            <w:r>
              <w:rPr>
                <w:rFonts w:hint="default" w:ascii="Times New Roman"/>
                <w:sz w:val="18"/>
                <w:szCs w:val="18"/>
              </w:rPr>
              <w:t xml:space="preserve"> 0.</w:t>
            </w:r>
            <w:r>
              <w:rPr>
                <w:rFonts w:ascii="Times New Roman"/>
                <w:sz w:val="18"/>
                <w:szCs w:val="18"/>
              </w:rPr>
              <w:t>661，严重</w:t>
            </w:r>
          </w:p>
        </w:tc>
        <w:tc>
          <w:tcPr>
            <w:tcW w:w="2050" w:type="dxa"/>
            <w:vAlign w:val="center"/>
          </w:tcPr>
          <w:p>
            <w:pPr>
              <w:pStyle w:val="85"/>
              <w:ind w:firstLine="0" w:firstLineChars="0"/>
              <w:jc w:val="center"/>
              <w:rPr>
                <w:rFonts w:hint="default" w:ascii="Times New Roman"/>
                <w:sz w:val="18"/>
                <w:szCs w:val="18"/>
              </w:rPr>
            </w:pPr>
            <w:r>
              <w:rPr>
                <w:rFonts w:ascii="Times New Roman"/>
                <w:sz w:val="18"/>
                <w:szCs w:val="18"/>
              </w:rPr>
              <w:t>&gt;</w:t>
            </w:r>
            <w:r>
              <w:rPr>
                <w:rFonts w:hint="default" w:ascii="Times New Roman"/>
                <w:sz w:val="18"/>
                <w:szCs w:val="18"/>
              </w:rPr>
              <w:t>0.</w:t>
            </w:r>
            <w:r>
              <w:rPr>
                <w:rFonts w:ascii="Times New Roman"/>
                <w:sz w:val="18"/>
                <w:szCs w:val="18"/>
              </w:rPr>
              <w:t>78</w:t>
            </w:r>
            <w:r>
              <w:rPr>
                <w:rFonts w:hint="default" w:ascii="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pStyle w:val="85"/>
              <w:ind w:firstLine="0" w:firstLineChars="0"/>
              <w:jc w:val="center"/>
              <w:rPr>
                <w:rFonts w:hint="default" w:ascii="Times New Roman"/>
                <w:sz w:val="18"/>
                <w:szCs w:val="18"/>
              </w:rPr>
            </w:pPr>
            <w:r>
              <w:rPr>
                <w:rFonts w:ascii="Times New Roman"/>
                <w:sz w:val="18"/>
                <w:szCs w:val="18"/>
              </w:rPr>
              <w:t>4</w:t>
            </w:r>
          </w:p>
        </w:tc>
        <w:tc>
          <w:tcPr>
            <w:tcW w:w="1160" w:type="dxa"/>
            <w:vAlign w:val="center"/>
          </w:tcPr>
          <w:p>
            <w:pPr>
              <w:pStyle w:val="85"/>
              <w:ind w:firstLine="0" w:firstLineChars="0"/>
              <w:jc w:val="center"/>
              <w:rPr>
                <w:rFonts w:hint="default" w:ascii="Times New Roman"/>
                <w:sz w:val="18"/>
                <w:szCs w:val="18"/>
              </w:rPr>
            </w:pPr>
            <w:r>
              <w:rPr>
                <w:rFonts w:ascii="Times New Roman"/>
                <w:sz w:val="18"/>
                <w:szCs w:val="18"/>
              </w:rPr>
              <w:t>积灰</w:t>
            </w:r>
          </w:p>
        </w:tc>
        <w:tc>
          <w:tcPr>
            <w:tcW w:w="3000" w:type="dxa"/>
            <w:vAlign w:val="center"/>
          </w:tcPr>
          <w:p>
            <w:pPr>
              <w:pStyle w:val="85"/>
              <w:ind w:firstLine="0" w:firstLineChars="0"/>
              <w:jc w:val="center"/>
              <w:rPr>
                <w:rFonts w:hint="default" w:ascii="Times New Roman"/>
                <w:sz w:val="18"/>
                <w:szCs w:val="18"/>
              </w:rPr>
            </w:pPr>
            <w:r>
              <w:rPr>
                <w:rFonts w:ascii="Times New Roman" w:eastAsiaTheme="minorEastAsia"/>
                <w:sz w:val="18"/>
                <w:szCs w:val="18"/>
              </w:rPr>
              <w:t>(Na+</w:t>
            </w:r>
            <w:r>
              <w:rPr>
                <w:rFonts w:hint="default" w:ascii="Times New Roman" w:eastAsiaTheme="minorEastAsia"/>
                <w:sz w:val="18"/>
                <w:szCs w:val="18"/>
              </w:rPr>
              <w:t>K) / (2S+Cl)</w:t>
            </w:r>
          </w:p>
        </w:tc>
        <w:tc>
          <w:tcPr>
            <w:tcW w:w="2794" w:type="dxa"/>
            <w:vAlign w:val="center"/>
          </w:tcPr>
          <w:p>
            <w:pPr>
              <w:pStyle w:val="85"/>
              <w:ind w:firstLine="0" w:firstLineChars="0"/>
              <w:jc w:val="center"/>
              <w:rPr>
                <w:rFonts w:hint="default" w:ascii="Times New Roman"/>
                <w:sz w:val="18"/>
                <w:szCs w:val="18"/>
              </w:rPr>
            </w:pPr>
            <w:r>
              <w:rPr>
                <w:rFonts w:ascii="Times New Roman"/>
                <w:sz w:val="18"/>
                <w:szCs w:val="18"/>
              </w:rPr>
              <w:t>&gt;1，严重</w:t>
            </w:r>
          </w:p>
        </w:tc>
        <w:tc>
          <w:tcPr>
            <w:tcW w:w="2050" w:type="dxa"/>
            <w:vAlign w:val="center"/>
          </w:tcPr>
          <w:p>
            <w:pPr>
              <w:pStyle w:val="85"/>
              <w:ind w:firstLine="0" w:firstLineChars="0"/>
              <w:jc w:val="center"/>
              <w:rPr>
                <w:rFonts w:hint="default" w:ascii="Times New Roman"/>
                <w:sz w:val="18"/>
                <w:szCs w:val="18"/>
              </w:rPr>
            </w:pPr>
            <w:r>
              <w:rPr>
                <w:rFonts w:hint="default" w:ascii="Times New Roman" w:eastAsiaTheme="minorEastAsia"/>
                <w:sz w:val="18"/>
                <w:szCs w:val="18"/>
              </w:rPr>
              <w:t>&lt;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pStyle w:val="85"/>
              <w:ind w:firstLine="0" w:firstLineChars="0"/>
              <w:jc w:val="center"/>
              <w:rPr>
                <w:rFonts w:hint="default" w:ascii="Times New Roman"/>
                <w:sz w:val="18"/>
                <w:szCs w:val="18"/>
              </w:rPr>
            </w:pPr>
            <w:r>
              <w:rPr>
                <w:rFonts w:hint="default" w:ascii="Times New Roman"/>
                <w:sz w:val="18"/>
                <w:szCs w:val="18"/>
              </w:rPr>
              <w:t>5</w:t>
            </w:r>
          </w:p>
        </w:tc>
        <w:tc>
          <w:tcPr>
            <w:tcW w:w="1160" w:type="dxa"/>
            <w:vAlign w:val="center"/>
          </w:tcPr>
          <w:p>
            <w:pPr>
              <w:pStyle w:val="85"/>
              <w:ind w:firstLine="0" w:firstLineChars="0"/>
              <w:jc w:val="center"/>
              <w:rPr>
                <w:rFonts w:hint="default" w:ascii="Times New Roman"/>
                <w:sz w:val="18"/>
                <w:szCs w:val="18"/>
              </w:rPr>
            </w:pPr>
            <w:r>
              <w:rPr>
                <w:rFonts w:hint="default" w:ascii="Times New Roman" w:eastAsiaTheme="minorEastAsia"/>
                <w:sz w:val="18"/>
                <w:szCs w:val="18"/>
              </w:rPr>
              <w:t>磨损</w:t>
            </w:r>
          </w:p>
        </w:tc>
        <w:tc>
          <w:tcPr>
            <w:tcW w:w="3000" w:type="dxa"/>
            <w:vAlign w:val="center"/>
          </w:tcPr>
          <w:p>
            <w:pPr>
              <w:pStyle w:val="85"/>
              <w:ind w:firstLine="0" w:firstLineChars="0"/>
              <w:jc w:val="center"/>
              <w:rPr>
                <w:rFonts w:hint="default" w:ascii="Times New Roman"/>
                <w:sz w:val="18"/>
                <w:szCs w:val="18"/>
              </w:rPr>
            </w:pPr>
            <w:r>
              <w:rPr>
                <w:rFonts w:hint="default" w:ascii="Times New Roman" w:eastAsiaTheme="minorEastAsia"/>
                <w:i/>
                <w:iCs/>
                <w:sz w:val="18"/>
                <w:szCs w:val="18"/>
              </w:rPr>
              <w:t>A</w:t>
            </w:r>
            <w:r>
              <w:rPr>
                <w:rFonts w:hint="default" w:ascii="Times New Roman" w:eastAsiaTheme="minorEastAsia"/>
                <w:sz w:val="18"/>
                <w:szCs w:val="18"/>
                <w:vertAlign w:val="subscript"/>
              </w:rPr>
              <w:t>ar</w:t>
            </w:r>
            <w:r>
              <w:rPr>
                <w:rFonts w:hint="default" w:ascii="Times New Roman" w:eastAsiaTheme="minorEastAsia"/>
                <w:sz w:val="18"/>
                <w:szCs w:val="18"/>
              </w:rPr>
              <w:t xml:space="preserve"> × (SiO</w:t>
            </w:r>
            <w:r>
              <w:rPr>
                <w:rFonts w:hint="default" w:ascii="Times New Roman" w:eastAsiaTheme="minorEastAsia"/>
                <w:sz w:val="18"/>
                <w:szCs w:val="18"/>
                <w:vertAlign w:val="subscript"/>
              </w:rPr>
              <w:t xml:space="preserve">2 </w:t>
            </w:r>
            <w:r>
              <w:rPr>
                <w:rFonts w:hint="default" w:ascii="Times New Roman" w:eastAsiaTheme="minorEastAsia"/>
                <w:sz w:val="18"/>
                <w:szCs w:val="18"/>
              </w:rPr>
              <w:t>+ 0.8Fe</w:t>
            </w:r>
            <w:r>
              <w:rPr>
                <w:rFonts w:hint="default" w:ascii="Times New Roman" w:eastAsiaTheme="minorEastAsia"/>
                <w:sz w:val="18"/>
                <w:szCs w:val="18"/>
                <w:vertAlign w:val="subscript"/>
              </w:rPr>
              <w:t>2</w:t>
            </w:r>
            <w:r>
              <w:rPr>
                <w:rFonts w:hint="default" w:ascii="Times New Roman" w:eastAsiaTheme="minorEastAsia"/>
                <w:sz w:val="18"/>
                <w:szCs w:val="18"/>
              </w:rPr>
              <w:t>O</w:t>
            </w:r>
            <w:r>
              <w:rPr>
                <w:rFonts w:hint="default" w:ascii="Times New Roman" w:eastAsiaTheme="minorEastAsia"/>
                <w:sz w:val="18"/>
                <w:szCs w:val="18"/>
                <w:vertAlign w:val="subscript"/>
              </w:rPr>
              <w:t xml:space="preserve">3 </w:t>
            </w:r>
            <w:r>
              <w:rPr>
                <w:rFonts w:hint="default" w:ascii="Times New Roman" w:eastAsiaTheme="minorEastAsia"/>
                <w:sz w:val="18"/>
                <w:szCs w:val="18"/>
              </w:rPr>
              <w:t>+ 1.35Al</w:t>
            </w:r>
            <w:r>
              <w:rPr>
                <w:rFonts w:hint="default" w:ascii="Times New Roman" w:eastAsiaTheme="minorEastAsia"/>
                <w:sz w:val="18"/>
                <w:szCs w:val="18"/>
                <w:vertAlign w:val="subscript"/>
              </w:rPr>
              <w:t>2</w:t>
            </w:r>
            <w:r>
              <w:rPr>
                <w:rFonts w:hint="default" w:ascii="Times New Roman" w:eastAsiaTheme="minorEastAsia"/>
                <w:sz w:val="18"/>
                <w:szCs w:val="18"/>
              </w:rPr>
              <w:t>O</w:t>
            </w:r>
            <w:r>
              <w:rPr>
                <w:rFonts w:hint="default" w:ascii="Times New Roman" w:eastAsiaTheme="minorEastAsia"/>
                <w:sz w:val="18"/>
                <w:szCs w:val="18"/>
                <w:vertAlign w:val="subscript"/>
              </w:rPr>
              <w:t>3</w:t>
            </w:r>
            <w:r>
              <w:rPr>
                <w:rFonts w:hint="default" w:ascii="Times New Roman" w:eastAsiaTheme="minorEastAsia"/>
                <w:sz w:val="18"/>
                <w:szCs w:val="18"/>
              </w:rPr>
              <w:t xml:space="preserve">)/100 </w:t>
            </w:r>
          </w:p>
        </w:tc>
        <w:tc>
          <w:tcPr>
            <w:tcW w:w="2794" w:type="dxa"/>
            <w:vAlign w:val="center"/>
          </w:tcPr>
          <w:p>
            <w:pPr>
              <w:pStyle w:val="85"/>
              <w:ind w:firstLine="0" w:firstLineChars="0"/>
              <w:jc w:val="center"/>
              <w:rPr>
                <w:rFonts w:hint="default" w:ascii="Times New Roman"/>
                <w:sz w:val="18"/>
                <w:szCs w:val="18"/>
              </w:rPr>
            </w:pPr>
            <w:r>
              <w:rPr>
                <w:rFonts w:ascii="Times New Roman"/>
                <w:sz w:val="18"/>
                <w:szCs w:val="18"/>
              </w:rPr>
              <w:t>&lt;10%，轻微；10%&lt;Hm&lt;20%，中等；20%&lt;Hm，严重</w:t>
            </w:r>
          </w:p>
        </w:tc>
        <w:tc>
          <w:tcPr>
            <w:tcW w:w="2050" w:type="dxa"/>
            <w:vAlign w:val="center"/>
          </w:tcPr>
          <w:p>
            <w:pPr>
              <w:pStyle w:val="85"/>
              <w:ind w:firstLine="0" w:firstLineChars="0"/>
              <w:jc w:val="center"/>
              <w:rPr>
                <w:rFonts w:hint="default" w:ascii="Times New Roman"/>
                <w:sz w:val="18"/>
                <w:szCs w:val="18"/>
              </w:rPr>
            </w:pPr>
            <w:r>
              <w:rPr>
                <w:rFonts w:hint="default" w:ascii="Times New Roman" w:eastAsiaTheme="minorEastAsia"/>
                <w:sz w:val="18"/>
                <w:szCs w:val="18"/>
              </w:rPr>
              <w:t>&lt; 10%</w:t>
            </w:r>
          </w:p>
        </w:tc>
      </w:tr>
    </w:tbl>
    <w:p>
      <w:pPr>
        <w:pStyle w:val="85"/>
        <w:ind w:firstLine="0" w:firstLineChars="0"/>
        <w:rPr>
          <w:rFonts w:hint="default"/>
        </w:rPr>
      </w:pPr>
    </w:p>
    <w:p>
      <w:pPr>
        <w:pStyle w:val="89"/>
        <w:spacing w:before="312" w:after="312"/>
        <w:rPr>
          <w:rFonts w:hint="default"/>
        </w:rPr>
      </w:pPr>
      <w:r>
        <w:t>设备技术要求</w:t>
      </w:r>
    </w:p>
    <w:p>
      <w:pPr>
        <w:pStyle w:val="90"/>
        <w:spacing w:before="156" w:after="156"/>
        <w:rPr>
          <w:rFonts w:hint="default" w:asciiTheme="minorEastAsia" w:hAnsiTheme="minorEastAsia" w:eastAsiaTheme="minorEastAsia"/>
        </w:rPr>
      </w:pPr>
      <w:r>
        <w:rPr>
          <w:rFonts w:asciiTheme="minorEastAsia" w:hAnsiTheme="minorEastAsia" w:eastAsiaTheme="minorEastAsia"/>
        </w:rPr>
        <w:t>配伍相关设备的安装、调试、启动、运行等应符合国家或行业相关法规和标准的要求。</w:t>
      </w:r>
    </w:p>
    <w:p>
      <w:pPr>
        <w:pStyle w:val="90"/>
        <w:spacing w:before="156" w:after="156"/>
        <w:rPr>
          <w:rFonts w:hint="default" w:asciiTheme="minorEastAsia" w:hAnsiTheme="minorEastAsia" w:eastAsiaTheme="minorEastAsia"/>
        </w:rPr>
      </w:pPr>
      <w:r>
        <w:rPr>
          <w:rFonts w:ascii="Times New Roman" w:eastAsia="宋体"/>
        </w:rPr>
        <w:t>燃料输送系统、破碎系统、除杂系统、筛分系统及掺混系统应采取必要的技术措施避免燃烧一般可燃固体废弃物可能带来的黏结、堵塞等问题，并避免出现着火、爆炸等影响运行安全的问题</w:t>
      </w:r>
      <w:r>
        <w:rPr>
          <w:rFonts w:asciiTheme="minorEastAsia" w:hAnsiTheme="minorEastAsia" w:eastAsiaTheme="minorEastAsia"/>
        </w:rPr>
        <w:t>。</w:t>
      </w:r>
    </w:p>
    <w:p>
      <w:pPr>
        <w:pStyle w:val="85"/>
        <w:ind w:firstLine="0" w:firstLineChars="0"/>
      </w:pPr>
    </w:p>
    <w:p>
      <w:pPr>
        <w:pStyle w:val="89"/>
        <w:spacing w:before="312" w:after="312"/>
        <w:rPr>
          <w:rFonts w:hint="default"/>
        </w:rPr>
      </w:pPr>
      <w:r>
        <w:t>配伍燃料检测</w:t>
      </w:r>
    </w:p>
    <w:p>
      <w:pPr>
        <w:pStyle w:val="90"/>
        <w:spacing w:before="156" w:after="156"/>
        <w:rPr>
          <w:rFonts w:hint="default" w:asciiTheme="minorEastAsia" w:hAnsiTheme="minorEastAsia" w:eastAsiaTheme="minorEastAsia"/>
        </w:rPr>
      </w:pPr>
      <w:r>
        <w:rPr>
          <w:rFonts w:asciiTheme="minorEastAsia" w:hAnsiTheme="minorEastAsia" w:eastAsiaTheme="minorEastAsia"/>
        </w:rPr>
        <w:t>将配伍使用的多种可燃固体废弃物分别取样，送交具备资质或能力的第三方机构进行燃料检测。</w:t>
      </w:r>
    </w:p>
    <w:p>
      <w:pPr>
        <w:pStyle w:val="90"/>
        <w:spacing w:before="156" w:after="156"/>
        <w:rPr>
          <w:rFonts w:hint="default" w:ascii="Times New Roman" w:eastAsia="宋体"/>
        </w:rPr>
      </w:pPr>
      <w:r>
        <w:rPr>
          <w:rFonts w:ascii="Times New Roman" w:eastAsia="宋体"/>
        </w:rPr>
        <w:t>可燃固体废弃物相关燃料指标的测试方法和标准可见表3。</w:t>
      </w:r>
    </w:p>
    <w:p>
      <w:pPr>
        <w:pStyle w:val="88"/>
        <w:numPr>
          <w:ilvl w:val="0"/>
          <w:numId w:val="0"/>
        </w:numPr>
        <w:jc w:val="center"/>
        <w:rPr>
          <w:rFonts w:hint="default" w:ascii="Times New Roman"/>
          <w:szCs w:val="21"/>
          <w:highlight w:val="yellow"/>
        </w:rPr>
      </w:pPr>
      <w:r>
        <w:rPr>
          <w:rFonts w:hint="default" w:ascii="Times New Roman"/>
          <w:szCs w:val="21"/>
        </w:rPr>
        <w:t>表3 相关燃料指标测试标准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3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序号</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检测指标</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1</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工业分析</w:t>
            </w:r>
          </w:p>
          <w:p>
            <w:pPr>
              <w:pStyle w:val="85"/>
              <w:ind w:firstLine="0" w:firstLineChars="0"/>
              <w:jc w:val="center"/>
              <w:rPr>
                <w:rFonts w:hint="default" w:ascii="Times New Roman"/>
                <w:szCs w:val="21"/>
              </w:rPr>
            </w:pPr>
            <w:r>
              <w:rPr>
                <w:rFonts w:hint="default" w:ascii="Times New Roman"/>
                <w:szCs w:val="21"/>
              </w:rPr>
              <w:t>（水分、挥发分、焦炭和灰分）</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GB/T 28731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2</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C、H元素</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GB/T 28734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3</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N元素</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GB/T 30728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4</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S元素</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GB/T 28732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5</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Cl元素</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GB/T 30729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6</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SiO</w:t>
            </w:r>
            <w:r>
              <w:rPr>
                <w:rFonts w:hint="default" w:ascii="Times New Roman"/>
                <w:szCs w:val="21"/>
                <w:vertAlign w:val="subscript"/>
              </w:rPr>
              <w:t>2</w:t>
            </w:r>
            <w:r>
              <w:rPr>
                <w:rFonts w:hint="default" w:ascii="Times New Roman"/>
                <w:szCs w:val="21"/>
              </w:rPr>
              <w:t>、Al</w:t>
            </w:r>
            <w:r>
              <w:rPr>
                <w:rFonts w:hint="default" w:ascii="Times New Roman"/>
                <w:szCs w:val="21"/>
                <w:vertAlign w:val="subscript"/>
              </w:rPr>
              <w:t>2</w:t>
            </w:r>
            <w:r>
              <w:rPr>
                <w:rFonts w:hint="default" w:ascii="Times New Roman"/>
                <w:szCs w:val="21"/>
              </w:rPr>
              <w:t>O</w:t>
            </w:r>
            <w:r>
              <w:rPr>
                <w:rFonts w:hint="default" w:ascii="Times New Roman"/>
                <w:szCs w:val="21"/>
                <w:vertAlign w:val="subscript"/>
              </w:rPr>
              <w:t>3</w:t>
            </w:r>
            <w:r>
              <w:rPr>
                <w:rFonts w:hint="default" w:ascii="Times New Roman"/>
                <w:szCs w:val="21"/>
              </w:rPr>
              <w:t>等灰分</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GB/T 30725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7</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MnO</w:t>
            </w:r>
            <w:r>
              <w:rPr>
                <w:rFonts w:hint="default" w:ascii="Times New Roman"/>
                <w:szCs w:val="21"/>
                <w:vertAlign w:val="subscript"/>
              </w:rPr>
              <w:t>2</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GB/T 1574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8</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灰熔融特性</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GB/T 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85"/>
              <w:ind w:firstLine="0" w:firstLineChars="0"/>
              <w:jc w:val="center"/>
              <w:rPr>
                <w:rFonts w:hint="default" w:ascii="Times New Roman"/>
                <w:szCs w:val="21"/>
              </w:rPr>
            </w:pPr>
            <w:r>
              <w:rPr>
                <w:rFonts w:hint="default" w:ascii="Times New Roman"/>
                <w:szCs w:val="21"/>
              </w:rPr>
              <w:t>9</w:t>
            </w:r>
          </w:p>
        </w:tc>
        <w:tc>
          <w:tcPr>
            <w:tcW w:w="3239" w:type="dxa"/>
            <w:vAlign w:val="center"/>
          </w:tcPr>
          <w:p>
            <w:pPr>
              <w:pStyle w:val="85"/>
              <w:ind w:firstLine="0" w:firstLineChars="0"/>
              <w:jc w:val="center"/>
              <w:rPr>
                <w:rFonts w:hint="default" w:ascii="Times New Roman"/>
                <w:szCs w:val="21"/>
              </w:rPr>
            </w:pPr>
            <w:r>
              <w:rPr>
                <w:rFonts w:hint="default" w:ascii="Times New Roman"/>
                <w:szCs w:val="21"/>
              </w:rPr>
              <w:t>发热量</w:t>
            </w:r>
          </w:p>
        </w:tc>
        <w:tc>
          <w:tcPr>
            <w:tcW w:w="1861" w:type="dxa"/>
            <w:vAlign w:val="center"/>
          </w:tcPr>
          <w:p>
            <w:pPr>
              <w:pStyle w:val="85"/>
              <w:ind w:firstLine="0" w:firstLineChars="0"/>
              <w:jc w:val="center"/>
              <w:rPr>
                <w:rFonts w:hint="default" w:ascii="Times New Roman"/>
                <w:szCs w:val="21"/>
              </w:rPr>
            </w:pPr>
            <w:r>
              <w:rPr>
                <w:rFonts w:hint="default" w:ascii="Times New Roman"/>
                <w:szCs w:val="21"/>
              </w:rPr>
              <w:t>GB/T 30727</w:t>
            </w:r>
          </w:p>
        </w:tc>
      </w:tr>
    </w:tbl>
    <w:p>
      <w:pPr>
        <w:pStyle w:val="85"/>
        <w:ind w:firstLine="199" w:firstLineChars="95"/>
      </w:pPr>
    </w:p>
    <w:p>
      <w:pPr>
        <w:pStyle w:val="89"/>
        <w:spacing w:before="312" w:after="312"/>
        <w:rPr>
          <w:rFonts w:hint="default"/>
        </w:rPr>
      </w:pPr>
      <w:r>
        <w:t>配伍前准备</w:t>
      </w:r>
    </w:p>
    <w:p>
      <w:pPr>
        <w:pStyle w:val="90"/>
        <w:spacing w:before="156" w:after="156"/>
        <w:rPr>
          <w:rFonts w:hint="default" w:hAnsi="黑体" w:cs="黑体"/>
        </w:rPr>
      </w:pPr>
      <w:bookmarkStart w:id="47" w:name="OLE_LINK1"/>
      <w:r>
        <w:rPr>
          <w:rFonts w:hAnsi="黑体" w:cs="黑体"/>
        </w:rPr>
        <w:t>技术准备</w:t>
      </w:r>
    </w:p>
    <w:bookmarkEnd w:id="47"/>
    <w:p>
      <w:pPr>
        <w:pStyle w:val="88"/>
        <w:rPr>
          <w:rFonts w:hint="default"/>
        </w:rPr>
      </w:pPr>
      <w:r>
        <w:t>重点对机械臂、破碎机及传输皮带做逐一检查，确保燃料可以稳定掺混，同时在易粘堵区域增设检查孔，便于定期清理；</w:t>
      </w:r>
    </w:p>
    <w:p>
      <w:pPr>
        <w:pStyle w:val="88"/>
        <w:rPr>
          <w:rFonts w:hint="default"/>
        </w:rPr>
      </w:pPr>
      <w:r>
        <w:t>应做好入炉燃料尺寸两级分化的事故预想，防止炉内大尺寸固废原料发生严重沉积；</w:t>
      </w:r>
    </w:p>
    <w:p>
      <w:pPr>
        <w:pStyle w:val="88"/>
        <w:rPr>
          <w:rFonts w:hint="default"/>
        </w:rPr>
      </w:pPr>
      <w:r>
        <w:t>做好入炉原料的人工采样与机器采样比对分析，避免燃料掺混不均导致数据失真。</w:t>
      </w:r>
    </w:p>
    <w:p>
      <w:pPr>
        <w:pStyle w:val="90"/>
        <w:spacing w:before="156" w:after="156"/>
        <w:rPr>
          <w:rFonts w:hint="default" w:ascii="Times New Roman" w:eastAsia="宋体"/>
        </w:rPr>
      </w:pPr>
      <w:r>
        <w:rPr>
          <w:rFonts w:hAnsi="黑体" w:cs="黑体"/>
        </w:rPr>
        <w:t>参数准备</w:t>
      </w:r>
    </w:p>
    <w:p>
      <w:pPr>
        <w:pStyle w:val="90"/>
        <w:numPr>
          <w:ilvl w:val="255"/>
          <w:numId w:val="0"/>
        </w:numPr>
        <w:spacing w:before="156" w:after="156"/>
        <w:ind w:firstLine="420" w:firstLineChars="200"/>
        <w:rPr>
          <w:rFonts w:hint="default" w:ascii="Times New Roman" w:eastAsia="宋体"/>
        </w:rPr>
      </w:pPr>
      <w:r>
        <w:rPr>
          <w:rFonts w:ascii="Times New Roman" w:eastAsia="宋体"/>
        </w:rPr>
        <w:t>焚烧一般可燃固体废弃物试验前应予重点检查的部位及了解的关键参数包括但不限于：</w:t>
      </w:r>
    </w:p>
    <w:p>
      <w:pPr>
        <w:pStyle w:val="88"/>
        <w:numPr>
          <w:ilvl w:val="0"/>
          <w:numId w:val="5"/>
        </w:numPr>
        <w:rPr>
          <w:rFonts w:hint="default"/>
        </w:rPr>
      </w:pPr>
      <w:r>
        <w:t>配伍和破碎系统相关辅机的主要运行参数；</w:t>
      </w:r>
    </w:p>
    <w:p>
      <w:pPr>
        <w:pStyle w:val="88"/>
        <w:numPr>
          <w:ilvl w:val="0"/>
          <w:numId w:val="5"/>
        </w:numPr>
        <w:rPr>
          <w:rFonts w:hint="default"/>
        </w:rPr>
      </w:pPr>
      <w:r>
        <w:t>燃料抓取系统先关设备的运行参数；</w:t>
      </w:r>
    </w:p>
    <w:p>
      <w:pPr>
        <w:pStyle w:val="88"/>
        <w:numPr>
          <w:ilvl w:val="0"/>
          <w:numId w:val="5"/>
        </w:numPr>
        <w:rPr>
          <w:rFonts w:hint="default"/>
        </w:rPr>
      </w:pPr>
      <w:r>
        <w:t>燃料破碎设备的运行情况；</w:t>
      </w:r>
    </w:p>
    <w:p>
      <w:pPr>
        <w:pStyle w:val="88"/>
        <w:numPr>
          <w:ilvl w:val="0"/>
          <w:numId w:val="5"/>
        </w:numPr>
        <w:rPr>
          <w:rFonts w:hint="default"/>
        </w:rPr>
      </w:pPr>
      <w:r>
        <w:t>燃料除杂设备的运行情况。</w:t>
      </w:r>
    </w:p>
    <w:p>
      <w:pPr>
        <w:pStyle w:val="85"/>
        <w:ind w:firstLine="0" w:firstLineChars="0"/>
      </w:pPr>
    </w:p>
    <w:p>
      <w:pPr>
        <w:pStyle w:val="89"/>
        <w:spacing w:before="312" w:after="312"/>
        <w:rPr>
          <w:rFonts w:hint="default"/>
        </w:rPr>
      </w:pPr>
      <w:r>
        <w:t>配伍方式</w:t>
      </w:r>
    </w:p>
    <w:p>
      <w:pPr>
        <w:pStyle w:val="90"/>
        <w:spacing w:before="156" w:after="156"/>
        <w:rPr>
          <w:rFonts w:hint="default" w:asciiTheme="minorEastAsia" w:hAnsiTheme="minorEastAsia" w:eastAsiaTheme="minorEastAsia"/>
        </w:rPr>
      </w:pPr>
      <w:r>
        <w:rPr>
          <w:rFonts w:asciiTheme="minorEastAsia" w:hAnsiTheme="minorEastAsia" w:eastAsiaTheme="minorEastAsia"/>
        </w:rPr>
        <w:t>采用机械臂抓取方式，控制不同种类一般可燃固体废弃物进入破碎机的质量，可按照入炉比例调整机械臂抓取固废频率，将不同种固体废弃物倒入破碎机中，通过串联式的破碎机进行多次破碎过程，可实现不同固体废弃物的较好混合，要求有较大的固废原料储存和处理中心，属于运动过程中的不同固废种类的混合；</w:t>
      </w:r>
    </w:p>
    <w:p>
      <w:pPr>
        <w:pStyle w:val="90"/>
        <w:spacing w:before="156" w:after="156"/>
        <w:rPr>
          <w:rFonts w:hint="default" w:ascii="Times New Roman" w:eastAsia="宋体"/>
        </w:rPr>
      </w:pPr>
      <w:r>
        <w:rPr>
          <w:rFonts w:hint="default" w:ascii="Times New Roman" w:eastAsia="宋体"/>
        </w:rPr>
        <w:t>不同入炉固废原料进入破碎机之前，首先通过磁吸等方式尽可能将固废原料中的金属物质分离出来，并尽可能使多种固废原料掺配后形成的入炉燃料平均水分、灰分、挥发分、硫分、低位发热量和灰熔融性等符合目标值范围以及试验所确定的合理入炉比例要求</w:t>
      </w:r>
      <w:r>
        <w:rPr>
          <w:rFonts w:hint="eastAsia" w:ascii="Times New Roman" w:eastAsia="宋体"/>
          <w:lang w:eastAsia="zh-CN"/>
        </w:rPr>
        <w:t>；</w:t>
      </w:r>
      <w:r>
        <w:rPr>
          <w:rFonts w:hint="eastAsia" w:ascii="Times New Roman" w:eastAsia="宋体"/>
          <w:lang w:val="en-US" w:eastAsia="zh-CN"/>
        </w:rPr>
        <w:t>经破碎机破碎后的</w:t>
      </w:r>
      <w:r>
        <w:rPr>
          <w:rFonts w:hint="default" w:ascii="Times New Roman" w:eastAsia="宋体"/>
        </w:rPr>
        <w:t>固废原料</w:t>
      </w:r>
      <w:r>
        <w:rPr>
          <w:rFonts w:hint="eastAsia" w:ascii="Times New Roman" w:eastAsia="宋体"/>
          <w:lang w:val="en-US" w:eastAsia="zh-CN"/>
        </w:rPr>
        <w:t>在入炉前还需要经过</w:t>
      </w:r>
      <w:r>
        <w:rPr>
          <w:rFonts w:hint="default" w:ascii="Times New Roman" w:eastAsia="宋体"/>
        </w:rPr>
        <w:t>磁吸等方式</w:t>
      </w:r>
      <w:r>
        <w:rPr>
          <w:rFonts w:hint="eastAsia" w:ascii="Times New Roman" w:eastAsia="宋体"/>
          <w:lang w:val="en-US" w:eastAsia="zh-CN"/>
        </w:rPr>
        <w:t>除杂工序后方可入炉（用以去除残余的铁钉等杂物）；</w:t>
      </w:r>
      <w:r>
        <w:rPr>
          <w:rFonts w:hint="default" w:ascii="Times New Roman" w:eastAsia="宋体"/>
        </w:rPr>
        <w:t>还可根据锅炉负荷和运行参数、环保排放指标等及时调节入炉固废原料总量和比例，以提高锅炉燃烧的安全性、环保性和经济性。</w:t>
      </w:r>
    </w:p>
    <w:p>
      <w:pPr>
        <w:pStyle w:val="88"/>
        <w:numPr>
          <w:ilvl w:val="0"/>
          <w:numId w:val="0"/>
        </w:numPr>
        <w:rPr>
          <w:rFonts w:hint="default"/>
          <w:highlight w:val="yellow"/>
        </w:rPr>
        <w:sectPr>
          <w:footerReference r:id="rId4" w:type="default"/>
          <w:pgSz w:w="11906" w:h="16838"/>
          <w:pgMar w:top="1134" w:right="1134" w:bottom="1134" w:left="1134" w:header="907" w:footer="880" w:gutter="0"/>
          <w:pgNumType w:start="1"/>
          <w:cols w:space="720" w:num="1"/>
          <w:formProt w:val="0"/>
          <w:docGrid w:type="lines" w:linePitch="312" w:charSpace="0"/>
        </w:sectPr>
      </w:pPr>
    </w:p>
    <w:p>
      <w:pPr>
        <w:pStyle w:val="88"/>
        <w:numPr>
          <w:ilvl w:val="0"/>
          <w:numId w:val="0"/>
        </w:numPr>
        <w:rPr>
          <w:rFonts w:hint="default"/>
          <w:highlight w:val="yellow"/>
        </w:rPr>
      </w:pPr>
    </w:p>
    <w:p>
      <w:pPr>
        <w:pStyle w:val="88"/>
        <w:numPr>
          <w:ilvl w:val="0"/>
          <w:numId w:val="0"/>
        </w:numPr>
        <w:jc w:val="center"/>
        <w:rPr>
          <w:rFonts w:hint="default"/>
          <w:b/>
          <w:bCs/>
        </w:rPr>
      </w:pPr>
      <w:r>
        <w:rPr>
          <w:b/>
          <w:bCs/>
        </w:rPr>
        <w:t>参考文献</w:t>
      </w:r>
    </w:p>
    <w:p>
      <w:pPr>
        <w:pStyle w:val="88"/>
        <w:numPr>
          <w:ilvl w:val="0"/>
          <w:numId w:val="0"/>
        </w:numPr>
        <w:rPr>
          <w:rFonts w:hint="default" w:ascii="Times New Roman"/>
        </w:rPr>
      </w:pPr>
      <w:r>
        <w:rPr>
          <w:rFonts w:hint="default" w:ascii="Times New Roman"/>
        </w:rPr>
        <w:t>[1] Y. Niu, H. Tan, and S. Hui. Ash-related issues during biomass combustion: Alkali-induced slagging, silicate melt-induced slagging (ash fusion), agglomeration, corrosion, ash utilization, and related countermeasures. Prog. Energy Combust. Sci., 2016</w:t>
      </w:r>
      <w:r>
        <w:rPr>
          <w:rFonts w:ascii="Times New Roman"/>
        </w:rPr>
        <w:t>,</w:t>
      </w:r>
      <w:r>
        <w:rPr>
          <w:rFonts w:hint="default" w:ascii="Times New Roman"/>
        </w:rPr>
        <w:t xml:space="preserve"> 52: 1–61.</w:t>
      </w:r>
    </w:p>
    <w:p>
      <w:pPr>
        <w:pStyle w:val="88"/>
        <w:numPr>
          <w:ilvl w:val="0"/>
          <w:numId w:val="0"/>
        </w:numPr>
        <w:rPr>
          <w:rFonts w:hint="default" w:ascii="Times New Roman"/>
        </w:rPr>
      </w:pPr>
      <w:r>
        <w:rPr>
          <w:rFonts w:ascii="Times New Roman"/>
        </w:rPr>
        <w:t>[</w:t>
      </w:r>
      <w:r>
        <w:rPr>
          <w:rFonts w:hint="default" w:ascii="Times New Roman"/>
        </w:rPr>
        <w:t xml:space="preserve">2] </w:t>
      </w:r>
      <w:r>
        <w:rPr>
          <w:rFonts w:ascii="Times New Roman"/>
        </w:rPr>
        <w:t>P. Sommersacher, T. Brunner, and I. Obernberger.</w:t>
      </w:r>
      <w:r>
        <w:rPr>
          <w:rFonts w:hint="default" w:ascii="Times New Roman"/>
        </w:rPr>
        <w:t xml:space="preserve"> </w:t>
      </w:r>
      <w:r>
        <w:rPr>
          <w:rFonts w:ascii="Times New Roman"/>
        </w:rPr>
        <w:t>Fuel indexes: A novel method for the evaluation of relevant combustion properties of new biomass fuels</w:t>
      </w:r>
      <w:r>
        <w:rPr>
          <w:rFonts w:hint="default" w:ascii="Times New Roman"/>
        </w:rPr>
        <w:t>.</w:t>
      </w:r>
      <w:r>
        <w:rPr>
          <w:rFonts w:ascii="Times New Roman"/>
        </w:rPr>
        <w:t xml:space="preserve"> Energy </w:t>
      </w:r>
      <w:r>
        <w:rPr>
          <w:rFonts w:hint="default" w:ascii="Times New Roman"/>
        </w:rPr>
        <w:t>&amp;</w:t>
      </w:r>
      <w:r>
        <w:rPr>
          <w:rFonts w:ascii="Times New Roman"/>
        </w:rPr>
        <w:t xml:space="preserve"> Fuels, </w:t>
      </w:r>
      <w:r>
        <w:rPr>
          <w:rFonts w:hint="default" w:ascii="Times New Roman"/>
        </w:rPr>
        <w:t>2012,</w:t>
      </w:r>
      <w:r>
        <w:rPr>
          <w:rFonts w:ascii="Times New Roman"/>
        </w:rPr>
        <w:t xml:space="preserve"> 26</w:t>
      </w:r>
      <w:r>
        <w:rPr>
          <w:rFonts w:hint="default" w:ascii="Times New Roman"/>
        </w:rPr>
        <w:t>(1):</w:t>
      </w:r>
      <w:r>
        <w:rPr>
          <w:rFonts w:ascii="Times New Roman"/>
        </w:rPr>
        <w:t xml:space="preserve"> 380–390</w:t>
      </w:r>
      <w:r>
        <w:rPr>
          <w:rFonts w:hint="default" w:ascii="Times New Roman"/>
        </w:rPr>
        <w:t>.</w:t>
      </w:r>
    </w:p>
    <w:p>
      <w:pPr>
        <w:pStyle w:val="88"/>
        <w:numPr>
          <w:ilvl w:val="0"/>
          <w:numId w:val="0"/>
        </w:numPr>
        <w:rPr>
          <w:rFonts w:hint="default" w:ascii="Times New Roman"/>
        </w:rPr>
      </w:pPr>
      <w:r>
        <w:rPr>
          <w:rFonts w:hint="default" w:ascii="Times New Roman"/>
        </w:rPr>
        <w:t xml:space="preserve">[3] </w:t>
      </w:r>
      <w:r>
        <w:rPr>
          <w:rFonts w:ascii="Times New Roman"/>
        </w:rPr>
        <w:t>D. Vamvuka, D. Zografos, and G. Alevizos</w:t>
      </w:r>
      <w:r>
        <w:rPr>
          <w:rFonts w:hint="default" w:ascii="Times New Roman"/>
        </w:rPr>
        <w:t xml:space="preserve">. </w:t>
      </w:r>
      <w:r>
        <w:rPr>
          <w:rFonts w:ascii="Times New Roman"/>
        </w:rPr>
        <w:t>Control methods for mitigating biomass ash-related problems in fluidized beds</w:t>
      </w:r>
      <w:r>
        <w:rPr>
          <w:rFonts w:hint="default" w:ascii="Times New Roman"/>
        </w:rPr>
        <w:t xml:space="preserve">. </w:t>
      </w:r>
      <w:r>
        <w:rPr>
          <w:rFonts w:ascii="Times New Roman"/>
        </w:rPr>
        <w:t>Bioresour. Technol.,</w:t>
      </w:r>
      <w:r>
        <w:rPr>
          <w:rFonts w:hint="default" w:ascii="Times New Roman"/>
        </w:rPr>
        <w:t xml:space="preserve"> 2007,</w:t>
      </w:r>
      <w:r>
        <w:rPr>
          <w:rFonts w:ascii="Times New Roman"/>
        </w:rPr>
        <w:t xml:space="preserve"> 99</w:t>
      </w:r>
      <w:r>
        <w:rPr>
          <w:rFonts w:hint="default" w:ascii="Times New Roman"/>
        </w:rPr>
        <w:t>(9):</w:t>
      </w:r>
      <w:r>
        <w:rPr>
          <w:rFonts w:ascii="Times New Roman"/>
        </w:rPr>
        <w:t xml:space="preserve"> 3534–3544.</w:t>
      </w:r>
    </w:p>
    <w:p>
      <w:pPr>
        <w:pStyle w:val="88"/>
        <w:numPr>
          <w:ilvl w:val="0"/>
          <w:numId w:val="0"/>
        </w:numPr>
        <w:rPr>
          <w:rFonts w:hint="default" w:ascii="Times New Roman"/>
        </w:rPr>
      </w:pPr>
      <w:r>
        <w:rPr>
          <w:rFonts w:hint="default" w:ascii="Times New Roman"/>
        </w:rPr>
        <w:t>[4] M. Díaz-Ramírez, C. Boman, F. Sebastián, J. Royo, S. Xiong, and D. Boström. Ash characterization and transformation behavior of the fixed-bed combustion of novel crops: Poplar, brassica, and cassava fuels. Energy and Fuels, 2012, 26(6): 3218–3229.</w:t>
      </w:r>
    </w:p>
    <w:p>
      <w:pPr>
        <w:pStyle w:val="88"/>
        <w:numPr>
          <w:ilvl w:val="0"/>
          <w:numId w:val="0"/>
        </w:numPr>
        <w:rPr>
          <w:rFonts w:hint="default" w:ascii="Times New Roman"/>
        </w:rPr>
      </w:pPr>
      <w:r>
        <w:rPr>
          <w:rFonts w:hint="default" w:ascii="Times New Roman"/>
        </w:rPr>
        <w:t>[5] Fernández MJ, Carrasco JE. Comparing methods for predicting the sintering of biomass ash in combustion. Fuel 2005;84:1893–900.</w:t>
      </w:r>
    </w:p>
    <w:p>
      <w:pPr>
        <w:pStyle w:val="88"/>
        <w:numPr>
          <w:ilvl w:val="0"/>
          <w:numId w:val="0"/>
        </w:numPr>
        <w:rPr>
          <w:rFonts w:hint="default" w:ascii="Times New Roman"/>
        </w:rPr>
      </w:pPr>
      <w:r>
        <w:rPr>
          <w:rFonts w:hint="default" w:ascii="Times New Roman"/>
        </w:rPr>
        <w:t>[6] R. García, C. Pizarro, A. Álvarez, A. G. Lavín, and J. L. Bueno. Study of biomass combustion wastes. Fuel, 2015, 148: 152–159.</w:t>
      </w:r>
    </w:p>
    <w:p>
      <w:pPr>
        <w:pStyle w:val="85"/>
        <w:ind w:firstLine="0" w:firstLineChars="0"/>
        <w:rPr>
          <w:rFonts w:hint="default" w:ascii="Times New Roman"/>
        </w:rPr>
      </w:pPr>
      <w:r>
        <w:rPr>
          <w:rFonts w:hint="default" w:ascii="Times New Roman"/>
        </w:rPr>
        <w:t>[7] DL/T 1445 电站煤粉锅炉燃煤掺烧技术导则</w:t>
      </w:r>
      <w:r>
        <w:rPr>
          <w:rFonts w:ascii="Times New Roman"/>
        </w:rPr>
        <w:t>.</w:t>
      </w:r>
    </w:p>
    <w:p>
      <w:pPr>
        <w:pStyle w:val="85"/>
        <w:ind w:firstLine="0" w:firstLineChars="0"/>
        <w:rPr>
          <w:rFonts w:hint="default" w:ascii="Times New Roman"/>
        </w:rPr>
      </w:pPr>
      <w:r>
        <w:rPr>
          <w:rFonts w:hint="default" w:ascii="Times New Roman"/>
        </w:rPr>
        <w:t>[8] DL</w:t>
      </w:r>
      <w:r>
        <w:rPr>
          <w:rFonts w:ascii="Times New Roman"/>
        </w:rPr>
        <w:t>/</w:t>
      </w:r>
      <w:r>
        <w:rPr>
          <w:rFonts w:hint="default" w:ascii="Times New Roman"/>
        </w:rPr>
        <w:t xml:space="preserve">T 2100 </w:t>
      </w:r>
      <w:r>
        <w:rPr>
          <w:rFonts w:ascii="Times New Roman"/>
        </w:rPr>
        <w:t>循环流化床锅炉燃料掺烧技术导则.</w:t>
      </w:r>
    </w:p>
    <w:bookmarkEnd w:id="12"/>
    <w:bookmarkEnd w:id="13"/>
    <w:bookmarkEnd w:id="14"/>
    <w:bookmarkEnd w:id="15"/>
    <w:bookmarkEnd w:id="16"/>
    <w:bookmarkEnd w:id="17"/>
    <w:bookmarkEnd w:id="18"/>
    <w:bookmarkEnd w:id="19"/>
    <w:bookmarkEnd w:id="20"/>
    <w:p>
      <w:pPr>
        <w:pStyle w:val="88"/>
        <w:numPr>
          <w:ilvl w:val="0"/>
          <w:numId w:val="0"/>
        </w:numPr>
        <w:rPr>
          <w:rFonts w:hint="default"/>
          <w:highlight w:val="yellow"/>
        </w:rPr>
      </w:pPr>
    </w:p>
    <w:sectPr>
      <w:pgSz w:w="11906" w:h="16838"/>
      <w:pgMar w:top="1134" w:right="1134" w:bottom="1134" w:left="1134" w:header="907" w:footer="880"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A8756"/>
    <w:multiLevelType w:val="multilevel"/>
    <w:tmpl w:val="9C7A8756"/>
    <w:lvl w:ilvl="0" w:tentative="0">
      <w:start w:val="1"/>
      <w:numFmt w:val="none"/>
      <w:suff w:val="nothing"/>
      <w:lvlText w:val="%1"/>
      <w:lvlJc w:val="left"/>
      <w:pPr>
        <w:ind w:left="0" w:firstLine="0"/>
      </w:pPr>
    </w:lvl>
    <w:lvl w:ilvl="1" w:tentative="0">
      <w:start w:val="1"/>
      <w:numFmt w:val="decimal"/>
      <w:pStyle w:val="89"/>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90"/>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88"/>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1FC91163"/>
    <w:multiLevelType w:val="multilevel"/>
    <w:tmpl w:val="1FC91163"/>
    <w:lvl w:ilvl="0" w:tentative="0">
      <w:start w:val="1"/>
      <w:numFmt w:val="decimal"/>
      <w:pStyle w:val="43"/>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619784"/>
    <w:multiLevelType w:val="singleLevel"/>
    <w:tmpl w:val="2A619784"/>
    <w:lvl w:ilvl="0" w:tentative="0">
      <w:start w:val="1"/>
      <w:numFmt w:val="lowerLetter"/>
      <w:lvlText w:val="%1."/>
      <w:lvlJc w:val="left"/>
      <w:pPr>
        <w:tabs>
          <w:tab w:val="left" w:pos="420"/>
        </w:tabs>
        <w:ind w:left="845" w:hanging="425"/>
      </w:pPr>
      <w:rPr>
        <w:rFonts w:hint="default" w:ascii="Times New Roman" w:hAnsi="Times New Roman" w:cs="Times New Roman"/>
      </w:rPr>
    </w:lvl>
  </w:abstractNum>
  <w:abstractNum w:abstractNumId="4">
    <w:nsid w:val="6673A705"/>
    <w:multiLevelType w:val="multilevel"/>
    <w:tmpl w:val="6673A705"/>
    <w:lvl w:ilvl="0" w:tentative="0">
      <w:start w:val="1"/>
      <w:numFmt w:val="decimal"/>
      <w:pStyle w:val="8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yNbewMDM2tTQyNzdU0lEKTi0uzszPAykwqwUAEz5VyiwAAAA="/>
    <w:docVar w:name="commondata" w:val="eyJoZGlkIjoiMjdhYTdjNWMwYWVlNmY4MDNiNTU2YjVkZTdlZTE3M2YifQ=="/>
  </w:docVars>
  <w:rsids>
    <w:rsidRoot w:val="008803BF"/>
    <w:rsid w:val="000300A6"/>
    <w:rsid w:val="000354DB"/>
    <w:rsid w:val="00044245"/>
    <w:rsid w:val="000610E0"/>
    <w:rsid w:val="00090D25"/>
    <w:rsid w:val="000D497E"/>
    <w:rsid w:val="000D746D"/>
    <w:rsid w:val="000E618C"/>
    <w:rsid w:val="000F2046"/>
    <w:rsid w:val="00113B38"/>
    <w:rsid w:val="00137C08"/>
    <w:rsid w:val="001477B9"/>
    <w:rsid w:val="0015109F"/>
    <w:rsid w:val="00221BF8"/>
    <w:rsid w:val="0023083F"/>
    <w:rsid w:val="002339F7"/>
    <w:rsid w:val="00235130"/>
    <w:rsid w:val="00280B8C"/>
    <w:rsid w:val="002819C5"/>
    <w:rsid w:val="00291BD6"/>
    <w:rsid w:val="00294203"/>
    <w:rsid w:val="00296DA4"/>
    <w:rsid w:val="002A2B25"/>
    <w:rsid w:val="002A43B9"/>
    <w:rsid w:val="002A504C"/>
    <w:rsid w:val="002B09F4"/>
    <w:rsid w:val="002B5DBD"/>
    <w:rsid w:val="00310A81"/>
    <w:rsid w:val="00343BEE"/>
    <w:rsid w:val="00350E42"/>
    <w:rsid w:val="00353F74"/>
    <w:rsid w:val="0036091F"/>
    <w:rsid w:val="00366DAF"/>
    <w:rsid w:val="00377C71"/>
    <w:rsid w:val="00383BFC"/>
    <w:rsid w:val="003F63B4"/>
    <w:rsid w:val="00406779"/>
    <w:rsid w:val="00432B0E"/>
    <w:rsid w:val="00435352"/>
    <w:rsid w:val="00436A5D"/>
    <w:rsid w:val="00456864"/>
    <w:rsid w:val="00465AEB"/>
    <w:rsid w:val="00493394"/>
    <w:rsid w:val="004B0F02"/>
    <w:rsid w:val="004C70C8"/>
    <w:rsid w:val="004D5A24"/>
    <w:rsid w:val="004D64A5"/>
    <w:rsid w:val="00510E7A"/>
    <w:rsid w:val="0057641B"/>
    <w:rsid w:val="005912CB"/>
    <w:rsid w:val="0059731A"/>
    <w:rsid w:val="005D5F5E"/>
    <w:rsid w:val="006405DC"/>
    <w:rsid w:val="00674783"/>
    <w:rsid w:val="006A72A6"/>
    <w:rsid w:val="006A74DD"/>
    <w:rsid w:val="006B2CF3"/>
    <w:rsid w:val="006B5E13"/>
    <w:rsid w:val="006E6121"/>
    <w:rsid w:val="00721B23"/>
    <w:rsid w:val="00730C4A"/>
    <w:rsid w:val="00734437"/>
    <w:rsid w:val="00764771"/>
    <w:rsid w:val="00783171"/>
    <w:rsid w:val="00783A42"/>
    <w:rsid w:val="007B1F08"/>
    <w:rsid w:val="007C11E3"/>
    <w:rsid w:val="007E26A9"/>
    <w:rsid w:val="007E58DC"/>
    <w:rsid w:val="008211CF"/>
    <w:rsid w:val="00836805"/>
    <w:rsid w:val="00840CAB"/>
    <w:rsid w:val="00846B28"/>
    <w:rsid w:val="008476DD"/>
    <w:rsid w:val="008506AB"/>
    <w:rsid w:val="00865B2A"/>
    <w:rsid w:val="008803BF"/>
    <w:rsid w:val="00880E77"/>
    <w:rsid w:val="0088704C"/>
    <w:rsid w:val="00927AAE"/>
    <w:rsid w:val="00987042"/>
    <w:rsid w:val="009B6DA1"/>
    <w:rsid w:val="009D0E33"/>
    <w:rsid w:val="009D20F6"/>
    <w:rsid w:val="00A137E4"/>
    <w:rsid w:val="00A70224"/>
    <w:rsid w:val="00A74293"/>
    <w:rsid w:val="00A779B4"/>
    <w:rsid w:val="00A92741"/>
    <w:rsid w:val="00AA3E2E"/>
    <w:rsid w:val="00AB16E5"/>
    <w:rsid w:val="00AB6D23"/>
    <w:rsid w:val="00B00607"/>
    <w:rsid w:val="00B305D6"/>
    <w:rsid w:val="00B51C1B"/>
    <w:rsid w:val="00B90753"/>
    <w:rsid w:val="00B97226"/>
    <w:rsid w:val="00BB02A4"/>
    <w:rsid w:val="00BC2766"/>
    <w:rsid w:val="00BE168C"/>
    <w:rsid w:val="00C05BBF"/>
    <w:rsid w:val="00C428E8"/>
    <w:rsid w:val="00C745DF"/>
    <w:rsid w:val="00C75831"/>
    <w:rsid w:val="00CA74F1"/>
    <w:rsid w:val="00CB7A44"/>
    <w:rsid w:val="00D02D73"/>
    <w:rsid w:val="00D04D37"/>
    <w:rsid w:val="00D06095"/>
    <w:rsid w:val="00D1155E"/>
    <w:rsid w:val="00D12D54"/>
    <w:rsid w:val="00D16884"/>
    <w:rsid w:val="00D431AB"/>
    <w:rsid w:val="00D71493"/>
    <w:rsid w:val="00D96CD7"/>
    <w:rsid w:val="00DA6DC6"/>
    <w:rsid w:val="00DB1A0B"/>
    <w:rsid w:val="00E00C75"/>
    <w:rsid w:val="00E5036C"/>
    <w:rsid w:val="00E52B5B"/>
    <w:rsid w:val="00E932F8"/>
    <w:rsid w:val="00EC5430"/>
    <w:rsid w:val="00EE170D"/>
    <w:rsid w:val="00EE38BF"/>
    <w:rsid w:val="00EE7CA4"/>
    <w:rsid w:val="00F23561"/>
    <w:rsid w:val="00F456F9"/>
    <w:rsid w:val="00F570D1"/>
    <w:rsid w:val="00F70A05"/>
    <w:rsid w:val="00F81CA3"/>
    <w:rsid w:val="00F911A6"/>
    <w:rsid w:val="00F94A7B"/>
    <w:rsid w:val="00FA1BB9"/>
    <w:rsid w:val="00FB7C61"/>
    <w:rsid w:val="00FE2225"/>
    <w:rsid w:val="013D1161"/>
    <w:rsid w:val="0157144D"/>
    <w:rsid w:val="017A10E5"/>
    <w:rsid w:val="01A40D00"/>
    <w:rsid w:val="033E3BD6"/>
    <w:rsid w:val="03D351A4"/>
    <w:rsid w:val="04231082"/>
    <w:rsid w:val="04396DED"/>
    <w:rsid w:val="047A2F46"/>
    <w:rsid w:val="056C1E37"/>
    <w:rsid w:val="06603FA5"/>
    <w:rsid w:val="08CB026F"/>
    <w:rsid w:val="08FF41FE"/>
    <w:rsid w:val="0A080A02"/>
    <w:rsid w:val="0B22740E"/>
    <w:rsid w:val="0BC773BD"/>
    <w:rsid w:val="0C0C5CC9"/>
    <w:rsid w:val="0C8B55E8"/>
    <w:rsid w:val="0C8D346B"/>
    <w:rsid w:val="0CEC743A"/>
    <w:rsid w:val="0D2563C4"/>
    <w:rsid w:val="0E364E7D"/>
    <w:rsid w:val="0EB73455"/>
    <w:rsid w:val="0F5C0C86"/>
    <w:rsid w:val="0F7F3E70"/>
    <w:rsid w:val="11765E18"/>
    <w:rsid w:val="11993255"/>
    <w:rsid w:val="11C3029D"/>
    <w:rsid w:val="12132744"/>
    <w:rsid w:val="123950D3"/>
    <w:rsid w:val="124A7371"/>
    <w:rsid w:val="13386D6B"/>
    <w:rsid w:val="13717B3E"/>
    <w:rsid w:val="13D70D51"/>
    <w:rsid w:val="143E2655"/>
    <w:rsid w:val="14574345"/>
    <w:rsid w:val="14741101"/>
    <w:rsid w:val="14991245"/>
    <w:rsid w:val="158F3762"/>
    <w:rsid w:val="16B77FD1"/>
    <w:rsid w:val="17DA13A7"/>
    <w:rsid w:val="180E4A95"/>
    <w:rsid w:val="18DD79A1"/>
    <w:rsid w:val="194D55A9"/>
    <w:rsid w:val="1AE80243"/>
    <w:rsid w:val="1B240FCE"/>
    <w:rsid w:val="1BB06265"/>
    <w:rsid w:val="1C13738E"/>
    <w:rsid w:val="1DD54CF5"/>
    <w:rsid w:val="1ED17431"/>
    <w:rsid w:val="1F365B58"/>
    <w:rsid w:val="1FB05E2C"/>
    <w:rsid w:val="1FBB41D0"/>
    <w:rsid w:val="205828FC"/>
    <w:rsid w:val="20BF5065"/>
    <w:rsid w:val="2118156D"/>
    <w:rsid w:val="22927EB5"/>
    <w:rsid w:val="23962050"/>
    <w:rsid w:val="24057339"/>
    <w:rsid w:val="275613EA"/>
    <w:rsid w:val="27DA27C2"/>
    <w:rsid w:val="28E717BF"/>
    <w:rsid w:val="2A621607"/>
    <w:rsid w:val="2B003D2F"/>
    <w:rsid w:val="2B1B665A"/>
    <w:rsid w:val="2C5219A4"/>
    <w:rsid w:val="2C6E21E4"/>
    <w:rsid w:val="2D2770B2"/>
    <w:rsid w:val="2EDC5548"/>
    <w:rsid w:val="2F61666C"/>
    <w:rsid w:val="30734518"/>
    <w:rsid w:val="322A6C7A"/>
    <w:rsid w:val="32A76BDA"/>
    <w:rsid w:val="32B33085"/>
    <w:rsid w:val="32F13CE5"/>
    <w:rsid w:val="330172C6"/>
    <w:rsid w:val="334131D3"/>
    <w:rsid w:val="34597BA1"/>
    <w:rsid w:val="34800CEE"/>
    <w:rsid w:val="350F0BFE"/>
    <w:rsid w:val="35643AD5"/>
    <w:rsid w:val="374313BA"/>
    <w:rsid w:val="380C5996"/>
    <w:rsid w:val="386F3515"/>
    <w:rsid w:val="392E6A78"/>
    <w:rsid w:val="39677413"/>
    <w:rsid w:val="3A8C2C0D"/>
    <w:rsid w:val="3A9B669F"/>
    <w:rsid w:val="3BAE6A8A"/>
    <w:rsid w:val="3C876AF0"/>
    <w:rsid w:val="3CF77387"/>
    <w:rsid w:val="3EC95459"/>
    <w:rsid w:val="40882F15"/>
    <w:rsid w:val="412F1B65"/>
    <w:rsid w:val="417D1041"/>
    <w:rsid w:val="41A315F9"/>
    <w:rsid w:val="4265671D"/>
    <w:rsid w:val="43A30364"/>
    <w:rsid w:val="43C85745"/>
    <w:rsid w:val="442D1921"/>
    <w:rsid w:val="46200F7E"/>
    <w:rsid w:val="476A2C78"/>
    <w:rsid w:val="47992888"/>
    <w:rsid w:val="479D3534"/>
    <w:rsid w:val="4854142E"/>
    <w:rsid w:val="4858276E"/>
    <w:rsid w:val="48AD7515"/>
    <w:rsid w:val="49022A4B"/>
    <w:rsid w:val="490A726C"/>
    <w:rsid w:val="49A92BA2"/>
    <w:rsid w:val="4A5A086E"/>
    <w:rsid w:val="4BBF0072"/>
    <w:rsid w:val="4BD036A7"/>
    <w:rsid w:val="4C5F3DED"/>
    <w:rsid w:val="4CDC29F0"/>
    <w:rsid w:val="4D212310"/>
    <w:rsid w:val="4DB17F72"/>
    <w:rsid w:val="4DE65956"/>
    <w:rsid w:val="4EA60F65"/>
    <w:rsid w:val="4EC16AC8"/>
    <w:rsid w:val="4F0368E0"/>
    <w:rsid w:val="50B047BD"/>
    <w:rsid w:val="515423B5"/>
    <w:rsid w:val="51CF2D8E"/>
    <w:rsid w:val="52A953C7"/>
    <w:rsid w:val="539B6B72"/>
    <w:rsid w:val="5406286E"/>
    <w:rsid w:val="556967CA"/>
    <w:rsid w:val="559F49AC"/>
    <w:rsid w:val="56653BB0"/>
    <w:rsid w:val="56DC79F4"/>
    <w:rsid w:val="56EF4237"/>
    <w:rsid w:val="570F7EDB"/>
    <w:rsid w:val="573C74B5"/>
    <w:rsid w:val="58995112"/>
    <w:rsid w:val="58A70D79"/>
    <w:rsid w:val="58D35E49"/>
    <w:rsid w:val="5949605A"/>
    <w:rsid w:val="59E771C6"/>
    <w:rsid w:val="5AB2291B"/>
    <w:rsid w:val="5D727DDC"/>
    <w:rsid w:val="5F4B34F8"/>
    <w:rsid w:val="602773EC"/>
    <w:rsid w:val="60413278"/>
    <w:rsid w:val="61AE4166"/>
    <w:rsid w:val="63DE6250"/>
    <w:rsid w:val="66736D0A"/>
    <w:rsid w:val="67CA3D41"/>
    <w:rsid w:val="67F26902"/>
    <w:rsid w:val="689E02F8"/>
    <w:rsid w:val="69EF1BC6"/>
    <w:rsid w:val="69F73655"/>
    <w:rsid w:val="6AF32471"/>
    <w:rsid w:val="6CC22328"/>
    <w:rsid w:val="6CD56AF4"/>
    <w:rsid w:val="6D8E6A33"/>
    <w:rsid w:val="6DB620A5"/>
    <w:rsid w:val="6DDE0181"/>
    <w:rsid w:val="6E732C64"/>
    <w:rsid w:val="70EC5DDE"/>
    <w:rsid w:val="73B434AA"/>
    <w:rsid w:val="741E09A4"/>
    <w:rsid w:val="75042A89"/>
    <w:rsid w:val="75056276"/>
    <w:rsid w:val="774A788F"/>
    <w:rsid w:val="77565BBE"/>
    <w:rsid w:val="786966E6"/>
    <w:rsid w:val="79AA5B6F"/>
    <w:rsid w:val="79E76A6B"/>
    <w:rsid w:val="7A0B1FEC"/>
    <w:rsid w:val="7A20184B"/>
    <w:rsid w:val="7A6212D3"/>
    <w:rsid w:val="7A86426A"/>
    <w:rsid w:val="7AE82633"/>
    <w:rsid w:val="7C305674"/>
    <w:rsid w:val="7C440929"/>
    <w:rsid w:val="7C7A77AE"/>
    <w:rsid w:val="7D6F6B54"/>
    <w:rsid w:val="7EC23C02"/>
    <w:rsid w:val="7EF548B9"/>
    <w:rsid w:val="7F342C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标题 1 字符"/>
    <w:basedOn w:val="24"/>
    <w:link w:val="2"/>
    <w:qFormat/>
    <w:uiPriority w:val="9"/>
    <w:rPr>
      <w:b/>
      <w:bCs/>
      <w:kern w:val="44"/>
      <w:sz w:val="44"/>
      <w:szCs w:val="44"/>
    </w:rPr>
  </w:style>
  <w:style w:type="character" w:customStyle="1" w:styleId="29">
    <w:name w:val="标题 2 字符"/>
    <w:basedOn w:val="24"/>
    <w:link w:val="3"/>
    <w:qFormat/>
    <w:uiPriority w:val="9"/>
    <w:rPr>
      <w:rFonts w:asciiTheme="majorHAnsi" w:hAnsiTheme="majorHAnsi" w:eastAsiaTheme="majorEastAsia" w:cstheme="majorBidi"/>
      <w:b/>
      <w:bCs/>
      <w:sz w:val="32"/>
      <w:szCs w:val="32"/>
    </w:rPr>
  </w:style>
  <w:style w:type="character" w:customStyle="1" w:styleId="30">
    <w:name w:val="页眉 字符"/>
    <w:basedOn w:val="24"/>
    <w:link w:val="14"/>
    <w:qFormat/>
    <w:uiPriority w:val="99"/>
    <w:rPr>
      <w:sz w:val="18"/>
      <w:szCs w:val="18"/>
    </w:rPr>
  </w:style>
  <w:style w:type="character" w:customStyle="1" w:styleId="31">
    <w:name w:val="页脚 字符"/>
    <w:basedOn w:val="24"/>
    <w:link w:val="13"/>
    <w:qFormat/>
    <w:uiPriority w:val="99"/>
    <w:rPr>
      <w:sz w:val="18"/>
      <w:szCs w:val="18"/>
    </w:rPr>
  </w:style>
  <w:style w:type="paragraph" w:customStyle="1" w:styleId="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标准英文名称"/>
    <w:basedOn w:val="32"/>
    <w:qFormat/>
    <w:uiPriority w:val="0"/>
    <w:pPr>
      <w:spacing w:before="370" w:line="400" w:lineRule="exact"/>
    </w:pPr>
    <w:rPr>
      <w:rFonts w:ascii="Times New Roman"/>
      <w:sz w:val="28"/>
      <w:szCs w:val="28"/>
    </w:rPr>
  </w:style>
  <w:style w:type="character" w:customStyle="1" w:styleId="34">
    <w:name w:val="段 Char"/>
    <w:link w:val="35"/>
    <w:qFormat/>
    <w:uiPriority w:val="0"/>
    <w:rPr>
      <w:rFonts w:ascii="宋体"/>
    </w:rPr>
  </w:style>
  <w:style w:type="paragraph" w:customStyle="1" w:styleId="35">
    <w:name w:val="段"/>
    <w:link w:val="3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6">
    <w:name w:val="发布"/>
    <w:qFormat/>
    <w:uiPriority w:val="0"/>
    <w:rPr>
      <w:rFonts w:ascii="黑体" w:eastAsia="黑体"/>
      <w:spacing w:val="85"/>
      <w:w w:val="100"/>
      <w:position w:val="3"/>
      <w:sz w:val="28"/>
      <w:szCs w:val="28"/>
    </w:rPr>
  </w:style>
  <w:style w:type="paragraph" w:customStyle="1" w:styleId="37">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8">
    <w:name w:val="二级条标题"/>
    <w:basedOn w:val="39"/>
    <w:next w:val="35"/>
    <w:link w:val="93"/>
    <w:qFormat/>
    <w:uiPriority w:val="0"/>
    <w:pPr>
      <w:numPr>
        <w:ilvl w:val="2"/>
      </w:numPr>
      <w:spacing w:beforeLines="0" w:afterLines="0"/>
      <w:outlineLvl w:val="3"/>
    </w:pPr>
  </w:style>
  <w:style w:type="paragraph" w:customStyle="1" w:styleId="39">
    <w:name w:val="一级条标题"/>
    <w:next w:val="35"/>
    <w:link w:val="92"/>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附录表标号"/>
    <w:basedOn w:val="1"/>
    <w:next w:val="35"/>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1">
    <w:name w:val="正文表标题"/>
    <w:next w:val="35"/>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2">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3">
    <w:name w:val="章标题"/>
    <w:next w:val="35"/>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前言、引言标题"/>
    <w:next w:val="3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封面一致性程度标识"/>
    <w:basedOn w:val="33"/>
    <w:qFormat/>
    <w:uiPriority w:val="0"/>
    <w:pPr>
      <w:spacing w:before="440"/>
    </w:pPr>
    <w:rPr>
      <w:rFonts w:ascii="宋体" w:eastAsia="宋体"/>
    </w:rPr>
  </w:style>
  <w:style w:type="paragraph" w:customStyle="1" w:styleId="47">
    <w:name w:val="终结线"/>
    <w:basedOn w:val="1"/>
    <w:qFormat/>
    <w:uiPriority w:val="0"/>
    <w:rPr>
      <w:rFonts w:ascii="Times New Roman" w:hAnsi="Times New Roman" w:eastAsia="宋体" w:cs="Times New Roman"/>
      <w:szCs w:val="24"/>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9">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50">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2">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3">
    <w:name w:val="封面标准文稿编辑信息"/>
    <w:basedOn w:val="54"/>
    <w:qFormat/>
    <w:uiPriority w:val="0"/>
    <w:pPr>
      <w:spacing w:before="180" w:line="180" w:lineRule="exact"/>
    </w:pPr>
    <w:rPr>
      <w:sz w:val="21"/>
    </w:rPr>
  </w:style>
  <w:style w:type="paragraph" w:customStyle="1" w:styleId="54">
    <w:name w:val="封面标准文稿类别"/>
    <w:basedOn w:val="46"/>
    <w:qFormat/>
    <w:uiPriority w:val="0"/>
    <w:pPr>
      <w:spacing w:after="160" w:line="240" w:lineRule="auto"/>
    </w:pPr>
    <w:rPr>
      <w:sz w:val="24"/>
    </w:rPr>
  </w:style>
  <w:style w:type="paragraph" w:customStyle="1" w:styleId="55">
    <w:name w:val="附录标识"/>
    <w:basedOn w:val="1"/>
    <w:next w:val="35"/>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6">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7">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8">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9">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60">
    <w:name w:val="目次、标准名称标题"/>
    <w:basedOn w:val="1"/>
    <w:next w:val="35"/>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1">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5"/>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5"/>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8"/>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3"/>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84">
    <w:name w:val="标准文件_段 Char"/>
    <w:basedOn w:val="24"/>
    <w:link w:val="85"/>
    <w:qFormat/>
    <w:uiPriority w:val="0"/>
    <w:rPr>
      <w:rFonts w:hint="eastAsia" w:ascii="宋体" w:hAnsi="Times New Roman" w:eastAsia="宋体" w:cs="宋体"/>
      <w:sz w:val="21"/>
    </w:rPr>
  </w:style>
  <w:style w:type="paragraph" w:customStyle="1" w:styleId="85">
    <w:name w:val="标准文件_段"/>
    <w:basedOn w:val="1"/>
    <w:link w:val="84"/>
    <w:qFormat/>
    <w:uiPriority w:val="0"/>
    <w:pPr>
      <w:widowControl/>
      <w:autoSpaceDE w:val="0"/>
      <w:autoSpaceDN w:val="0"/>
      <w:ind w:firstLine="200" w:firstLineChars="200"/>
    </w:pPr>
    <w:rPr>
      <w:rFonts w:hint="eastAsia" w:ascii="宋体" w:hAnsi="Times New Roman" w:eastAsia="宋体" w:cs="Times New Roman"/>
      <w:kern w:val="0"/>
      <w:szCs w:val="20"/>
    </w:rPr>
  </w:style>
  <w:style w:type="paragraph" w:customStyle="1" w:styleId="86">
    <w:name w:val="标准文件_正文表标题"/>
    <w:basedOn w:val="1"/>
    <w:next w:val="85"/>
    <w:qFormat/>
    <w:uiPriority w:val="0"/>
    <w:pPr>
      <w:widowControl/>
      <w:numPr>
        <w:ilvl w:val="0"/>
        <w:numId w:val="3"/>
      </w:numPr>
      <w:tabs>
        <w:tab w:val="left" w:pos="0"/>
      </w:tabs>
      <w:spacing w:before="50" w:beforeLines="50" w:after="50" w:afterLines="50"/>
      <w:jc w:val="center"/>
    </w:pPr>
    <w:rPr>
      <w:rFonts w:hint="eastAsia" w:ascii="黑体" w:hAnsi="Times New Roman" w:eastAsia="黑体" w:cs="Times New Roman"/>
      <w:kern w:val="0"/>
      <w:szCs w:val="20"/>
    </w:rPr>
  </w:style>
  <w:style w:type="paragraph" w:customStyle="1" w:styleId="87">
    <w:name w:val="标准文件_术语条一"/>
    <w:basedOn w:val="1"/>
    <w:next w:val="85"/>
    <w:qFormat/>
    <w:uiPriority w:val="0"/>
    <w:pPr>
      <w:widowControl/>
      <w:tabs>
        <w:tab w:val="left" w:pos="360"/>
      </w:tabs>
    </w:pPr>
    <w:rPr>
      <w:rFonts w:hint="eastAsia" w:ascii="宋体" w:hAnsi="Times New Roman" w:eastAsia="宋体" w:cs="Times New Roman"/>
      <w:kern w:val="0"/>
      <w:szCs w:val="20"/>
    </w:rPr>
  </w:style>
  <w:style w:type="paragraph" w:customStyle="1" w:styleId="88">
    <w:name w:val="标准文件_二级无标题"/>
    <w:qFormat/>
    <w:uiPriority w:val="0"/>
    <w:pPr>
      <w:widowControl w:val="0"/>
      <w:numPr>
        <w:ilvl w:val="3"/>
        <w:numId w:val="4"/>
      </w:numPr>
      <w:jc w:val="both"/>
    </w:pPr>
    <w:rPr>
      <w:rFonts w:hint="eastAsia" w:ascii="宋体" w:hAnsi="Times New Roman" w:eastAsia="宋体" w:cs="Times New Roman"/>
      <w:sz w:val="21"/>
      <w:lang w:val="en-US" w:eastAsia="zh-CN" w:bidi="ar-SA"/>
    </w:rPr>
  </w:style>
  <w:style w:type="paragraph" w:customStyle="1" w:styleId="89">
    <w:name w:val="标准文件_章标题"/>
    <w:basedOn w:val="1"/>
    <w:next w:val="85"/>
    <w:qFormat/>
    <w:uiPriority w:val="0"/>
    <w:pPr>
      <w:widowControl/>
      <w:numPr>
        <w:ilvl w:val="1"/>
        <w:numId w:val="4"/>
      </w:numPr>
      <w:spacing w:before="100" w:beforeLines="100" w:after="100" w:afterLines="100"/>
      <w:outlineLvl w:val="0"/>
    </w:pPr>
    <w:rPr>
      <w:rFonts w:hint="eastAsia" w:ascii="黑体" w:hAnsi="Times New Roman" w:eastAsia="黑体" w:cs="Times New Roman"/>
      <w:kern w:val="0"/>
      <w:szCs w:val="20"/>
    </w:rPr>
  </w:style>
  <w:style w:type="paragraph" w:customStyle="1" w:styleId="90">
    <w:name w:val="标准文件_一级条标题"/>
    <w:basedOn w:val="89"/>
    <w:next w:val="85"/>
    <w:qFormat/>
    <w:uiPriority w:val="0"/>
    <w:pPr>
      <w:numPr>
        <w:ilvl w:val="2"/>
      </w:numPr>
      <w:spacing w:before="50" w:beforeLines="50" w:after="50" w:afterLines="50"/>
      <w:outlineLvl w:val="1"/>
    </w:pPr>
  </w:style>
  <w:style w:type="paragraph" w:customStyle="1" w:styleId="91">
    <w:name w:val="标准文件_正文标准名称"/>
    <w:basedOn w:val="1"/>
    <w:qFormat/>
    <w:uiPriority w:val="0"/>
    <w:pPr>
      <w:widowControl/>
      <w:spacing w:before="560" w:after="640" w:line="400" w:lineRule="exact"/>
      <w:jc w:val="center"/>
    </w:pPr>
    <w:rPr>
      <w:rFonts w:hint="eastAsia" w:ascii="黑体" w:hAnsi="宋体" w:eastAsia="黑体" w:cs="Times New Roman"/>
      <w:sz w:val="32"/>
      <w:szCs w:val="32"/>
    </w:rPr>
  </w:style>
  <w:style w:type="character" w:customStyle="1" w:styleId="92">
    <w:name w:val="一级条标题 Char"/>
    <w:link w:val="39"/>
    <w:qFormat/>
    <w:locked/>
    <w:uiPriority w:val="0"/>
    <w:rPr>
      <w:rFonts w:ascii="黑体" w:hAnsi="Times New Roman" w:eastAsia="黑体" w:cs="Times New Roman"/>
      <w:sz w:val="21"/>
      <w:szCs w:val="21"/>
    </w:rPr>
  </w:style>
  <w:style w:type="character" w:customStyle="1" w:styleId="93">
    <w:name w:val="二级条标题 Char"/>
    <w:link w:val="38"/>
    <w:qFormat/>
    <w:locked/>
    <w:uiPriority w:val="0"/>
    <w:rPr>
      <w:rFonts w:ascii="黑体" w:hAnsi="Times New Roman" w:eastAsia="黑体" w:cs="Times New Roman"/>
      <w:sz w:val="21"/>
      <w:szCs w:val="21"/>
    </w:rPr>
  </w:style>
  <w:style w:type="character" w:styleId="94">
    <w:name w:val="Placeholder Text"/>
    <w:basedOn w:val="24"/>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58455-53AE-4886-9D99-CC4DC38AC97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3596</Words>
  <Characters>5012</Characters>
  <Lines>40</Lines>
  <Paragraphs>11</Paragraphs>
  <TotalTime>4</TotalTime>
  <ScaleCrop>false</ScaleCrop>
  <LinksUpToDate>false</LinksUpToDate>
  <CharactersWithSpaces>5431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2022-11-04T15:03:00Z</dcterms:created>
  <dc:creator>Lenovo</dc:creator>
  <cp:lastModifiedBy>xiaoxin</cp:lastModifiedBy>
  <cp:lastPrinted>2019-02-12T09:03:00Z</cp:lastPrinted>
  <dcterms:modified xsi:type="dcterms:W3CDTF">2023-01-18T06:29:47Z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76B7969AEC2842D28927016D29892D15</vt:lpwstr>
  </property>
</Properties>
</file>