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p>
    <w:p>
      <w:pPr>
        <w:spacing w:line="840" w:lineRule="auto"/>
        <w:jc w:val="center"/>
        <w:rPr>
          <w:b/>
          <w:bCs/>
          <w:sz w:val="48"/>
          <w:szCs w:val="48"/>
        </w:rPr>
      </w:pPr>
      <w:r>
        <w:rPr>
          <w:b/>
          <w:bCs/>
          <w:sz w:val="48"/>
          <w:szCs w:val="48"/>
        </w:rPr>
        <w:t>《</w:t>
      </w:r>
      <w:r>
        <w:rPr>
          <w:rFonts w:hint="eastAsia"/>
          <w:b/>
          <w:bCs/>
          <w:sz w:val="48"/>
          <w:szCs w:val="48"/>
        </w:rPr>
        <w:t>城镇生活垃圾焚烧发电厂精细运营管理“排行榜”评价标准</w:t>
      </w:r>
      <w:r>
        <w:rPr>
          <w:b/>
          <w:bCs/>
          <w:sz w:val="48"/>
          <w:szCs w:val="48"/>
        </w:rPr>
        <w:t>》</w:t>
      </w:r>
    </w:p>
    <w:p>
      <w:pPr>
        <w:spacing w:line="840" w:lineRule="auto"/>
        <w:jc w:val="center"/>
        <w:rPr>
          <w:b/>
          <w:bCs/>
          <w:sz w:val="52"/>
          <w:szCs w:val="52"/>
        </w:rPr>
      </w:pPr>
      <w:r>
        <w:rPr>
          <w:b/>
          <w:bCs/>
          <w:sz w:val="48"/>
          <w:szCs w:val="48"/>
        </w:rPr>
        <w:t>编制说明</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b/>
          <w:sz w:val="32"/>
          <w:szCs w:val="32"/>
        </w:rPr>
      </w:pPr>
      <w:r>
        <w:rPr>
          <w:b/>
          <w:sz w:val="32"/>
          <w:szCs w:val="32"/>
        </w:rPr>
        <w:t>《</w:t>
      </w:r>
      <w:r>
        <w:rPr>
          <w:rFonts w:hint="eastAsia" w:eastAsia="等线"/>
          <w:b/>
          <w:sz w:val="32"/>
          <w:szCs w:val="32"/>
        </w:rPr>
        <w:t>质量分级及“领跑者”评价要求</w:t>
      </w:r>
      <w:r>
        <w:rPr>
          <w:b/>
          <w:sz w:val="32"/>
          <w:szCs w:val="32"/>
        </w:rPr>
        <w:t>》标准编制工作组</w:t>
      </w:r>
    </w:p>
    <w:p>
      <w:pPr>
        <w:adjustRightInd w:val="0"/>
        <w:snapToGrid w:val="0"/>
        <w:spacing w:line="360" w:lineRule="auto"/>
        <w:jc w:val="center"/>
        <w:rPr>
          <w:b/>
          <w:sz w:val="28"/>
          <w:szCs w:val="28"/>
        </w:rPr>
      </w:pPr>
    </w:p>
    <w:p>
      <w:pPr>
        <w:adjustRightInd w:val="0"/>
        <w:snapToGrid w:val="0"/>
        <w:spacing w:line="360" w:lineRule="auto"/>
        <w:jc w:val="center"/>
        <w:rPr>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276" w:right="1400" w:bottom="1440" w:left="1400" w:header="851" w:footer="992" w:gutter="0"/>
          <w:pgNumType w:start="1"/>
          <w:cols w:space="720" w:num="1"/>
          <w:titlePg/>
          <w:docGrid w:type="lines" w:linePitch="312" w:charSpace="0"/>
        </w:sectPr>
      </w:pPr>
      <w:r>
        <w:rPr>
          <w:b/>
          <w:sz w:val="32"/>
          <w:szCs w:val="32"/>
        </w:rPr>
        <w:t>202</w:t>
      </w:r>
      <w:r>
        <w:rPr>
          <w:rFonts w:hint="eastAsia"/>
          <w:b/>
          <w:sz w:val="32"/>
          <w:szCs w:val="32"/>
        </w:rPr>
        <w:t>3</w:t>
      </w:r>
      <w:r>
        <w:rPr>
          <w:b/>
          <w:sz w:val="32"/>
          <w:szCs w:val="32"/>
        </w:rPr>
        <w:t>年</w:t>
      </w:r>
      <w:r>
        <w:rPr>
          <w:rFonts w:hint="eastAsia"/>
          <w:b/>
          <w:sz w:val="32"/>
          <w:szCs w:val="32"/>
        </w:rPr>
        <w:t>3</w:t>
      </w:r>
      <w:r>
        <w:rPr>
          <w:b/>
          <w:sz w:val="32"/>
          <w:szCs w:val="32"/>
        </w:rPr>
        <w:t>月</w:t>
      </w:r>
    </w:p>
    <w:p>
      <w:pPr>
        <w:pStyle w:val="3"/>
        <w:numPr>
          <w:ilvl w:val="0"/>
          <w:numId w:val="3"/>
        </w:numPr>
        <w:spacing w:before="240" w:after="240" w:line="360" w:lineRule="auto"/>
        <w:ind w:left="0" w:firstLine="0"/>
        <w:rPr>
          <w:sz w:val="32"/>
          <w:szCs w:val="32"/>
        </w:rPr>
      </w:pPr>
      <w:r>
        <w:rPr>
          <w:rFonts w:hint="eastAsia"/>
          <w:sz w:val="36"/>
          <w:szCs w:val="36"/>
        </w:rPr>
        <w:t>立项背景</w:t>
      </w:r>
    </w:p>
    <w:p>
      <w:pPr>
        <w:pStyle w:val="2"/>
        <w:ind w:firstLine="560" w:firstLineChars="200"/>
        <w:rPr>
          <w:sz w:val="28"/>
          <w:szCs w:val="28"/>
        </w:rPr>
      </w:pPr>
      <w:r>
        <w:rPr>
          <w:rFonts w:hint="eastAsia"/>
          <w:sz w:val="28"/>
          <w:szCs w:val="28"/>
        </w:rPr>
        <w:t>《“十四五”城镇生活垃圾分类和处理设施发展规划》中明确我国生活垃圾处理将形成以焚烧为主的垃圾处理发展格局，从而开启了垃圾焚烧行业“焚烧+”高速发展窗口期。垃圾焚烧行业已然成为城市绿色低碳循环发展不可或缺的重要基础条件和重要基本公共服务。《关于加快推进城镇环境基础设施建设指导意见》中明确提出，垃圾焚烧发电厂作为城市环境基础设施的重要组成部分，全面提高生活垃圾焚烧设施的供给质量和运行效率，从而服务于城市高质量发展。</w:t>
      </w:r>
    </w:p>
    <w:p>
      <w:pPr>
        <w:spacing w:line="360" w:lineRule="auto"/>
        <w:ind w:firstLine="560" w:firstLineChars="200"/>
        <w:rPr>
          <w:sz w:val="28"/>
          <w:szCs w:val="28"/>
        </w:rPr>
      </w:pPr>
      <w:r>
        <w:rPr>
          <w:rFonts w:hint="eastAsia"/>
          <w:sz w:val="28"/>
          <w:szCs w:val="28"/>
        </w:rPr>
        <w:t>近年来，我国垃圾焚烧行业新增项目释放速度持续放缓，伴随政策调整“补贴退坡”，且垃圾焚烧处理排放标准逐年提升，同时成本、能耗等其他约束条件的要求也越来越多，因此势必要求垃圾焚烧发电厂的运行更加稳定、精准、高效。开展“精细化”建设，可以有效弥补传统垃圾焚烧发电厂粗放运行方式中的不足，持续提质增效。垃圾焚烧发电厂精细化运营管理建设的目标是通过制度化、程序化、标准化、细致化和数字化手段，使垃圾焚烧厂各单元精确、高效、协同和持续运行，做到管理责任的具体化和明确化，从而实现保证质量，提升效益的整体性目标。</w:t>
      </w:r>
    </w:p>
    <w:p>
      <w:pPr>
        <w:spacing w:line="360" w:lineRule="auto"/>
        <w:ind w:firstLine="560" w:firstLineChars="200"/>
        <w:rPr>
          <w:b/>
          <w:bCs/>
          <w:sz w:val="28"/>
          <w:szCs w:val="28"/>
        </w:rPr>
      </w:pPr>
      <w:r>
        <w:rPr>
          <w:rFonts w:hint="eastAsia"/>
          <w:sz w:val="28"/>
          <w:szCs w:val="28"/>
        </w:rPr>
        <w:t>鉴于此，编制组在现有相关国家标准、行业标准、地方标准及运行管理相关规范的基础上，根据“双百跨越”垃圾焚烧标杆行动及行业发展的实际情况，编制本评价标准，</w:t>
      </w:r>
      <w:r>
        <w:rPr>
          <w:sz w:val="28"/>
          <w:szCs w:val="28"/>
        </w:rPr>
        <w:t>一方面用于指导企业编写企业标准，也可用于对企业标准的水平进行评价，另一方面用于指导第三方评估机构编制“排行榜”和“领跑者”评估方案并开展有关评估工作。</w:t>
      </w:r>
    </w:p>
    <w:p>
      <w:pPr>
        <w:pStyle w:val="4"/>
        <w:spacing w:line="360" w:lineRule="auto"/>
        <w:rPr>
          <w:rFonts w:ascii="Times New Roman" w:hAnsi="Times New Roman" w:eastAsia="宋体"/>
        </w:rPr>
      </w:pPr>
      <w:r>
        <w:rPr>
          <w:rFonts w:hint="eastAsia" w:ascii="Times New Roman" w:hAnsi="Times New Roman" w:eastAsia="宋体"/>
        </w:rPr>
        <w:t>二、</w:t>
      </w:r>
      <w:r>
        <w:rPr>
          <w:rFonts w:ascii="Times New Roman" w:hAnsi="Times New Roman" w:eastAsia="宋体"/>
        </w:rPr>
        <w:t>主要工作过程</w:t>
      </w:r>
    </w:p>
    <w:p>
      <w:pPr>
        <w:pStyle w:val="5"/>
        <w:spacing w:line="360" w:lineRule="auto"/>
        <w:rPr>
          <w:rFonts w:eastAsia="宋体"/>
          <w:lang w:val="en-US"/>
        </w:rPr>
      </w:pPr>
      <w:r>
        <w:rPr>
          <w:rFonts w:hint="eastAsia" w:eastAsia="宋体"/>
          <w:lang w:val="en-US"/>
        </w:rPr>
        <w:t>2</w:t>
      </w:r>
      <w:r>
        <w:rPr>
          <w:rFonts w:hint="eastAsia" w:eastAsia="宋体"/>
        </w:rPr>
        <w:t>.</w:t>
      </w:r>
      <w:r>
        <w:rPr>
          <w:rFonts w:hint="eastAsia" w:eastAsia="宋体"/>
          <w:lang w:val="en-US"/>
        </w:rPr>
        <w:t>1启动</w:t>
      </w:r>
      <w:r>
        <w:rPr>
          <w:rFonts w:eastAsia="宋体"/>
        </w:rPr>
        <w:t>标准</w:t>
      </w:r>
      <w:r>
        <w:rPr>
          <w:rFonts w:hint="eastAsia" w:eastAsia="宋体"/>
          <w:lang w:val="en-US"/>
        </w:rPr>
        <w:t>立项策划</w:t>
      </w:r>
    </w:p>
    <w:p>
      <w:pPr>
        <w:spacing w:line="360" w:lineRule="auto"/>
        <w:ind w:firstLine="705" w:firstLineChars="252"/>
        <w:rPr>
          <w:sz w:val="28"/>
          <w:szCs w:val="28"/>
        </w:rPr>
      </w:pPr>
      <w:r>
        <w:rPr>
          <w:rFonts w:hint="eastAsia"/>
          <w:sz w:val="28"/>
          <w:szCs w:val="28"/>
        </w:rPr>
        <w:t>2022</w:t>
      </w:r>
      <w:r>
        <w:rPr>
          <w:sz w:val="28"/>
          <w:szCs w:val="28"/>
        </w:rPr>
        <w:t>年</w:t>
      </w:r>
      <w:r>
        <w:rPr>
          <w:rFonts w:hint="eastAsia"/>
          <w:sz w:val="28"/>
          <w:szCs w:val="28"/>
        </w:rPr>
        <w:t>3</w:t>
      </w:r>
      <w:r>
        <w:rPr>
          <w:sz w:val="28"/>
          <w:szCs w:val="28"/>
        </w:rPr>
        <w:t>月，</w:t>
      </w:r>
      <w:r>
        <w:rPr>
          <w:rFonts w:hint="eastAsia"/>
          <w:sz w:val="28"/>
          <w:szCs w:val="28"/>
        </w:rPr>
        <w:t>E20环境平台组织召开团标立项和编制工作启动会，</w:t>
      </w:r>
      <w:r>
        <w:rPr>
          <w:sz w:val="28"/>
          <w:szCs w:val="28"/>
        </w:rPr>
        <w:t>对标准编制</w:t>
      </w:r>
      <w:r>
        <w:rPr>
          <w:rFonts w:hint="eastAsia"/>
          <w:sz w:val="28"/>
          <w:szCs w:val="28"/>
        </w:rPr>
        <w:t>计划和工作安排进行讨论和部署</w:t>
      </w:r>
      <w:r>
        <w:rPr>
          <w:sz w:val="28"/>
          <w:szCs w:val="28"/>
        </w:rPr>
        <w:t>，</w:t>
      </w:r>
      <w:r>
        <w:rPr>
          <w:rFonts w:hint="eastAsia"/>
          <w:sz w:val="28"/>
          <w:szCs w:val="28"/>
        </w:rPr>
        <w:t>并同步开展文献研究，结合“双百跨越”标杆比选活动对国内外标杆生活垃圾焚烧发电及热电联产等行业资料和项目资料开展大量的研究和分析工作</w:t>
      </w:r>
      <w:r>
        <w:rPr>
          <w:sz w:val="28"/>
          <w:szCs w:val="28"/>
        </w:rPr>
        <w:t>。</w:t>
      </w:r>
    </w:p>
    <w:p>
      <w:pPr>
        <w:pStyle w:val="5"/>
        <w:spacing w:line="360" w:lineRule="auto"/>
        <w:rPr>
          <w:rFonts w:eastAsia="宋体"/>
        </w:rPr>
      </w:pPr>
      <w:r>
        <w:rPr>
          <w:rFonts w:hint="eastAsia" w:eastAsia="宋体"/>
        </w:rPr>
        <w:t>2.</w:t>
      </w:r>
      <w:r>
        <w:rPr>
          <w:rFonts w:hint="eastAsia" w:eastAsia="宋体"/>
          <w:lang w:val="en-US"/>
        </w:rPr>
        <w:t>2</w:t>
      </w:r>
      <w:r>
        <w:rPr>
          <w:rFonts w:hint="eastAsia" w:eastAsia="宋体"/>
        </w:rPr>
        <w:t>形成标准草案</w:t>
      </w:r>
    </w:p>
    <w:p>
      <w:pPr>
        <w:spacing w:line="360" w:lineRule="auto"/>
        <w:ind w:firstLine="560" w:firstLineChars="200"/>
        <w:rPr>
          <w:sz w:val="28"/>
          <w:szCs w:val="28"/>
        </w:rPr>
      </w:pPr>
      <w:r>
        <w:rPr>
          <w:rFonts w:hint="eastAsia"/>
          <w:sz w:val="28"/>
          <w:szCs w:val="28"/>
        </w:rPr>
        <w:t>2022年4月-5</w:t>
      </w:r>
      <w:r>
        <w:rPr>
          <w:sz w:val="28"/>
          <w:szCs w:val="28"/>
        </w:rPr>
        <w:t>月，</w:t>
      </w:r>
      <w:r>
        <w:rPr>
          <w:rFonts w:hint="eastAsia"/>
          <w:sz w:val="28"/>
          <w:szCs w:val="28"/>
        </w:rPr>
        <w:t>牵头单位围绕“领跑者”标准基本结构和编制原则，确定编制内容提纲，明确人员分工。2022年8月-10月双百跨越深入垃圾焚烧标杆厂围绕精细化运营管理评价指标进行现场预评价研究，并围绕指标选取及其分级的科学性、合理性、适用性进行充分讨论，2023年3月完成标准初稿。</w:t>
      </w:r>
    </w:p>
    <w:p>
      <w:pPr>
        <w:pStyle w:val="5"/>
        <w:spacing w:line="360" w:lineRule="auto"/>
        <w:rPr>
          <w:rFonts w:eastAsia="宋体"/>
          <w:lang w:val="en-US"/>
        </w:rPr>
      </w:pPr>
      <w:r>
        <w:rPr>
          <w:rFonts w:hint="eastAsia" w:eastAsia="宋体"/>
          <w:lang w:val="en-US"/>
        </w:rPr>
        <w:t>2.3行业专家研讨</w:t>
      </w:r>
    </w:p>
    <w:p>
      <w:pPr>
        <w:spacing w:line="360" w:lineRule="auto"/>
        <w:ind w:firstLine="560" w:firstLineChars="200"/>
        <w:rPr>
          <w:sz w:val="28"/>
          <w:szCs w:val="28"/>
        </w:rPr>
      </w:pPr>
      <w:r>
        <w:rPr>
          <w:rFonts w:hint="eastAsia"/>
          <w:sz w:val="28"/>
          <w:szCs w:val="28"/>
        </w:rPr>
        <w:t>2023年3月针对初稿召集行业专家和标准专家围绕“领跑者”标准初稿进行讨论，并基于讨论完善编制提纲和内容。</w:t>
      </w:r>
    </w:p>
    <w:p>
      <w:pPr>
        <w:pStyle w:val="4"/>
        <w:spacing w:line="360" w:lineRule="auto"/>
        <w:rPr>
          <w:rFonts w:ascii="Times New Roman" w:hAnsi="Times New Roman" w:eastAsia="宋体"/>
        </w:rPr>
      </w:pPr>
      <w:bookmarkStart w:id="0" w:name="_Toc43637981"/>
      <w:r>
        <w:rPr>
          <w:rFonts w:hint="eastAsia" w:ascii="Times New Roman" w:hAnsi="Times New Roman" w:eastAsia="宋体"/>
        </w:rPr>
        <w:fldChar w:fldCharType="begin"/>
      </w:r>
      <w:r>
        <w:rPr>
          <w:rFonts w:hint="eastAsia" w:ascii="Times New Roman" w:hAnsi="Times New Roman" w:eastAsia="宋体"/>
        </w:rPr>
        <w:instrText xml:space="preserve"> HYPERLINK \l "_Toc50238783" </w:instrText>
      </w:r>
      <w:r>
        <w:rPr>
          <w:rFonts w:hint="eastAsia" w:ascii="Times New Roman" w:hAnsi="Times New Roman" w:eastAsia="宋体"/>
        </w:rPr>
        <w:fldChar w:fldCharType="separate"/>
      </w:r>
      <w:r>
        <w:rPr>
          <w:rFonts w:hint="eastAsia" w:ascii="Times New Roman" w:hAnsi="Times New Roman" w:eastAsia="宋体"/>
        </w:rPr>
        <w:t>三、适用范围和拟解决问题</w:t>
      </w:r>
      <w:r>
        <w:rPr>
          <w:rFonts w:hint="eastAsia" w:ascii="Times New Roman" w:hAnsi="Times New Roman" w:eastAsia="宋体"/>
        </w:rPr>
        <w:fldChar w:fldCharType="end"/>
      </w:r>
    </w:p>
    <w:p>
      <w:pPr>
        <w:pStyle w:val="3"/>
        <w:keepNext w:val="0"/>
        <w:keepLines w:val="0"/>
        <w:kinsoku w:val="0"/>
        <w:overflowPunct w:val="0"/>
        <w:topLinePunct/>
        <w:adjustRightInd w:val="0"/>
        <w:snapToGrid w:val="0"/>
        <w:spacing w:before="0" w:after="0" w:line="360" w:lineRule="auto"/>
        <w:ind w:firstLine="560" w:firstLineChars="200"/>
        <w:rPr>
          <w:b w:val="0"/>
          <w:bCs w:val="0"/>
          <w:kern w:val="2"/>
          <w:sz w:val="28"/>
          <w:szCs w:val="28"/>
        </w:rPr>
      </w:pPr>
      <w:r>
        <w:rPr>
          <w:rFonts w:hint="eastAsia"/>
          <w:b w:val="0"/>
          <w:bCs w:val="0"/>
          <w:kern w:val="2"/>
          <w:sz w:val="28"/>
          <w:szCs w:val="28"/>
        </w:rPr>
        <w:t>本文件规定了城镇生活垃圾焚烧发电厂精细运营管理“排行榜”的评价要求、评价方法及等级划分。</w:t>
      </w:r>
    </w:p>
    <w:p>
      <w:pPr>
        <w:pStyle w:val="3"/>
        <w:keepNext w:val="0"/>
        <w:keepLines w:val="0"/>
        <w:kinsoku w:val="0"/>
        <w:overflowPunct w:val="0"/>
        <w:topLinePunct/>
        <w:adjustRightInd w:val="0"/>
        <w:snapToGrid w:val="0"/>
        <w:spacing w:before="0" w:after="0" w:line="360" w:lineRule="auto"/>
        <w:ind w:firstLine="560" w:firstLineChars="200"/>
        <w:rPr>
          <w:b w:val="0"/>
          <w:bCs w:val="0"/>
          <w:kern w:val="2"/>
          <w:sz w:val="28"/>
          <w:szCs w:val="28"/>
        </w:rPr>
      </w:pPr>
      <w:r>
        <w:rPr>
          <w:rFonts w:hint="eastAsia"/>
          <w:b w:val="0"/>
          <w:bCs w:val="0"/>
          <w:kern w:val="2"/>
          <w:sz w:val="28"/>
          <w:szCs w:val="28"/>
        </w:rPr>
        <w:t>本文件适用于应用炉排炉技术直接燃烧生活垃圾的发电项目或者热电联产项目精细运营管理质量及企业标准“排行榜”水平评价。相关机构在制定企业标准“排行榜”评估方案时可参照使用。企业在制定企业标准时可参照使用。</w:t>
      </w:r>
    </w:p>
    <w:p>
      <w:pPr>
        <w:pStyle w:val="4"/>
        <w:spacing w:line="360" w:lineRule="auto"/>
        <w:rPr>
          <w:rFonts w:ascii="Times New Roman" w:hAnsi="Times New Roman" w:eastAsia="宋体"/>
        </w:rPr>
      </w:pPr>
      <w:r>
        <w:rPr>
          <w:rFonts w:hint="eastAsia" w:ascii="Times New Roman" w:hAnsi="Times New Roman" w:eastAsia="宋体"/>
        </w:rPr>
        <w:t>三、标准制定原则</w:t>
      </w:r>
    </w:p>
    <w:p>
      <w:pPr>
        <w:adjustRightInd w:val="0"/>
        <w:snapToGrid w:val="0"/>
        <w:spacing w:line="360" w:lineRule="auto"/>
        <w:ind w:firstLine="560" w:firstLineChars="200"/>
        <w:rPr>
          <w:sz w:val="28"/>
          <w:szCs w:val="28"/>
        </w:rPr>
      </w:pPr>
      <w:r>
        <w:rPr>
          <w:rFonts w:hint="eastAsia"/>
          <w:sz w:val="28"/>
          <w:szCs w:val="28"/>
        </w:rPr>
        <w:t>本文件的制定依据以下原则：</w:t>
      </w:r>
    </w:p>
    <w:p>
      <w:pPr>
        <w:adjustRightInd w:val="0"/>
        <w:snapToGrid w:val="0"/>
        <w:spacing w:line="360" w:lineRule="auto"/>
        <w:ind w:firstLine="560" w:firstLineChars="200"/>
        <w:rPr>
          <w:sz w:val="28"/>
          <w:szCs w:val="28"/>
        </w:rPr>
      </w:pPr>
      <w:r>
        <w:rPr>
          <w:rFonts w:hint="eastAsia"/>
          <w:sz w:val="28"/>
          <w:szCs w:val="28"/>
        </w:rPr>
        <w:t>1.适用性原则</w:t>
      </w:r>
    </w:p>
    <w:p>
      <w:pPr>
        <w:adjustRightInd w:val="0"/>
        <w:snapToGrid w:val="0"/>
        <w:spacing w:line="360" w:lineRule="auto"/>
        <w:ind w:firstLine="560" w:firstLineChars="200"/>
        <w:rPr>
          <w:sz w:val="28"/>
          <w:szCs w:val="28"/>
        </w:rPr>
      </w:pPr>
      <w:r>
        <w:rPr>
          <w:rFonts w:hint="eastAsia"/>
          <w:sz w:val="28"/>
          <w:szCs w:val="28"/>
        </w:rPr>
        <w:t>本文件的编制充分考虑与我国现行法律法规和技术标准相符合，重点考虑可操作性，便于标准的实施。</w:t>
      </w:r>
    </w:p>
    <w:p>
      <w:pPr>
        <w:adjustRightInd w:val="0"/>
        <w:snapToGrid w:val="0"/>
        <w:spacing w:line="360" w:lineRule="auto"/>
        <w:ind w:firstLine="560" w:firstLineChars="200"/>
        <w:rPr>
          <w:sz w:val="28"/>
          <w:szCs w:val="28"/>
        </w:rPr>
      </w:pPr>
      <w:r>
        <w:rPr>
          <w:rFonts w:hint="eastAsia"/>
          <w:sz w:val="28"/>
          <w:szCs w:val="28"/>
        </w:rPr>
        <w:t>2.规范性原则</w:t>
      </w:r>
    </w:p>
    <w:p>
      <w:pPr>
        <w:adjustRightInd w:val="0"/>
        <w:snapToGrid w:val="0"/>
        <w:spacing w:line="360" w:lineRule="auto"/>
        <w:ind w:firstLine="560" w:firstLineChars="200"/>
        <w:rPr>
          <w:sz w:val="28"/>
          <w:szCs w:val="28"/>
        </w:rPr>
      </w:pPr>
      <w:r>
        <w:rPr>
          <w:rFonts w:hint="eastAsia"/>
          <w:sz w:val="28"/>
          <w:szCs w:val="28"/>
        </w:rPr>
        <w:t>本文件根据《中华人民共和国标准法》、GB/T 1.1—2020《标准化工作导则  第1部分：标准化文件的结构和起草规则》、T/CAQP 015—2020、 T/ESF 0001—2020《“领跑者”标准编制通则》进行编制。</w:t>
      </w:r>
    </w:p>
    <w:p>
      <w:pPr>
        <w:adjustRightInd w:val="0"/>
        <w:snapToGrid w:val="0"/>
        <w:spacing w:line="360" w:lineRule="auto"/>
        <w:ind w:firstLine="560" w:firstLineChars="200"/>
        <w:rPr>
          <w:sz w:val="28"/>
          <w:szCs w:val="28"/>
        </w:rPr>
      </w:pPr>
      <w:r>
        <w:rPr>
          <w:rFonts w:hint="eastAsia"/>
          <w:sz w:val="28"/>
          <w:szCs w:val="28"/>
        </w:rPr>
        <w:t>本文件编制所参考的依据为国家有关法律法规以及强制性标准要求、国家及行业服务标准、国内或国际先进服务标准等。</w:t>
      </w:r>
    </w:p>
    <w:p>
      <w:pPr>
        <w:adjustRightInd w:val="0"/>
        <w:snapToGrid w:val="0"/>
        <w:spacing w:line="360" w:lineRule="auto"/>
        <w:ind w:firstLine="560" w:firstLineChars="200"/>
        <w:rPr>
          <w:sz w:val="28"/>
          <w:szCs w:val="28"/>
        </w:rPr>
      </w:pPr>
      <w:r>
        <w:rPr>
          <w:rFonts w:hint="eastAsia"/>
          <w:sz w:val="28"/>
          <w:szCs w:val="28"/>
        </w:rPr>
        <w:t>3.先进性原则</w:t>
      </w:r>
    </w:p>
    <w:p>
      <w:pPr>
        <w:adjustRightInd w:val="0"/>
        <w:snapToGrid w:val="0"/>
        <w:spacing w:line="360" w:lineRule="auto"/>
        <w:ind w:firstLine="560" w:firstLineChars="200"/>
        <w:rPr>
          <w:sz w:val="28"/>
          <w:szCs w:val="28"/>
        </w:rPr>
      </w:pPr>
      <w:r>
        <w:rPr>
          <w:rFonts w:hint="eastAsia"/>
          <w:sz w:val="28"/>
          <w:szCs w:val="28"/>
        </w:rPr>
        <w:t>本文件编制的过程中，充分调研行业现状，确定了评价体系和关键指标参数，关键技术指标与国内标杆企业进行对比，达到并部分超越标杆企业水平。</w:t>
      </w:r>
    </w:p>
    <w:p>
      <w:pPr>
        <w:pStyle w:val="4"/>
        <w:spacing w:line="360" w:lineRule="auto"/>
        <w:rPr>
          <w:rFonts w:ascii="Times New Roman" w:hAnsi="Times New Roman" w:eastAsia="宋体"/>
        </w:rPr>
      </w:pPr>
      <w:r>
        <w:rPr>
          <w:rFonts w:hint="eastAsia" w:ascii="Times New Roman" w:hAnsi="Times New Roman" w:eastAsia="宋体"/>
        </w:rPr>
        <w:t>四、主要内容</w:t>
      </w:r>
      <w:bookmarkEnd w:id="0"/>
    </w:p>
    <w:p>
      <w:pPr>
        <w:pStyle w:val="5"/>
        <w:rPr>
          <w:rFonts w:eastAsia="宋体"/>
        </w:rPr>
      </w:pPr>
      <w:bookmarkStart w:id="1" w:name="_Toc425779252"/>
      <w:bookmarkStart w:id="2" w:name="_Toc43637987"/>
      <w:r>
        <w:rPr>
          <w:rFonts w:hint="eastAsia" w:eastAsia="宋体"/>
          <w:lang w:val="en-US"/>
        </w:rPr>
        <w:t>4.1</w:t>
      </w:r>
      <w:r>
        <w:rPr>
          <w:rFonts w:eastAsia="宋体"/>
        </w:rPr>
        <w:t xml:space="preserve"> 规范性引用文件</w:t>
      </w:r>
      <w:bookmarkEnd w:id="1"/>
      <w:bookmarkEnd w:id="2"/>
    </w:p>
    <w:p>
      <w:pPr>
        <w:pStyle w:val="22"/>
        <w:tabs>
          <w:tab w:val="left" w:pos="2268"/>
        </w:tabs>
        <w:spacing w:line="360" w:lineRule="auto"/>
        <w:ind w:firstLine="562"/>
        <w:rPr>
          <w:b/>
          <w:bCs/>
          <w:color w:val="000000"/>
          <w:kern w:val="0"/>
          <w:sz w:val="28"/>
          <w:szCs w:val="28"/>
        </w:rPr>
      </w:pPr>
      <w:r>
        <w:rPr>
          <w:rFonts w:hint="eastAsia" w:ascii="Times New Roman"/>
          <w:color w:val="000000"/>
          <w:kern w:val="0"/>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 w:name="_Toc425779253"/>
      <w:bookmarkStart w:id="4" w:name="_Toc43637988"/>
    </w:p>
    <w:p>
      <w:pPr>
        <w:pStyle w:val="22"/>
        <w:tabs>
          <w:tab w:val="left" w:pos="2268"/>
        </w:tabs>
        <w:spacing w:line="360" w:lineRule="auto"/>
        <w:ind w:firstLine="560"/>
        <w:rPr>
          <w:b/>
          <w:bCs/>
          <w:color w:val="000000"/>
          <w:kern w:val="0"/>
          <w:sz w:val="28"/>
          <w:szCs w:val="28"/>
        </w:rPr>
      </w:pPr>
      <w:r>
        <w:rPr>
          <w:b w:val="0"/>
          <w:bCs w:val="0"/>
          <w:color w:val="000000"/>
          <w:kern w:val="0"/>
          <w:sz w:val="28"/>
          <w:szCs w:val="28"/>
        </w:rPr>
        <w:t>GB 16889</w:t>
      </w:r>
      <w:r>
        <w:rPr>
          <w:rFonts w:hint="eastAsia"/>
          <w:color w:val="000000"/>
          <w:kern w:val="0"/>
          <w:sz w:val="28"/>
          <w:szCs w:val="28"/>
        </w:rPr>
        <w:t xml:space="preserve">  </w:t>
      </w:r>
      <w:r>
        <w:rPr>
          <w:rFonts w:hint="eastAsia"/>
          <w:b w:val="0"/>
          <w:bCs w:val="0"/>
          <w:color w:val="000000"/>
          <w:kern w:val="0"/>
          <w:sz w:val="28"/>
          <w:szCs w:val="28"/>
        </w:rPr>
        <w:t>生活垃圾填埋场污染控制标准</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GB 18485</w:t>
      </w:r>
      <w:r>
        <w:rPr>
          <w:rFonts w:hint="eastAsia"/>
          <w:color w:val="000000"/>
          <w:kern w:val="0"/>
          <w:sz w:val="28"/>
          <w:szCs w:val="28"/>
        </w:rPr>
        <w:t xml:space="preserve">  </w:t>
      </w:r>
      <w:r>
        <w:rPr>
          <w:rFonts w:hint="eastAsia"/>
          <w:b w:val="0"/>
          <w:bCs w:val="0"/>
          <w:color w:val="000000"/>
          <w:kern w:val="0"/>
          <w:sz w:val="28"/>
          <w:szCs w:val="28"/>
        </w:rPr>
        <w:t>生活垃圾焚烧污染控制标准</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 xml:space="preserve">GB/T1842  </w:t>
      </w:r>
      <w:r>
        <w:rPr>
          <w:rFonts w:hint="eastAsia"/>
          <w:b w:val="0"/>
          <w:bCs w:val="0"/>
          <w:color w:val="000000"/>
          <w:kern w:val="0"/>
          <w:sz w:val="28"/>
          <w:szCs w:val="28"/>
        </w:rPr>
        <w:t>垃圾发电厂运行指标评价规范</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 xml:space="preserve">GB/T 18750  </w:t>
      </w:r>
      <w:r>
        <w:rPr>
          <w:rFonts w:hint="eastAsia"/>
          <w:b w:val="0"/>
          <w:bCs w:val="0"/>
          <w:color w:val="000000"/>
          <w:kern w:val="0"/>
          <w:sz w:val="28"/>
          <w:szCs w:val="28"/>
        </w:rPr>
        <w:t>生活垃圾焚烧炉及余热锅炉</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 xml:space="preserve">GB/T 19001  </w:t>
      </w:r>
      <w:r>
        <w:rPr>
          <w:rFonts w:hint="eastAsia"/>
          <w:b w:val="0"/>
          <w:bCs w:val="0"/>
          <w:color w:val="000000"/>
          <w:kern w:val="0"/>
          <w:sz w:val="28"/>
          <w:szCs w:val="28"/>
        </w:rPr>
        <w:t>质量管理体系</w:t>
      </w:r>
      <w:r>
        <w:rPr>
          <w:b w:val="0"/>
          <w:bCs w:val="0"/>
          <w:color w:val="000000"/>
          <w:kern w:val="0"/>
          <w:sz w:val="28"/>
          <w:szCs w:val="28"/>
        </w:rPr>
        <w:t xml:space="preserve"> </w:t>
      </w:r>
      <w:r>
        <w:rPr>
          <w:rFonts w:hint="eastAsia"/>
          <w:b w:val="0"/>
          <w:bCs w:val="0"/>
          <w:color w:val="000000"/>
          <w:kern w:val="0"/>
          <w:sz w:val="28"/>
          <w:szCs w:val="28"/>
        </w:rPr>
        <w:t>要求</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 xml:space="preserve">GB/T 24001  </w:t>
      </w:r>
      <w:r>
        <w:rPr>
          <w:rFonts w:hint="eastAsia"/>
          <w:b w:val="0"/>
          <w:bCs w:val="0"/>
          <w:color w:val="000000"/>
          <w:kern w:val="0"/>
          <w:sz w:val="28"/>
          <w:szCs w:val="28"/>
        </w:rPr>
        <w:t>环境管理体系</w:t>
      </w:r>
      <w:r>
        <w:rPr>
          <w:b w:val="0"/>
          <w:bCs w:val="0"/>
          <w:color w:val="000000"/>
          <w:kern w:val="0"/>
          <w:sz w:val="28"/>
          <w:szCs w:val="28"/>
        </w:rPr>
        <w:t xml:space="preserve"> </w:t>
      </w:r>
      <w:r>
        <w:rPr>
          <w:rFonts w:hint="eastAsia"/>
          <w:b w:val="0"/>
          <w:bCs w:val="0"/>
          <w:color w:val="000000"/>
          <w:kern w:val="0"/>
          <w:sz w:val="28"/>
          <w:szCs w:val="28"/>
        </w:rPr>
        <w:t>要求及使用指南</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GB/T 45001</w:t>
      </w:r>
      <w:r>
        <w:rPr>
          <w:b w:val="0"/>
          <w:bCs w:val="0"/>
          <w:color w:val="000000"/>
          <w:kern w:val="0"/>
          <w:sz w:val="28"/>
          <w:szCs w:val="28"/>
        </w:rPr>
        <w:tab/>
      </w:r>
      <w:r>
        <w:rPr>
          <w:rFonts w:hint="eastAsia"/>
          <w:b w:val="0"/>
          <w:bCs w:val="0"/>
          <w:color w:val="000000"/>
          <w:kern w:val="0"/>
          <w:sz w:val="28"/>
          <w:szCs w:val="28"/>
        </w:rPr>
        <w:t>职业健康安全管理体系</w:t>
      </w:r>
      <w:r>
        <w:rPr>
          <w:b w:val="0"/>
          <w:bCs w:val="0"/>
          <w:color w:val="000000"/>
          <w:kern w:val="0"/>
          <w:sz w:val="28"/>
          <w:szCs w:val="28"/>
        </w:rPr>
        <w:t xml:space="preserve"> </w:t>
      </w:r>
      <w:r>
        <w:rPr>
          <w:rFonts w:hint="eastAsia"/>
          <w:b w:val="0"/>
          <w:bCs w:val="0"/>
          <w:color w:val="000000"/>
          <w:kern w:val="0"/>
          <w:sz w:val="28"/>
          <w:szCs w:val="28"/>
        </w:rPr>
        <w:t>要求及使用指南</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DL/T1937</w:t>
      </w:r>
      <w:r>
        <w:rPr>
          <w:rFonts w:hint="eastAsia"/>
          <w:color w:val="000000"/>
          <w:kern w:val="0"/>
          <w:sz w:val="28"/>
          <w:szCs w:val="28"/>
        </w:rPr>
        <w:t xml:space="preserve">  </w:t>
      </w:r>
      <w:r>
        <w:rPr>
          <w:rFonts w:hint="eastAsia"/>
          <w:b w:val="0"/>
          <w:bCs w:val="0"/>
          <w:color w:val="000000"/>
          <w:kern w:val="0"/>
          <w:sz w:val="28"/>
          <w:szCs w:val="28"/>
        </w:rPr>
        <w:t>垃圾焚烧发电厂监控系统技术规范</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DL/T201</w:t>
      </w:r>
      <w:r>
        <w:rPr>
          <w:rFonts w:hint="eastAsia"/>
          <w:color w:val="000000"/>
          <w:kern w:val="0"/>
          <w:sz w:val="28"/>
          <w:szCs w:val="28"/>
        </w:rPr>
        <w:t xml:space="preserve">  </w:t>
      </w:r>
      <w:r>
        <w:rPr>
          <w:rFonts w:hint="eastAsia"/>
          <w:b w:val="0"/>
          <w:bCs w:val="0"/>
          <w:color w:val="000000"/>
          <w:kern w:val="0"/>
          <w:sz w:val="28"/>
          <w:szCs w:val="28"/>
        </w:rPr>
        <w:t>生活垃圾焚烧发电厂启动试运及验收规程</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 xml:space="preserve">CJJ 90  </w:t>
      </w:r>
      <w:r>
        <w:rPr>
          <w:rFonts w:hint="eastAsia"/>
          <w:b w:val="0"/>
          <w:bCs w:val="0"/>
          <w:color w:val="000000"/>
          <w:kern w:val="0"/>
          <w:sz w:val="28"/>
          <w:szCs w:val="28"/>
        </w:rPr>
        <w:t>生活垃圾焚烧处理工程技术规范</w:t>
      </w:r>
    </w:p>
    <w:p>
      <w:pPr>
        <w:pStyle w:val="22"/>
        <w:tabs>
          <w:tab w:val="left" w:pos="2268"/>
        </w:tabs>
        <w:spacing w:line="360" w:lineRule="auto"/>
        <w:ind w:firstLine="560"/>
        <w:rPr>
          <w:b/>
          <w:bCs/>
          <w:color w:val="000000"/>
          <w:kern w:val="0"/>
          <w:sz w:val="28"/>
          <w:szCs w:val="28"/>
        </w:rPr>
      </w:pPr>
      <w:r>
        <w:rPr>
          <w:rFonts w:hint="eastAsia"/>
          <w:color w:val="000000"/>
          <w:kern w:val="0"/>
          <w:sz w:val="28"/>
          <w:szCs w:val="28"/>
        </w:rPr>
        <w:t>CJJ 128  生活垃圾焚烧厂运行维护与安全技术标准</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CJJ/T212</w:t>
      </w:r>
      <w:r>
        <w:rPr>
          <w:rFonts w:hint="eastAsia"/>
          <w:color w:val="000000"/>
          <w:kern w:val="0"/>
          <w:sz w:val="28"/>
          <w:szCs w:val="28"/>
        </w:rPr>
        <w:t xml:space="preserve">  </w:t>
      </w:r>
      <w:r>
        <w:rPr>
          <w:rFonts w:hint="eastAsia"/>
          <w:b w:val="0"/>
          <w:bCs w:val="0"/>
          <w:color w:val="000000"/>
          <w:kern w:val="0"/>
          <w:sz w:val="28"/>
          <w:szCs w:val="28"/>
        </w:rPr>
        <w:t>生活垃圾焚烧厂运行监管标准</w:t>
      </w:r>
    </w:p>
    <w:p>
      <w:pPr>
        <w:pStyle w:val="22"/>
        <w:tabs>
          <w:tab w:val="left" w:pos="2268"/>
        </w:tabs>
        <w:spacing w:line="360" w:lineRule="auto"/>
        <w:ind w:firstLine="560"/>
        <w:rPr>
          <w:b/>
          <w:bCs/>
          <w:color w:val="000000"/>
          <w:kern w:val="0"/>
          <w:sz w:val="28"/>
          <w:szCs w:val="28"/>
        </w:rPr>
      </w:pPr>
      <w:r>
        <w:rPr>
          <w:b w:val="0"/>
          <w:bCs w:val="0"/>
          <w:color w:val="000000"/>
          <w:kern w:val="0"/>
          <w:sz w:val="28"/>
          <w:szCs w:val="28"/>
        </w:rPr>
        <w:t>CJJ/T 137</w:t>
      </w:r>
      <w:r>
        <w:rPr>
          <w:rFonts w:hint="eastAsia"/>
          <w:color w:val="000000"/>
          <w:kern w:val="0"/>
          <w:sz w:val="28"/>
          <w:szCs w:val="28"/>
        </w:rPr>
        <w:t xml:space="preserve">  </w:t>
      </w:r>
      <w:r>
        <w:rPr>
          <w:rFonts w:hint="eastAsia"/>
          <w:b w:val="0"/>
          <w:bCs w:val="0"/>
          <w:color w:val="000000"/>
          <w:kern w:val="0"/>
          <w:sz w:val="28"/>
          <w:szCs w:val="28"/>
        </w:rPr>
        <w:t>生活垃圾焚烧厂评价标准</w:t>
      </w:r>
    </w:p>
    <w:p>
      <w:pPr>
        <w:pStyle w:val="22"/>
        <w:tabs>
          <w:tab w:val="left" w:pos="2268"/>
        </w:tabs>
        <w:spacing w:line="360" w:lineRule="auto"/>
        <w:ind w:firstLine="560"/>
        <w:rPr>
          <w:rFonts w:eastAsia="宋体"/>
          <w:color w:val="000000"/>
          <w:kern w:val="0"/>
          <w:sz w:val="28"/>
          <w:szCs w:val="28"/>
          <w:lang w:val="en-US"/>
        </w:rPr>
      </w:pPr>
      <w:r>
        <w:rPr>
          <w:b w:val="0"/>
          <w:bCs w:val="0"/>
          <w:color w:val="000000"/>
          <w:kern w:val="0"/>
          <w:sz w:val="28"/>
          <w:szCs w:val="28"/>
        </w:rPr>
        <w:t>HJ 11340</w:t>
      </w:r>
      <w:r>
        <w:rPr>
          <w:rFonts w:hint="eastAsia"/>
          <w:color w:val="000000"/>
          <w:kern w:val="0"/>
          <w:sz w:val="28"/>
          <w:szCs w:val="28"/>
        </w:rPr>
        <w:t xml:space="preserve">  </w:t>
      </w:r>
      <w:r>
        <w:rPr>
          <w:rFonts w:hint="eastAsia"/>
          <w:b w:val="0"/>
          <w:bCs w:val="0"/>
          <w:color w:val="000000"/>
          <w:kern w:val="0"/>
          <w:sz w:val="28"/>
          <w:szCs w:val="28"/>
        </w:rPr>
        <w:t>生活垃圾焚烧飞灰污染控制技术规范（试行）</w:t>
      </w:r>
    </w:p>
    <w:p>
      <w:pPr>
        <w:pStyle w:val="5"/>
        <w:spacing w:line="360" w:lineRule="auto"/>
        <w:rPr>
          <w:rFonts w:eastAsia="宋体"/>
          <w:lang w:val="en-US"/>
        </w:rPr>
      </w:pPr>
      <w:r>
        <w:rPr>
          <w:rFonts w:hint="eastAsia" w:eastAsia="宋体"/>
          <w:lang w:val="en-US"/>
        </w:rPr>
        <w:t>4.2</w:t>
      </w:r>
      <w:r>
        <w:rPr>
          <w:rFonts w:eastAsia="宋体"/>
          <w:lang w:val="en-US"/>
        </w:rPr>
        <w:t xml:space="preserve"> </w:t>
      </w:r>
      <w:r>
        <w:rPr>
          <w:rFonts w:eastAsia="宋体"/>
        </w:rPr>
        <w:t>术语和定义</w:t>
      </w:r>
      <w:bookmarkEnd w:id="3"/>
      <w:bookmarkEnd w:id="4"/>
    </w:p>
    <w:p>
      <w:pPr>
        <w:pStyle w:val="29"/>
        <w:spacing w:line="360" w:lineRule="auto"/>
        <w:ind w:firstLine="560"/>
        <w:rPr>
          <w:rFonts w:ascii="Times New Roman"/>
          <w:sz w:val="28"/>
          <w:szCs w:val="28"/>
        </w:rPr>
      </w:pPr>
      <w:r>
        <w:rPr>
          <w:rFonts w:hint="eastAsia" w:ascii="Times New Roman"/>
          <w:sz w:val="28"/>
          <w:szCs w:val="28"/>
        </w:rPr>
        <w:t>GB18485、DL/T1842界定的术语和定义适用于本文件</w:t>
      </w:r>
      <w:r>
        <w:rPr>
          <w:rFonts w:ascii="Times New Roman"/>
          <w:sz w:val="28"/>
          <w:szCs w:val="28"/>
        </w:rPr>
        <w:t>。</w:t>
      </w:r>
    </w:p>
    <w:p>
      <w:pPr>
        <w:pStyle w:val="5"/>
        <w:spacing w:line="360" w:lineRule="auto"/>
        <w:rPr>
          <w:rFonts w:eastAsia="宋体"/>
        </w:rPr>
      </w:pPr>
      <w:r>
        <w:rPr>
          <w:rFonts w:hint="eastAsia" w:eastAsia="宋体"/>
          <w:lang w:val="en-US"/>
        </w:rPr>
        <w:t>4</w:t>
      </w:r>
      <w:r>
        <w:rPr>
          <w:rFonts w:eastAsia="宋体"/>
        </w:rPr>
        <w:t>.</w:t>
      </w:r>
      <w:r>
        <w:rPr>
          <w:rFonts w:hint="eastAsia" w:eastAsia="宋体"/>
          <w:lang w:val="en-US"/>
        </w:rPr>
        <w:t>3</w:t>
      </w:r>
      <w:r>
        <w:rPr>
          <w:rFonts w:eastAsia="宋体"/>
        </w:rPr>
        <w:t xml:space="preserve"> 评价</w:t>
      </w:r>
      <w:r>
        <w:rPr>
          <w:rFonts w:hint="eastAsia" w:eastAsia="宋体"/>
          <w:lang w:val="en-US"/>
        </w:rPr>
        <w:t>要求</w:t>
      </w:r>
    </w:p>
    <w:p>
      <w:pPr>
        <w:pStyle w:val="6"/>
        <w:spacing w:line="360" w:lineRule="auto"/>
        <w:rPr>
          <w:rFonts w:ascii="Times New Roman" w:hAnsi="Times New Roman" w:eastAsia="宋体"/>
        </w:rPr>
      </w:pPr>
      <w:r>
        <w:rPr>
          <w:rFonts w:hint="eastAsia" w:ascii="Times New Roman" w:hAnsi="Times New Roman" w:eastAsia="宋体"/>
        </w:rPr>
        <w:t>4.3</w:t>
      </w:r>
      <w:r>
        <w:rPr>
          <w:rFonts w:ascii="Times New Roman" w:hAnsi="Times New Roman" w:eastAsia="宋体"/>
        </w:rPr>
        <w:t>.1 基本要求</w:t>
      </w:r>
    </w:p>
    <w:p>
      <w:pPr>
        <w:spacing w:line="360" w:lineRule="auto"/>
        <w:ind w:firstLine="638" w:firstLineChars="228"/>
        <w:rPr>
          <w:rFonts w:ascii="Times New Roman" w:hAnsi="Times New Roman"/>
          <w:kern w:val="0"/>
          <w:sz w:val="28"/>
          <w:szCs w:val="28"/>
        </w:rPr>
      </w:pPr>
      <w:r>
        <w:rPr>
          <w:rFonts w:hint="eastAsia" w:ascii="Times New Roman" w:hAnsi="Times New Roman"/>
          <w:kern w:val="0"/>
          <w:sz w:val="28"/>
          <w:szCs w:val="28"/>
        </w:rPr>
        <w:t>1）近三年，城镇生活垃圾焚烧发电厂无较大及以上环境、安全、质量事故。</w:t>
      </w:r>
    </w:p>
    <w:p>
      <w:pPr>
        <w:spacing w:line="360" w:lineRule="auto"/>
        <w:ind w:firstLine="638" w:firstLineChars="228"/>
        <w:rPr>
          <w:rFonts w:ascii="Times New Roman" w:hAnsi="Times New Roman"/>
          <w:kern w:val="0"/>
          <w:sz w:val="28"/>
          <w:szCs w:val="28"/>
        </w:rPr>
      </w:pPr>
      <w:r>
        <w:rPr>
          <w:rFonts w:hint="eastAsia" w:ascii="Times New Roman" w:hAnsi="Times New Roman"/>
          <w:kern w:val="0"/>
          <w:sz w:val="28"/>
          <w:szCs w:val="28"/>
        </w:rPr>
        <w:t>2）城镇生活垃圾焚烧发电厂应未列入国家信用信息严重失信主体相关名录。</w:t>
      </w:r>
    </w:p>
    <w:p>
      <w:pPr>
        <w:spacing w:line="360" w:lineRule="auto"/>
        <w:ind w:firstLine="638" w:firstLineChars="228"/>
        <w:rPr>
          <w:rFonts w:ascii="Times New Roman" w:hAnsi="Times New Roman"/>
          <w:kern w:val="0"/>
          <w:sz w:val="28"/>
          <w:szCs w:val="28"/>
        </w:rPr>
      </w:pPr>
      <w:r>
        <w:rPr>
          <w:rFonts w:hint="eastAsia" w:ascii="Times New Roman" w:hAnsi="Times New Roman"/>
          <w:kern w:val="0"/>
          <w:sz w:val="28"/>
          <w:szCs w:val="28"/>
        </w:rPr>
        <w:t>3）城镇生活垃圾焚烧发电厂应根据GB/T 19001、GB/T 24001、GB/T 45001建立并运行相应质量、环境和职业健康安全，鼓励企业根据自身运营情况建立更高水平的相关管理体系。</w:t>
      </w:r>
    </w:p>
    <w:p>
      <w:pPr>
        <w:spacing w:line="360" w:lineRule="auto"/>
        <w:ind w:firstLine="638" w:firstLineChars="228"/>
        <w:rPr>
          <w:rFonts w:ascii="Times New Roman" w:hAnsi="Times New Roman"/>
          <w:kern w:val="0"/>
          <w:sz w:val="28"/>
          <w:szCs w:val="28"/>
        </w:rPr>
      </w:pPr>
      <w:r>
        <w:rPr>
          <w:rFonts w:hint="eastAsia" w:ascii="Times New Roman" w:hAnsi="Times New Roman"/>
          <w:kern w:val="0"/>
          <w:sz w:val="28"/>
          <w:szCs w:val="28"/>
        </w:rPr>
        <w:t>4）城镇生活垃圾焚烧发电厂精细运营管理已实现制度化、程序化、标准化和数字化，选址要求、技术要求、入炉废物要求、运行要求、排放控制要求、监测要求应满足GB 16889、GB 18485、DL/T 1937、DL/T 2013、GB/T 1842、CJJ/T 212、GB/T 18750、CJJ 128、CJJ/T 137、CJJ 90、HJ 11340的规定要求。</w:t>
      </w:r>
    </w:p>
    <w:p>
      <w:pPr>
        <w:spacing w:line="360" w:lineRule="auto"/>
        <w:ind w:firstLine="638" w:firstLineChars="228"/>
        <w:rPr>
          <w:rFonts w:ascii="Times New Roman" w:hAnsi="Times New Roman"/>
          <w:kern w:val="0"/>
          <w:sz w:val="28"/>
          <w:szCs w:val="28"/>
        </w:rPr>
      </w:pPr>
      <w:r>
        <w:rPr>
          <w:rFonts w:hint="eastAsia" w:ascii="Times New Roman" w:hAnsi="Times New Roman"/>
          <w:kern w:val="0"/>
          <w:sz w:val="28"/>
          <w:szCs w:val="28"/>
        </w:rPr>
        <w:t>5）城镇生活垃圾焚烧发电厂商业运行一年及以上，设计规模达到500t/d及以上。</w:t>
      </w:r>
    </w:p>
    <w:p>
      <w:pPr>
        <w:pStyle w:val="2"/>
        <w:spacing w:line="360" w:lineRule="auto"/>
        <w:rPr>
          <w:rFonts w:ascii="Times New Roman" w:hAnsi="Times New Roman"/>
          <w:b/>
          <w:bCs/>
          <w:sz w:val="28"/>
          <w:szCs w:val="28"/>
        </w:rPr>
      </w:pPr>
      <w:r>
        <w:rPr>
          <w:rFonts w:hint="eastAsia" w:ascii="Times New Roman" w:hAnsi="Times New Roman"/>
          <w:b/>
          <w:bCs/>
          <w:sz w:val="28"/>
          <w:szCs w:val="28"/>
        </w:rPr>
        <w:t>4.3</w:t>
      </w:r>
      <w:r>
        <w:rPr>
          <w:rFonts w:ascii="Times New Roman" w:hAnsi="Times New Roman"/>
          <w:b/>
          <w:bCs/>
          <w:sz w:val="28"/>
          <w:szCs w:val="28"/>
        </w:rPr>
        <w:t>.</w:t>
      </w:r>
      <w:r>
        <w:rPr>
          <w:rFonts w:hint="eastAsia" w:ascii="Times New Roman" w:hAnsi="Times New Roman"/>
          <w:b/>
          <w:bCs/>
          <w:sz w:val="28"/>
          <w:szCs w:val="28"/>
        </w:rPr>
        <w:t>2</w:t>
      </w:r>
      <w:r>
        <w:rPr>
          <w:rFonts w:ascii="Times New Roman" w:hAnsi="Times New Roman"/>
          <w:b/>
          <w:bCs/>
          <w:sz w:val="28"/>
          <w:szCs w:val="28"/>
        </w:rPr>
        <w:t xml:space="preserve"> </w:t>
      </w:r>
      <w:r>
        <w:rPr>
          <w:rFonts w:hint="eastAsia" w:ascii="Times New Roman" w:hAnsi="Times New Roman"/>
          <w:b/>
          <w:bCs/>
          <w:sz w:val="28"/>
          <w:szCs w:val="28"/>
        </w:rPr>
        <w:t>评价指标体系及要求</w:t>
      </w:r>
    </w:p>
    <w:p>
      <w:pPr>
        <w:pStyle w:val="38"/>
        <w:numPr>
          <w:ilvl w:val="0"/>
          <w:numId w:val="0"/>
        </w:numPr>
        <w:spacing w:line="360" w:lineRule="auto"/>
        <w:ind w:firstLine="560" w:firstLineChars="200"/>
        <w:rPr>
          <w:rFonts w:ascii="Times New Roman" w:hAnsi="Times New Roman"/>
          <w:color w:val="auto"/>
          <w:sz w:val="28"/>
          <w:szCs w:val="28"/>
        </w:rPr>
      </w:pPr>
      <w:r>
        <w:rPr>
          <w:rFonts w:hint="eastAsia" w:ascii="Times New Roman" w:hAnsi="Times New Roman"/>
          <w:color w:val="auto"/>
          <w:sz w:val="28"/>
          <w:szCs w:val="28"/>
        </w:rPr>
        <w:t>城镇生活垃圾焚烧发电厂精细运营</w:t>
      </w:r>
      <w:r>
        <w:rPr>
          <w:rFonts w:hint="eastAsia" w:ascii="Times New Roman" w:hAnsi="Times New Roman"/>
          <w:sz w:val="28"/>
          <w:szCs w:val="28"/>
        </w:rPr>
        <w:t>管理</w:t>
      </w:r>
      <w:r>
        <w:rPr>
          <w:rFonts w:hint="eastAsia" w:ascii="Times New Roman" w:hAnsi="Times New Roman"/>
          <w:color w:val="auto"/>
          <w:sz w:val="28"/>
          <w:szCs w:val="28"/>
        </w:rPr>
        <w:t>“排行榜”评价要求包括生产运行管理、设备检修管理、信息化管理体系、安全环保和文明生产管理精细化，具体指标体系见表1。</w:t>
      </w:r>
    </w:p>
    <w:p>
      <w:pPr>
        <w:pStyle w:val="30"/>
        <w:numPr>
          <w:ilvl w:val="0"/>
          <w:numId w:val="0"/>
        </w:numPr>
        <w:spacing w:before="156" w:after="156" w:line="360" w:lineRule="auto"/>
      </w:pPr>
      <w:r>
        <w:rPr>
          <w:rFonts w:hint="eastAsia"/>
        </w:rPr>
        <w:t>表1 城镇生活垃圾焚烧发电厂精细运营管理评价指标体系</w:t>
      </w:r>
    </w:p>
    <w:tbl>
      <w:tblPr>
        <w:tblStyle w:val="15"/>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743"/>
        <w:gridCol w:w="1082"/>
        <w:gridCol w:w="1246"/>
        <w:gridCol w:w="1163"/>
        <w:gridCol w:w="122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序号</w:t>
            </w:r>
          </w:p>
        </w:tc>
        <w:tc>
          <w:tcPr>
            <w:tcW w:w="10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评价指标</w:t>
            </w:r>
          </w:p>
        </w:tc>
        <w:tc>
          <w:tcPr>
            <w:tcW w:w="6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指标来源</w:t>
            </w:r>
          </w:p>
        </w:tc>
        <w:tc>
          <w:tcPr>
            <w:tcW w:w="210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指标要求</w:t>
            </w:r>
          </w:p>
        </w:tc>
        <w:tc>
          <w:tcPr>
            <w:tcW w:w="9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rPr>
            </w:pPr>
            <w:r>
              <w:rPr>
                <w:rFonts w:hint="eastAsia" w:ascii="Times New Roman" w:hAnsi="Times New Roman" w:cs="宋体"/>
                <w:b/>
                <w:bCs/>
                <w:kern w:val="0"/>
                <w:szCs w:val="21"/>
              </w:rPr>
              <w:t>判定依据</w:t>
            </w:r>
            <w:r>
              <w:rPr>
                <w:rFonts w:ascii="Times New Roman" w:hAnsi="Times New Roman"/>
                <w:b/>
                <w:bCs/>
                <w:kern w:val="0"/>
                <w:szCs w:val="21"/>
              </w:rPr>
              <w:t>/</w:t>
            </w:r>
            <w:r>
              <w:rPr>
                <w:rFonts w:hint="eastAsia" w:ascii="Times New Roman" w:hAnsi="Times New Roman" w:cs="宋体"/>
                <w:b/>
                <w:bCs/>
                <w:kern w:val="0"/>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0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6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先进水平</w:t>
            </w:r>
          </w:p>
          <w:p>
            <w:pPr>
              <w:widowControl/>
              <w:adjustRightInd w:val="0"/>
              <w:jc w:val="center"/>
              <w:rPr>
                <w:rFonts w:ascii="Times New Roman" w:hAnsi="Times New Roman"/>
                <w:b/>
                <w:bCs/>
                <w:kern w:val="0"/>
              </w:rPr>
            </w:pPr>
            <w:r>
              <w:rPr>
                <w:rFonts w:hint="eastAsia" w:ascii="Times New Roman" w:hAnsi="Times New Roman" w:cs="宋体"/>
                <w:b/>
                <w:bCs/>
                <w:kern w:val="0"/>
                <w:szCs w:val="21"/>
              </w:rPr>
              <w:t>（五星）</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平均水平</w:t>
            </w:r>
          </w:p>
          <w:p>
            <w:pPr>
              <w:widowControl/>
              <w:adjustRightInd w:val="0"/>
              <w:jc w:val="center"/>
              <w:rPr>
                <w:rFonts w:ascii="Times New Roman" w:hAnsi="Times New Roman"/>
                <w:b/>
                <w:bCs/>
                <w:kern w:val="0"/>
              </w:rPr>
            </w:pPr>
            <w:r>
              <w:rPr>
                <w:rFonts w:hint="eastAsia" w:ascii="Times New Roman" w:hAnsi="Times New Roman" w:cs="宋体"/>
                <w:b/>
                <w:bCs/>
                <w:kern w:val="0"/>
                <w:szCs w:val="21"/>
              </w:rPr>
              <w:t>（四星）</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b/>
                <w:bCs/>
                <w:kern w:val="0"/>
              </w:rPr>
            </w:pPr>
            <w:r>
              <w:rPr>
                <w:rFonts w:hint="eastAsia" w:ascii="Times New Roman" w:hAnsi="Times New Roman" w:cs="宋体"/>
                <w:b/>
                <w:bCs/>
                <w:kern w:val="0"/>
                <w:szCs w:val="21"/>
              </w:rPr>
              <w:t>基准水平</w:t>
            </w:r>
          </w:p>
          <w:p>
            <w:pPr>
              <w:widowControl/>
              <w:adjustRightInd w:val="0"/>
              <w:jc w:val="center"/>
              <w:rPr>
                <w:rFonts w:ascii="Times New Roman" w:hAnsi="Times New Roman"/>
                <w:b/>
                <w:bCs/>
                <w:kern w:val="0"/>
              </w:rPr>
            </w:pPr>
            <w:r>
              <w:rPr>
                <w:rFonts w:hint="eastAsia" w:ascii="Times New Roman" w:hAnsi="Times New Roman" w:cs="宋体"/>
                <w:b/>
                <w:bCs/>
                <w:kern w:val="0"/>
                <w:szCs w:val="21"/>
              </w:rPr>
              <w:t>（三星）</w:t>
            </w:r>
          </w:p>
        </w:tc>
        <w:tc>
          <w:tcPr>
            <w:tcW w:w="9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1</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生产运行管理</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A.1</w:t>
            </w:r>
            <w:r>
              <w:rPr>
                <w:rFonts w:hint="eastAsia" w:ascii="Times New Roman" w:hAnsi="Times New Roman" w:cs="宋体"/>
                <w:kern w:val="0"/>
                <w:sz w:val="18"/>
                <w:szCs w:val="18"/>
              </w:rPr>
              <w:t>中四项要求</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A.1</w:t>
            </w:r>
            <w:r>
              <w:rPr>
                <w:rFonts w:hint="eastAsia" w:ascii="Times New Roman" w:hAnsi="Times New Roman" w:cs="宋体"/>
                <w:kern w:val="0"/>
                <w:sz w:val="18"/>
                <w:szCs w:val="18"/>
              </w:rPr>
              <w:t>中三项要求</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A.1</w:t>
            </w:r>
            <w:r>
              <w:rPr>
                <w:rFonts w:hint="eastAsia" w:ascii="Times New Roman" w:hAnsi="Times New Roman" w:cs="宋体"/>
                <w:kern w:val="0"/>
                <w:sz w:val="18"/>
                <w:szCs w:val="18"/>
              </w:rPr>
              <w:t>中两项要求</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见本文附件</w:t>
            </w:r>
            <w:r>
              <w:rPr>
                <w:rFonts w:ascii="Times New Roman" w:hAnsi="Times New Roman"/>
                <w:kern w:val="0"/>
                <w:sz w:val="18"/>
                <w:szCs w:val="18"/>
              </w:rPr>
              <w:t>A.1</w:t>
            </w:r>
            <w:r>
              <w:rPr>
                <w:rFonts w:hint="eastAsia" w:ascii="Times New Roman" w:hAnsi="Times New Roman" w:cs="宋体"/>
                <w:kern w:val="0"/>
                <w:sz w:val="18"/>
                <w:szCs w:val="18"/>
              </w:rPr>
              <w:t>，四项要求中，其中第四项必须满足。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2</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设备检修管理</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A.2</w:t>
            </w:r>
            <w:r>
              <w:rPr>
                <w:rFonts w:hint="eastAsia" w:ascii="Times New Roman" w:hAnsi="Times New Roman" w:cs="宋体"/>
                <w:kern w:val="0"/>
                <w:sz w:val="18"/>
                <w:szCs w:val="18"/>
              </w:rPr>
              <w:t>中三项要求</w:t>
            </w:r>
          </w:p>
        </w:tc>
        <w:tc>
          <w:tcPr>
            <w:tcW w:w="13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A.2</w:t>
            </w:r>
            <w:r>
              <w:rPr>
                <w:rFonts w:hint="eastAsia" w:ascii="Times New Roman" w:hAnsi="Times New Roman" w:cs="宋体"/>
                <w:kern w:val="0"/>
                <w:sz w:val="18"/>
                <w:szCs w:val="18"/>
              </w:rPr>
              <w:t>中两项要求</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见本文件附录</w:t>
            </w:r>
            <w:r>
              <w:rPr>
                <w:rFonts w:ascii="Times New Roman" w:hAnsi="Times New Roman"/>
                <w:kern w:val="0"/>
                <w:sz w:val="18"/>
                <w:szCs w:val="18"/>
              </w:rPr>
              <w:t>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3</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安全环保管理</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B.1</w:t>
            </w:r>
            <w:r>
              <w:rPr>
                <w:rFonts w:hint="eastAsia" w:ascii="Times New Roman" w:hAnsi="Times New Roman" w:cs="宋体"/>
                <w:kern w:val="0"/>
                <w:sz w:val="18"/>
                <w:szCs w:val="18"/>
              </w:rPr>
              <w:t>中三项要求</w:t>
            </w:r>
          </w:p>
        </w:tc>
        <w:tc>
          <w:tcPr>
            <w:tcW w:w="13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B.1</w:t>
            </w:r>
            <w:r>
              <w:rPr>
                <w:rFonts w:hint="eastAsia" w:ascii="Times New Roman" w:hAnsi="Times New Roman" w:cs="宋体"/>
                <w:kern w:val="0"/>
                <w:sz w:val="18"/>
                <w:szCs w:val="18"/>
              </w:rPr>
              <w:t>中两项要求</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见本文件附录</w:t>
            </w:r>
            <w:r>
              <w:rPr>
                <w:rFonts w:ascii="Times New Roman" w:hAnsi="Times New Roman"/>
                <w:kern w:val="0"/>
                <w:sz w:val="18"/>
                <w:szCs w:val="18"/>
              </w:rPr>
              <w:t>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4</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信息化管理</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B.2</w:t>
            </w:r>
            <w:r>
              <w:rPr>
                <w:rFonts w:hint="eastAsia" w:ascii="Times New Roman" w:hAnsi="Times New Roman" w:cs="宋体"/>
                <w:kern w:val="0"/>
                <w:sz w:val="18"/>
                <w:szCs w:val="18"/>
              </w:rPr>
              <w:t>第一项</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B.2</w:t>
            </w:r>
            <w:r>
              <w:rPr>
                <w:rFonts w:hint="eastAsia" w:ascii="Times New Roman" w:hAnsi="Times New Roman" w:cs="宋体"/>
                <w:kern w:val="0"/>
                <w:sz w:val="18"/>
                <w:szCs w:val="18"/>
              </w:rPr>
              <w:t>第二项</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B.2</w:t>
            </w:r>
            <w:r>
              <w:rPr>
                <w:rFonts w:hint="eastAsia" w:ascii="Times New Roman" w:hAnsi="Times New Roman" w:cs="宋体"/>
                <w:kern w:val="0"/>
                <w:sz w:val="18"/>
                <w:szCs w:val="18"/>
              </w:rPr>
              <w:t>第三项</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见本文件附录</w:t>
            </w:r>
            <w:r>
              <w:rPr>
                <w:rFonts w:ascii="Times New Roman" w:hAnsi="Times New Roman"/>
                <w:kern w:val="0"/>
                <w:sz w:val="18"/>
                <w:szCs w:val="18"/>
              </w:rPr>
              <w:t>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5</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燃烧控制</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DL/T1842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B.3</w:t>
            </w:r>
            <w:r>
              <w:rPr>
                <w:rFonts w:hint="eastAsia" w:ascii="Times New Roman" w:hAnsi="Times New Roman" w:cs="宋体"/>
                <w:kern w:val="0"/>
                <w:sz w:val="18"/>
                <w:szCs w:val="18"/>
              </w:rPr>
              <w:t>中第一项</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B.3</w:t>
            </w:r>
            <w:r>
              <w:rPr>
                <w:rFonts w:hint="eastAsia" w:ascii="Times New Roman" w:hAnsi="Times New Roman" w:cs="宋体"/>
                <w:kern w:val="0"/>
                <w:sz w:val="18"/>
                <w:szCs w:val="18"/>
              </w:rPr>
              <w:t>中第二项</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满足附录</w:t>
            </w:r>
            <w:r>
              <w:rPr>
                <w:rFonts w:ascii="Times New Roman" w:hAnsi="Times New Roman"/>
                <w:kern w:val="0"/>
                <w:sz w:val="18"/>
                <w:szCs w:val="18"/>
              </w:rPr>
              <w:t>B.3</w:t>
            </w:r>
            <w:r>
              <w:rPr>
                <w:rFonts w:hint="eastAsia" w:ascii="Times New Roman" w:hAnsi="Times New Roman" w:cs="宋体"/>
                <w:kern w:val="0"/>
                <w:sz w:val="18"/>
                <w:szCs w:val="18"/>
              </w:rPr>
              <w:t>中第三项</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sz w:val="18"/>
                <w:szCs w:val="18"/>
              </w:rPr>
            </w:pPr>
            <w:r>
              <w:rPr>
                <w:rFonts w:hint="eastAsia" w:ascii="Times New Roman" w:hAnsi="Times New Roman" w:cs="宋体"/>
                <w:sz w:val="18"/>
                <w:szCs w:val="18"/>
              </w:rPr>
              <w:t>见本文件附录</w:t>
            </w:r>
            <w:r>
              <w:rPr>
                <w:rFonts w:ascii="Times New Roman" w:hAnsi="Times New Roman"/>
                <w:sz w:val="18"/>
                <w:szCs w:val="18"/>
              </w:rPr>
              <w:t>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6</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非计划停运次数</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DL/T 1842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单台炉＜</w:t>
            </w:r>
            <w:r>
              <w:rPr>
                <w:rFonts w:ascii="Times New Roman" w:hAnsi="Times New Roman"/>
                <w:kern w:val="0"/>
                <w:sz w:val="18"/>
                <w:szCs w:val="18"/>
              </w:rPr>
              <w:t>1</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单台炉＜</w:t>
            </w:r>
            <w:r>
              <w:rPr>
                <w:rFonts w:ascii="Times New Roman" w:hAnsi="Times New Roman"/>
                <w:kern w:val="0"/>
                <w:sz w:val="18"/>
                <w:szCs w:val="18"/>
              </w:rPr>
              <w:t>2</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单台炉＜</w:t>
            </w:r>
            <w:r>
              <w:rPr>
                <w:rFonts w:ascii="Times New Roman" w:hAnsi="Times New Roman"/>
                <w:kern w:val="0"/>
                <w:sz w:val="18"/>
                <w:szCs w:val="18"/>
              </w:rPr>
              <w:t>3</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7</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除盐水补水率（</w:t>
            </w:r>
            <w:r>
              <w:rPr>
                <w:rFonts w:ascii="Times New Roman" w:hAnsi="Times New Roman"/>
                <w:kern w:val="0"/>
                <w:sz w:val="18"/>
                <w:szCs w:val="18"/>
              </w:rPr>
              <w: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3</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4</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5</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8</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年吨</w:t>
            </w:r>
            <w:r>
              <w:rPr>
                <w:rFonts w:hint="eastAsia" w:ascii="Times New Roman" w:hAnsi="Times New Roman" w:cs="宋体"/>
                <w:sz w:val="18"/>
                <w:szCs w:val="18"/>
              </w:rPr>
              <w:t>入厂</w:t>
            </w:r>
            <w:r>
              <w:rPr>
                <w:rFonts w:hint="eastAsia" w:ascii="Times New Roman" w:hAnsi="Times New Roman" w:cs="宋体"/>
                <w:kern w:val="0"/>
                <w:sz w:val="18"/>
                <w:szCs w:val="18"/>
              </w:rPr>
              <w:t>垃圾上网电量（</w:t>
            </w:r>
            <w:r>
              <w:rPr>
                <w:rFonts w:ascii="Times New Roman" w:hAnsi="Times New Roman"/>
                <w:kern w:val="0"/>
                <w:sz w:val="18"/>
                <w:szCs w:val="18"/>
              </w:rPr>
              <w:t>kWh/t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DL/T 1842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370</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320</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250</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C.2</w:t>
            </w:r>
            <w:r>
              <w:rPr>
                <w:rFonts w:hint="eastAsia" w:ascii="Times New Roman" w:hAnsi="Times New Roman" w:cs="宋体"/>
                <w:sz w:val="18"/>
                <w:szCs w:val="18"/>
              </w:rPr>
              <w:t>第</w:t>
            </w:r>
            <w:r>
              <w:rPr>
                <w:rFonts w:ascii="Times New Roman" w:hAnsi="Times New Roman"/>
                <w:sz w:val="18"/>
                <w:szCs w:val="18"/>
              </w:rPr>
              <w:t>1</w:t>
            </w:r>
            <w:r>
              <w:rPr>
                <w:rFonts w:hint="eastAsia" w:ascii="Times New Roman" w:hAnsi="Times New Roman" w:cs="宋体"/>
                <w:sz w:val="18"/>
                <w:szCs w:val="1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9</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年吨渗滤液</w:t>
            </w:r>
            <w:r>
              <w:rPr>
                <w:rFonts w:hint="eastAsia" w:ascii="Times New Roman" w:hAnsi="Times New Roman" w:cs="宋体"/>
                <w:sz w:val="18"/>
                <w:szCs w:val="18"/>
              </w:rPr>
              <w:t>处理</w:t>
            </w:r>
            <w:r>
              <w:rPr>
                <w:rFonts w:hint="eastAsia" w:ascii="Times New Roman" w:hAnsi="Times New Roman" w:cs="宋体"/>
                <w:kern w:val="0"/>
                <w:sz w:val="18"/>
                <w:szCs w:val="18"/>
              </w:rPr>
              <w:t>耗电量（</w:t>
            </w:r>
            <w:r>
              <w:rPr>
                <w:rFonts w:ascii="Times New Roman" w:hAnsi="Times New Roman"/>
                <w:kern w:val="0"/>
                <w:sz w:val="18"/>
                <w:szCs w:val="18"/>
              </w:rPr>
              <w:t>kWh/t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50</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60</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70</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C.2</w:t>
            </w:r>
            <w:r>
              <w:rPr>
                <w:rFonts w:hint="eastAsia" w:ascii="Times New Roman" w:hAnsi="Times New Roman" w:cs="宋体"/>
                <w:sz w:val="18"/>
                <w:szCs w:val="18"/>
              </w:rPr>
              <w:t>第</w:t>
            </w:r>
            <w:r>
              <w:rPr>
                <w:rFonts w:ascii="Times New Roman" w:hAnsi="Times New Roman"/>
                <w:sz w:val="18"/>
                <w:szCs w:val="18"/>
              </w:rPr>
              <w:t>2</w:t>
            </w:r>
            <w:r>
              <w:rPr>
                <w:rFonts w:hint="eastAsia" w:ascii="Times New Roman" w:hAnsi="Times New Roman" w:cs="宋体"/>
                <w:sz w:val="18"/>
                <w:szCs w:val="1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10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年吨垃圾产汽量（</w:t>
            </w:r>
            <w:r>
              <w:rPr>
                <w:rFonts w:ascii="Times New Roman" w:hAnsi="Times New Roman"/>
                <w:kern w:val="0"/>
                <w:sz w:val="18"/>
                <w:szCs w:val="18"/>
              </w:rPr>
              <w:t>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DL/T1842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2.1</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1.7</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1.5</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C.2</w:t>
            </w:r>
            <w:r>
              <w:rPr>
                <w:rFonts w:hint="eastAsia" w:ascii="Times New Roman" w:hAnsi="Times New Roman" w:cs="宋体"/>
                <w:sz w:val="18"/>
                <w:szCs w:val="18"/>
              </w:rPr>
              <w:t>第</w:t>
            </w:r>
            <w:r>
              <w:rPr>
                <w:rFonts w:ascii="Times New Roman" w:hAnsi="Times New Roman"/>
                <w:sz w:val="18"/>
                <w:szCs w:val="18"/>
              </w:rPr>
              <w:t>3</w:t>
            </w:r>
            <w:r>
              <w:rPr>
                <w:rFonts w:hint="eastAsia" w:ascii="Times New Roman" w:hAnsi="Times New Roman" w:cs="宋体"/>
                <w:sz w:val="18"/>
                <w:szCs w:val="1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11</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余热锅炉蒸发量波动率（</w:t>
            </w:r>
            <w:r>
              <w:rPr>
                <w:rFonts w:ascii="Times New Roman" w:hAnsi="Times New Roman"/>
                <w:kern w:val="0"/>
                <w:sz w:val="18"/>
                <w:szCs w:val="18"/>
              </w:rPr>
              <w: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DL/T1842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15</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20</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25</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C.2</w:t>
            </w:r>
            <w:r>
              <w:rPr>
                <w:rFonts w:hint="eastAsia" w:ascii="Times New Roman" w:hAnsi="Times New Roman" w:cs="宋体"/>
                <w:sz w:val="18"/>
                <w:szCs w:val="18"/>
              </w:rPr>
              <w:t>第</w:t>
            </w:r>
            <w:r>
              <w:rPr>
                <w:rFonts w:ascii="Times New Roman" w:hAnsi="Times New Roman"/>
                <w:sz w:val="18"/>
                <w:szCs w:val="18"/>
              </w:rPr>
              <w:t>4</w:t>
            </w:r>
            <w:r>
              <w:rPr>
                <w:rFonts w:hint="eastAsia" w:ascii="Times New Roman" w:hAnsi="Times New Roman" w:cs="宋体"/>
                <w:sz w:val="18"/>
                <w:szCs w:val="1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12</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年吨垃圾耗水量（</w:t>
            </w:r>
            <w:r>
              <w:rPr>
                <w:rFonts w:ascii="Times New Roman" w:hAnsi="Times New Roman"/>
                <w:kern w:val="0"/>
                <w:sz w:val="18"/>
                <w:szCs w:val="18"/>
              </w:rPr>
              <w:t>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2.5</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3</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3.5</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C.2</w:t>
            </w:r>
            <w:r>
              <w:rPr>
                <w:rFonts w:hint="eastAsia" w:ascii="Times New Roman" w:hAnsi="Times New Roman" w:cs="宋体"/>
                <w:sz w:val="18"/>
                <w:szCs w:val="18"/>
              </w:rPr>
              <w:t>第</w:t>
            </w:r>
            <w:r>
              <w:rPr>
                <w:rFonts w:ascii="Times New Roman" w:hAnsi="Times New Roman"/>
                <w:sz w:val="18"/>
                <w:szCs w:val="18"/>
              </w:rPr>
              <w:t>5</w:t>
            </w:r>
            <w:r>
              <w:rPr>
                <w:rFonts w:hint="eastAsia" w:ascii="Times New Roman" w:hAnsi="Times New Roman" w:cs="宋体"/>
                <w:sz w:val="18"/>
                <w:szCs w:val="1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13</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汽耗率（</w:t>
            </w:r>
            <w:r>
              <w:rPr>
                <w:rFonts w:ascii="Times New Roman" w:hAnsi="Times New Roman"/>
                <w:kern w:val="0"/>
                <w:sz w:val="18"/>
                <w:szCs w:val="18"/>
              </w:rPr>
              <w: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本文件</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10</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15</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20</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sz w:val="18"/>
                <w:szCs w:val="18"/>
              </w:rPr>
            </w:pPr>
            <w:r>
              <w:rPr>
                <w:rFonts w:hint="eastAsia" w:ascii="Times New Roman" w:hAnsi="Times New Roman" w:cs="宋体"/>
                <w:sz w:val="18"/>
                <w:szCs w:val="18"/>
              </w:rPr>
              <w:t>见本文件附录</w:t>
            </w:r>
            <w:r>
              <w:rPr>
                <w:rFonts w:ascii="Times New Roman" w:hAnsi="Times New Roman"/>
                <w:sz w:val="18"/>
                <w:szCs w:val="18"/>
              </w:rPr>
              <w:t>C</w:t>
            </w:r>
            <w:r>
              <w:rPr>
                <w:rFonts w:hint="eastAsia" w:ascii="Times New Roman" w:hAnsi="Times New Roman" w:cs="宋体"/>
                <w:sz w:val="18"/>
                <w:szCs w:val="18"/>
              </w:rPr>
              <w:t>中</w:t>
            </w:r>
            <w:r>
              <w:rPr>
                <w:rFonts w:ascii="Times New Roman" w:hAnsi="Times New Roman"/>
                <w:sz w:val="18"/>
                <w:szCs w:val="18"/>
              </w:rPr>
              <w:t>C.2</w:t>
            </w:r>
            <w:r>
              <w:rPr>
                <w:rFonts w:hint="eastAsia" w:ascii="Times New Roman" w:hAnsi="Times New Roman" w:cs="宋体"/>
                <w:sz w:val="18"/>
                <w:szCs w:val="18"/>
              </w:rPr>
              <w:t>第</w:t>
            </w:r>
            <w:r>
              <w:rPr>
                <w:rFonts w:ascii="Times New Roman" w:hAnsi="Times New Roman"/>
                <w:sz w:val="18"/>
                <w:szCs w:val="18"/>
              </w:rPr>
              <w:t>6</w:t>
            </w:r>
            <w:r>
              <w:rPr>
                <w:rFonts w:hint="eastAsia" w:ascii="Times New Roman" w:hAnsi="Times New Roman" w:cs="宋体"/>
                <w:sz w:val="18"/>
                <w:szCs w:val="1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14</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hint="eastAsia" w:ascii="Times New Roman" w:hAnsi="Times New Roman" w:cs="宋体"/>
                <w:kern w:val="0"/>
                <w:sz w:val="18"/>
                <w:szCs w:val="18"/>
              </w:rPr>
              <w:t>热灼减率（</w:t>
            </w:r>
            <w:r>
              <w:rPr>
                <w:rFonts w:ascii="Times New Roman" w:hAnsi="Times New Roman"/>
                <w:kern w:val="0"/>
                <w:sz w:val="18"/>
                <w:szCs w:val="18"/>
              </w:rPr>
              <w:t>%</w:t>
            </w:r>
            <w:r>
              <w:rPr>
                <w:rFonts w:hint="eastAsia" w:ascii="Times New Roman" w:hAnsi="Times New Roman" w:cs="宋体"/>
                <w:kern w:val="0"/>
                <w:sz w:val="18"/>
                <w:szCs w:val="18"/>
              </w:rPr>
              <w:t>）</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kern w:val="0"/>
                <w:sz w:val="18"/>
                <w:szCs w:val="18"/>
              </w:rPr>
            </w:pPr>
            <w:r>
              <w:rPr>
                <w:rFonts w:ascii="Times New Roman" w:hAnsi="Times New Roman"/>
                <w:kern w:val="0"/>
                <w:sz w:val="18"/>
                <w:szCs w:val="18"/>
              </w:rPr>
              <w:t>DL/T1842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3</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4</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center"/>
              <w:rPr>
                <w:rFonts w:ascii="Times New Roman" w:hAnsi="Times New Roman"/>
                <w:kern w:val="0"/>
                <w:sz w:val="18"/>
                <w:szCs w:val="18"/>
              </w:rPr>
            </w:pPr>
            <w:r>
              <w:rPr>
                <w:rFonts w:hint="eastAsia" w:ascii="Times New Roman" w:hAnsi="Times New Roman" w:cs="宋体"/>
                <w:kern w:val="0"/>
                <w:sz w:val="18"/>
                <w:szCs w:val="18"/>
              </w:rPr>
              <w:t>≤</w:t>
            </w:r>
            <w:r>
              <w:rPr>
                <w:rFonts w:ascii="Times New Roman" w:hAnsi="Times New Roman"/>
                <w:kern w:val="0"/>
                <w:sz w:val="18"/>
                <w:szCs w:val="18"/>
              </w:rPr>
              <w:t>5</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jc w:val="left"/>
              <w:rPr>
                <w:rFonts w:ascii="Times New Roman" w:hAnsi="Times New Roman"/>
                <w:sz w:val="18"/>
                <w:szCs w:val="18"/>
              </w:rPr>
            </w:pPr>
            <w:r>
              <w:rPr>
                <w:rFonts w:hint="eastAsia" w:ascii="Times New Roman" w:hAnsi="Times New Roman" w:cs="宋体"/>
                <w:sz w:val="18"/>
                <w:szCs w:val="18"/>
              </w:rPr>
              <w:t>第三方检测报告年度均值</w:t>
            </w:r>
          </w:p>
        </w:tc>
      </w:tr>
    </w:tbl>
    <w:p>
      <w:pPr>
        <w:pStyle w:val="29"/>
        <w:ind w:firstLine="420" w:firstLineChars="0"/>
      </w:pPr>
    </w:p>
    <w:p>
      <w:pPr>
        <w:pStyle w:val="39"/>
        <w:numPr>
          <w:ilvl w:val="0"/>
          <w:numId w:val="0"/>
        </w:numPr>
        <w:spacing w:before="312" w:after="312" w:line="360" w:lineRule="auto"/>
        <w:rPr>
          <w:rFonts w:ascii="Times New Roman"/>
          <w:color w:val="000000"/>
        </w:rPr>
      </w:pPr>
      <w:r>
        <w:rPr>
          <w:rFonts w:hint="eastAsia" w:ascii="Times New Roman" w:hAnsi="Times New Roman" w:eastAsia="宋体"/>
          <w:b/>
          <w:bCs/>
          <w:kern w:val="2"/>
          <w:sz w:val="28"/>
          <w:szCs w:val="28"/>
        </w:rPr>
        <w:t>4.3</w:t>
      </w:r>
      <w:r>
        <w:rPr>
          <w:rFonts w:ascii="Times New Roman" w:hAnsi="Times New Roman" w:eastAsia="宋体"/>
          <w:b/>
          <w:bCs/>
          <w:kern w:val="2"/>
          <w:sz w:val="28"/>
          <w:szCs w:val="28"/>
        </w:rPr>
        <w:t>.</w:t>
      </w:r>
      <w:r>
        <w:rPr>
          <w:rFonts w:hint="eastAsia" w:ascii="Times New Roman" w:hAnsi="Times New Roman" w:eastAsia="宋体"/>
          <w:b/>
          <w:bCs/>
          <w:kern w:val="2"/>
          <w:sz w:val="28"/>
          <w:szCs w:val="28"/>
        </w:rPr>
        <w:t>3</w:t>
      </w:r>
      <w:r>
        <w:rPr>
          <w:rFonts w:ascii="Times New Roman" w:hAnsi="Times New Roman" w:eastAsia="宋体"/>
          <w:b/>
          <w:bCs/>
          <w:kern w:val="2"/>
          <w:sz w:val="28"/>
          <w:szCs w:val="28"/>
        </w:rPr>
        <w:t xml:space="preserve"> </w:t>
      </w:r>
      <w:r>
        <w:rPr>
          <w:rFonts w:hint="eastAsia" w:ascii="Times New Roman" w:hAnsi="Times New Roman" w:eastAsia="宋体"/>
          <w:b/>
          <w:bCs/>
          <w:kern w:val="2"/>
          <w:sz w:val="28"/>
          <w:szCs w:val="28"/>
        </w:rPr>
        <w:t>评价方法及等级分级</w:t>
      </w:r>
    </w:p>
    <w:p>
      <w:pPr>
        <w:pStyle w:val="29"/>
        <w:spacing w:line="360" w:lineRule="auto"/>
        <w:ind w:firstLine="560"/>
        <w:rPr>
          <w:rFonts w:ascii="Times New Roman" w:hAnsi="Times New Roman"/>
          <w:sz w:val="28"/>
          <w:szCs w:val="28"/>
        </w:rPr>
      </w:pPr>
      <w:r>
        <w:rPr>
          <w:rFonts w:hint="eastAsia" w:ascii="Times New Roman" w:hAnsi="Times New Roman"/>
          <w:sz w:val="28"/>
          <w:szCs w:val="28"/>
        </w:rPr>
        <w:t>城镇生活垃圾分数发电厂精细运营</w:t>
      </w:r>
      <w:r>
        <w:rPr>
          <w:rFonts w:hint="eastAsia" w:ascii="Times New Roman" w:hAnsi="Times New Roman"/>
          <w:sz w:val="28"/>
          <w:szCs w:val="28"/>
        </w:rPr>
        <w:t>管理</w:t>
      </w:r>
      <w:r>
        <w:rPr>
          <w:rFonts w:hint="eastAsia" w:ascii="Times New Roman" w:hAnsi="Times New Roman"/>
          <w:sz w:val="28"/>
          <w:szCs w:val="28"/>
        </w:rPr>
        <w:t>的评价结果划分为五星级、四星级和三星级，各等级所对应的划分依据见表2。达到三星级要求及以上的企业标准并按照有关要求进行自我声明公开后均可进入城镇生活垃圾焚烧发电厂精细运营</w:t>
      </w:r>
      <w:r>
        <w:rPr>
          <w:rFonts w:hint="eastAsia" w:ascii="Times New Roman" w:hAnsi="Times New Roman"/>
          <w:sz w:val="28"/>
          <w:szCs w:val="28"/>
        </w:rPr>
        <w:t>管理</w:t>
      </w:r>
      <w:r>
        <w:rPr>
          <w:rFonts w:hint="eastAsia" w:ascii="Times New Roman" w:hAnsi="Times New Roman"/>
          <w:sz w:val="28"/>
          <w:szCs w:val="28"/>
        </w:rPr>
        <w:t>企业标准排行榜，评价结果可作为“领跑者”评价的依据之一。</w:t>
      </w:r>
    </w:p>
    <w:p>
      <w:pPr>
        <w:pStyle w:val="30"/>
        <w:numPr>
          <w:ilvl w:val="0"/>
          <w:numId w:val="0"/>
        </w:numPr>
        <w:spacing w:before="156" w:after="156" w:line="360" w:lineRule="auto"/>
      </w:pPr>
      <w:r>
        <w:rPr>
          <w:rFonts w:hint="eastAsia"/>
        </w:rPr>
        <w:t>表2 “排行榜”评价要求及等级划分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68"/>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38"/>
              <w:numPr>
                <w:ilvl w:val="0"/>
                <w:numId w:val="0"/>
              </w:numPr>
              <w:spacing w:line="360" w:lineRule="auto"/>
              <w:jc w:val="center"/>
              <w:rPr>
                <w:rFonts w:ascii="Times New Roman"/>
                <w:color w:val="000000"/>
              </w:rPr>
            </w:pPr>
            <w:r>
              <w:rPr>
                <w:rFonts w:hint="eastAsia" w:ascii="Times New Roman"/>
                <w:color w:val="000000"/>
              </w:rPr>
              <w:t>评价等级</w:t>
            </w:r>
          </w:p>
        </w:tc>
        <w:tc>
          <w:tcPr>
            <w:tcW w:w="6380" w:type="dxa"/>
            <w:gridSpan w:val="2"/>
          </w:tcPr>
          <w:p>
            <w:pPr>
              <w:pStyle w:val="38"/>
              <w:numPr>
                <w:ilvl w:val="0"/>
                <w:numId w:val="0"/>
              </w:numPr>
              <w:spacing w:line="360" w:lineRule="auto"/>
              <w:jc w:val="center"/>
              <w:rPr>
                <w:rFonts w:ascii="Times New Roman"/>
                <w:color w:val="000000"/>
              </w:rPr>
            </w:pPr>
            <w:r>
              <w:rPr>
                <w:rFonts w:hint="eastAsia" w:ascii="Times New Roman"/>
                <w:color w:val="000000"/>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38"/>
              <w:numPr>
                <w:ilvl w:val="0"/>
                <w:numId w:val="0"/>
              </w:numPr>
              <w:spacing w:line="360" w:lineRule="auto"/>
              <w:jc w:val="center"/>
              <w:rPr>
                <w:rFonts w:ascii="Times New Roman"/>
                <w:color w:val="000000"/>
              </w:rPr>
            </w:pPr>
            <w:r>
              <w:rPr>
                <w:rFonts w:hint="eastAsia" w:ascii="Times New Roman"/>
                <w:color w:val="000000"/>
              </w:rPr>
              <w:t>5星级应同时满足</w:t>
            </w:r>
          </w:p>
        </w:tc>
        <w:tc>
          <w:tcPr>
            <w:tcW w:w="1733" w:type="dxa"/>
            <w:vMerge w:val="restart"/>
            <w:vAlign w:val="center"/>
          </w:tcPr>
          <w:p>
            <w:pPr>
              <w:pStyle w:val="38"/>
              <w:numPr>
                <w:ilvl w:val="0"/>
                <w:numId w:val="0"/>
              </w:numPr>
              <w:spacing w:line="360" w:lineRule="auto"/>
              <w:jc w:val="center"/>
              <w:rPr>
                <w:rFonts w:ascii="Times New Roman"/>
                <w:color w:val="000000"/>
              </w:rPr>
            </w:pPr>
            <w:r>
              <w:rPr>
                <w:rFonts w:hint="eastAsia" w:ascii="Times New Roman"/>
                <w:color w:val="000000"/>
              </w:rPr>
              <w:t>基本要求</w:t>
            </w:r>
          </w:p>
        </w:tc>
        <w:tc>
          <w:tcPr>
            <w:tcW w:w="4647" w:type="dxa"/>
            <w:vAlign w:val="center"/>
          </w:tcPr>
          <w:p>
            <w:pPr>
              <w:pStyle w:val="38"/>
              <w:numPr>
                <w:ilvl w:val="0"/>
                <w:numId w:val="0"/>
              </w:numPr>
              <w:spacing w:line="360" w:lineRule="auto"/>
              <w:rPr>
                <w:rFonts w:ascii="Times New Roman"/>
                <w:color w:val="000000"/>
              </w:rPr>
            </w:pPr>
            <w:r>
              <w:rPr>
                <w:rFonts w:hint="eastAsia" w:ascii="Times New Roman"/>
                <w:color w:val="000000"/>
              </w:rPr>
              <w:t>评价要求中全部指标达到先进水平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spacing w:line="360" w:lineRule="auto"/>
              <w:jc w:val="center"/>
              <w:rPr>
                <w:rFonts w:ascii="Times New Roman"/>
                <w:color w:val="000000"/>
              </w:rPr>
            </w:pPr>
            <w:r>
              <w:rPr>
                <w:rFonts w:hint="eastAsia" w:ascii="Times New Roman"/>
                <w:color w:val="000000"/>
              </w:rPr>
              <w:t>4星级应同时满足</w:t>
            </w:r>
          </w:p>
        </w:tc>
        <w:tc>
          <w:tcPr>
            <w:tcW w:w="1733" w:type="dxa"/>
            <w:vMerge w:val="continue"/>
          </w:tcPr>
          <w:p>
            <w:pPr>
              <w:pStyle w:val="38"/>
              <w:numPr>
                <w:ilvl w:val="0"/>
                <w:numId w:val="0"/>
              </w:numPr>
              <w:spacing w:line="360" w:lineRule="auto"/>
              <w:rPr>
                <w:rFonts w:ascii="Times New Roman"/>
                <w:color w:val="000000"/>
              </w:rPr>
            </w:pPr>
          </w:p>
        </w:tc>
        <w:tc>
          <w:tcPr>
            <w:tcW w:w="4647" w:type="dxa"/>
            <w:vAlign w:val="center"/>
          </w:tcPr>
          <w:p>
            <w:pPr>
              <w:pStyle w:val="38"/>
              <w:numPr>
                <w:ilvl w:val="0"/>
                <w:numId w:val="0"/>
              </w:numPr>
              <w:spacing w:line="360" w:lineRule="auto"/>
              <w:rPr>
                <w:rFonts w:ascii="Times New Roman"/>
                <w:color w:val="000000"/>
              </w:rPr>
            </w:pPr>
            <w:r>
              <w:rPr>
                <w:rFonts w:hint="eastAsia" w:ascii="Times New Roman"/>
                <w:color w:val="000000"/>
              </w:rPr>
              <w:t>评价要求中全部指标达到平均水平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spacing w:line="360" w:lineRule="auto"/>
              <w:jc w:val="center"/>
              <w:rPr>
                <w:rFonts w:ascii="Times New Roman"/>
                <w:color w:val="000000"/>
              </w:rPr>
            </w:pPr>
            <w:r>
              <w:rPr>
                <w:rFonts w:hint="eastAsia" w:ascii="Times New Roman"/>
                <w:color w:val="000000"/>
              </w:rPr>
              <w:t>3星级应同时满足</w:t>
            </w:r>
          </w:p>
        </w:tc>
        <w:tc>
          <w:tcPr>
            <w:tcW w:w="1733" w:type="dxa"/>
            <w:vMerge w:val="continue"/>
          </w:tcPr>
          <w:p>
            <w:pPr>
              <w:pStyle w:val="38"/>
              <w:numPr>
                <w:ilvl w:val="0"/>
                <w:numId w:val="0"/>
              </w:numPr>
              <w:spacing w:line="360" w:lineRule="auto"/>
              <w:rPr>
                <w:rFonts w:ascii="Times New Roman"/>
                <w:color w:val="000000"/>
              </w:rPr>
            </w:pPr>
          </w:p>
        </w:tc>
        <w:tc>
          <w:tcPr>
            <w:tcW w:w="4647" w:type="dxa"/>
            <w:vAlign w:val="center"/>
          </w:tcPr>
          <w:p>
            <w:pPr>
              <w:pStyle w:val="38"/>
              <w:numPr>
                <w:ilvl w:val="0"/>
                <w:numId w:val="0"/>
              </w:numPr>
              <w:spacing w:line="360" w:lineRule="auto"/>
              <w:rPr>
                <w:rFonts w:ascii="Times New Roman"/>
                <w:color w:val="000000"/>
              </w:rPr>
            </w:pPr>
            <w:r>
              <w:rPr>
                <w:rFonts w:hint="eastAsia" w:ascii="Times New Roman"/>
                <w:color w:val="000000"/>
              </w:rPr>
              <w:t>评价要求中全部指标达到基准水平</w:t>
            </w:r>
          </w:p>
        </w:tc>
      </w:tr>
    </w:tbl>
    <w:p>
      <w:pPr>
        <w:spacing w:line="360" w:lineRule="auto"/>
      </w:pPr>
    </w:p>
    <w:p>
      <w:pPr>
        <w:pStyle w:val="3"/>
        <w:spacing w:before="240" w:after="240" w:line="360" w:lineRule="auto"/>
        <w:rPr>
          <w:sz w:val="36"/>
          <w:szCs w:val="36"/>
        </w:rPr>
      </w:pPr>
      <w:r>
        <w:rPr>
          <w:sz w:val="36"/>
          <w:szCs w:val="36"/>
        </w:rPr>
        <w:t>五、产业化情况、推广应用论证和预期达到的经济效果等情况</w:t>
      </w:r>
    </w:p>
    <w:p>
      <w:pPr>
        <w:adjustRightInd w:val="0"/>
        <w:snapToGrid w:val="0"/>
        <w:spacing w:line="360" w:lineRule="auto"/>
        <w:ind w:left="210" w:leftChars="100" w:firstLine="560" w:firstLineChars="200"/>
        <w:rPr>
          <w:sz w:val="28"/>
          <w:szCs w:val="28"/>
        </w:rPr>
      </w:pPr>
      <w:r>
        <w:rPr>
          <w:rFonts w:hint="eastAsia"/>
          <w:sz w:val="28"/>
          <w:szCs w:val="28"/>
        </w:rPr>
        <w:t>本标准主要针对城镇生活垃圾焚烧发电厂精细运营管理“排行榜”的评价要求、评价方法及等级划分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pStyle w:val="3"/>
        <w:spacing w:before="240" w:after="240" w:line="360" w:lineRule="auto"/>
        <w:rPr>
          <w:sz w:val="36"/>
          <w:szCs w:val="36"/>
        </w:rPr>
      </w:pPr>
      <w:r>
        <w:rPr>
          <w:sz w:val="36"/>
          <w:szCs w:val="36"/>
        </w:rPr>
        <w:t>六、</w:t>
      </w:r>
      <w:bookmarkStart w:id="5" w:name="_Toc43637995"/>
      <w:r>
        <w:rPr>
          <w:sz w:val="36"/>
          <w:szCs w:val="36"/>
        </w:rPr>
        <w:t>与现行相关法律、法规、规章及相关标准，特别是强制性标准的协调性</w:t>
      </w:r>
      <w:bookmarkEnd w:id="5"/>
    </w:p>
    <w:p>
      <w:pPr>
        <w:ind w:firstLine="560" w:firstLineChars="200"/>
        <w:rPr>
          <w:sz w:val="22"/>
          <w:szCs w:val="24"/>
        </w:rPr>
      </w:pPr>
      <w:r>
        <w:rPr>
          <w:sz w:val="28"/>
          <w:szCs w:val="24"/>
        </w:rPr>
        <w:t>本标准符合我国有关法律、法规的要求，并与国家相关政策、规划等保持一致。</w:t>
      </w:r>
    </w:p>
    <w:p>
      <w:pPr>
        <w:pStyle w:val="3"/>
        <w:spacing w:before="240" w:after="240" w:line="360" w:lineRule="auto"/>
        <w:rPr>
          <w:sz w:val="36"/>
          <w:szCs w:val="36"/>
        </w:rPr>
      </w:pPr>
      <w:bookmarkStart w:id="6" w:name="_Toc43637996"/>
      <w:r>
        <w:rPr>
          <w:rFonts w:hint="eastAsia"/>
          <w:sz w:val="36"/>
          <w:szCs w:val="36"/>
        </w:rPr>
        <w:t>七</w:t>
      </w:r>
      <w:r>
        <w:rPr>
          <w:sz w:val="36"/>
          <w:szCs w:val="36"/>
        </w:rPr>
        <w:t>、重大分歧意见的处理经过和依据</w:t>
      </w:r>
      <w:bookmarkEnd w:id="6"/>
    </w:p>
    <w:p>
      <w:pPr>
        <w:spacing w:line="360" w:lineRule="auto"/>
        <w:ind w:firstLine="560" w:firstLineChars="200"/>
        <w:rPr>
          <w:sz w:val="28"/>
          <w:szCs w:val="24"/>
        </w:rPr>
      </w:pPr>
      <w:r>
        <w:rPr>
          <w:sz w:val="28"/>
          <w:szCs w:val="24"/>
        </w:rPr>
        <w:t>本标准编制过程中未出现重大分歧意见。</w:t>
      </w:r>
    </w:p>
    <w:p>
      <w:pPr>
        <w:pStyle w:val="3"/>
        <w:spacing w:before="240" w:after="240" w:line="360" w:lineRule="auto"/>
        <w:rPr>
          <w:sz w:val="36"/>
          <w:szCs w:val="36"/>
        </w:rPr>
      </w:pPr>
      <w:bookmarkStart w:id="7" w:name="_Toc43637997"/>
      <w:r>
        <w:rPr>
          <w:rFonts w:hint="eastAsia"/>
          <w:sz w:val="36"/>
          <w:szCs w:val="36"/>
        </w:rPr>
        <w:t>八</w:t>
      </w:r>
      <w:r>
        <w:rPr>
          <w:sz w:val="36"/>
          <w:szCs w:val="36"/>
        </w:rPr>
        <w:t>、标准性质的建议说明</w:t>
      </w:r>
      <w:bookmarkEnd w:id="7"/>
    </w:p>
    <w:p>
      <w:pPr>
        <w:spacing w:line="360" w:lineRule="auto"/>
        <w:ind w:firstLine="560" w:firstLineChars="200"/>
        <w:rPr>
          <w:sz w:val="28"/>
          <w:szCs w:val="24"/>
        </w:rPr>
      </w:pPr>
      <w:r>
        <w:rPr>
          <w:sz w:val="28"/>
          <w:szCs w:val="24"/>
        </w:rPr>
        <w:t>建议本标准作为</w:t>
      </w:r>
      <w:r>
        <w:rPr>
          <w:rFonts w:hint="eastAsia"/>
          <w:sz w:val="28"/>
          <w:szCs w:val="24"/>
        </w:rPr>
        <w:t>城市垃圾炉排炉焚烧厂低碳化服务</w:t>
      </w:r>
      <w:r>
        <w:rPr>
          <w:sz w:val="28"/>
          <w:szCs w:val="24"/>
        </w:rPr>
        <w:t>标准发布实施</w:t>
      </w:r>
      <w:r>
        <w:rPr>
          <w:rFonts w:hint="eastAsia"/>
          <w:sz w:val="28"/>
          <w:szCs w:val="24"/>
        </w:rPr>
        <w:t>。</w:t>
      </w:r>
    </w:p>
    <w:p>
      <w:pPr>
        <w:pStyle w:val="3"/>
        <w:spacing w:before="240" w:after="240" w:line="360" w:lineRule="auto"/>
        <w:rPr>
          <w:sz w:val="36"/>
          <w:szCs w:val="36"/>
        </w:rPr>
      </w:pPr>
      <w:bookmarkStart w:id="8" w:name="_Toc43637999"/>
      <w:r>
        <w:rPr>
          <w:rFonts w:hint="eastAsia"/>
          <w:sz w:val="36"/>
          <w:szCs w:val="36"/>
        </w:rPr>
        <w:t>九</w:t>
      </w:r>
      <w:r>
        <w:rPr>
          <w:sz w:val="36"/>
          <w:szCs w:val="36"/>
        </w:rPr>
        <w:t>、废止现行相关标准的建议</w:t>
      </w:r>
      <w:bookmarkEnd w:id="8"/>
    </w:p>
    <w:p>
      <w:pPr>
        <w:spacing w:line="360" w:lineRule="auto"/>
        <w:ind w:firstLine="560" w:firstLineChars="200"/>
        <w:rPr>
          <w:sz w:val="28"/>
          <w:szCs w:val="24"/>
        </w:rPr>
      </w:pPr>
      <w:r>
        <w:rPr>
          <w:sz w:val="28"/>
          <w:szCs w:val="24"/>
        </w:rPr>
        <w:t>无。</w:t>
      </w:r>
    </w:p>
    <w:p>
      <w:pPr>
        <w:pStyle w:val="3"/>
        <w:spacing w:before="240" w:after="240" w:line="360" w:lineRule="auto"/>
        <w:rPr>
          <w:sz w:val="36"/>
          <w:szCs w:val="36"/>
        </w:rPr>
      </w:pPr>
      <w:bookmarkStart w:id="9" w:name="_Toc43638000"/>
      <w:r>
        <w:rPr>
          <w:sz w:val="36"/>
          <w:szCs w:val="36"/>
        </w:rPr>
        <w:t>十、其他应予说明的事项</w:t>
      </w:r>
      <w:bookmarkEnd w:id="9"/>
    </w:p>
    <w:p>
      <w:pPr>
        <w:spacing w:line="360" w:lineRule="auto"/>
        <w:ind w:firstLine="560" w:firstLineChars="200"/>
        <w:rPr>
          <w:sz w:val="28"/>
          <w:szCs w:val="24"/>
        </w:rPr>
      </w:pPr>
      <w:r>
        <w:rPr>
          <w:sz w:val="28"/>
          <w:szCs w:val="24"/>
        </w:rPr>
        <w:t>无。</w:t>
      </w:r>
    </w:p>
    <w:p>
      <w:pPr>
        <w:pStyle w:val="2"/>
      </w:pPr>
    </w:p>
    <w:p>
      <w:pPr>
        <w:pStyle w:val="2"/>
      </w:pPr>
    </w:p>
    <w:p>
      <w:pPr>
        <w:pStyle w:val="2"/>
      </w:pPr>
    </w:p>
    <w:p>
      <w:pPr>
        <w:pStyle w:val="2"/>
      </w:pPr>
      <w:bookmarkStart w:id="10" w:name="_GoBack"/>
      <w:bookmarkEnd w:id="10"/>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等线">
    <w:panose1 w:val="02010600030101010101"/>
    <w:charset w:val="86"/>
    <w:family w:val="roman"/>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9</w:t>
    </w:r>
    <w:r>
      <w:fldChar w:fldCharType="end"/>
    </w:r>
  </w:p>
  <w:p>
    <w:pPr>
      <w:pStyle w:val="11"/>
      <w:ind w:firstLine="8100" w:firstLineChars="4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77CD1"/>
    <w:multiLevelType w:val="multilevel"/>
    <w:tmpl w:val="15477CD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9"/>
      <w:suff w:val="nothing"/>
      <w:lvlText w:val="%1%2　"/>
      <w:lvlJc w:val="left"/>
      <w:pPr>
        <w:ind w:left="0" w:firstLine="0"/>
      </w:pPr>
      <w:rPr>
        <w:rFonts w:hint="eastAsia" w:ascii="黑体" w:hAnsi="Times New Roman"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wZDU5NzQ2M2JiZGNjYzZkMTMyNWE4NzQ1ODJmN2UifQ=="/>
    <w:docVar w:name="KSO_WPS_MARK_KEY" w:val="eef28859-954a-467f-9663-a5e8c39171f8"/>
  </w:docVars>
  <w:rsids>
    <w:rsidRoot w:val="00CB13AC"/>
    <w:rsid w:val="00014A06"/>
    <w:rsid w:val="00034B0E"/>
    <w:rsid w:val="000B7FBA"/>
    <w:rsid w:val="000C2E16"/>
    <w:rsid w:val="000D5D49"/>
    <w:rsid w:val="001010F6"/>
    <w:rsid w:val="0010186F"/>
    <w:rsid w:val="001039DE"/>
    <w:rsid w:val="0011228D"/>
    <w:rsid w:val="0013015B"/>
    <w:rsid w:val="00151744"/>
    <w:rsid w:val="001A47CF"/>
    <w:rsid w:val="001A735D"/>
    <w:rsid w:val="001B043B"/>
    <w:rsid w:val="001D18FF"/>
    <w:rsid w:val="001F504B"/>
    <w:rsid w:val="0020238C"/>
    <w:rsid w:val="00227F05"/>
    <w:rsid w:val="00240BD3"/>
    <w:rsid w:val="0024181A"/>
    <w:rsid w:val="002A50EA"/>
    <w:rsid w:val="002B6A08"/>
    <w:rsid w:val="00300A24"/>
    <w:rsid w:val="003103E4"/>
    <w:rsid w:val="003347D5"/>
    <w:rsid w:val="003454DB"/>
    <w:rsid w:val="003773C3"/>
    <w:rsid w:val="003A1925"/>
    <w:rsid w:val="003A3738"/>
    <w:rsid w:val="003A435C"/>
    <w:rsid w:val="003A68D1"/>
    <w:rsid w:val="003C351A"/>
    <w:rsid w:val="00447753"/>
    <w:rsid w:val="004641F0"/>
    <w:rsid w:val="0046759C"/>
    <w:rsid w:val="00470809"/>
    <w:rsid w:val="00495561"/>
    <w:rsid w:val="004C1538"/>
    <w:rsid w:val="004D0F96"/>
    <w:rsid w:val="00520502"/>
    <w:rsid w:val="00530716"/>
    <w:rsid w:val="00590750"/>
    <w:rsid w:val="00593E92"/>
    <w:rsid w:val="005B026B"/>
    <w:rsid w:val="00626FD8"/>
    <w:rsid w:val="006902B3"/>
    <w:rsid w:val="006935FE"/>
    <w:rsid w:val="00697987"/>
    <w:rsid w:val="006A5050"/>
    <w:rsid w:val="006A71E5"/>
    <w:rsid w:val="00725D0C"/>
    <w:rsid w:val="00743F5D"/>
    <w:rsid w:val="00767339"/>
    <w:rsid w:val="00774D0A"/>
    <w:rsid w:val="00792754"/>
    <w:rsid w:val="007A5BF9"/>
    <w:rsid w:val="007B375B"/>
    <w:rsid w:val="007C0CCA"/>
    <w:rsid w:val="007C68CF"/>
    <w:rsid w:val="00854F1E"/>
    <w:rsid w:val="0086162B"/>
    <w:rsid w:val="00872D77"/>
    <w:rsid w:val="00876C03"/>
    <w:rsid w:val="00891BCE"/>
    <w:rsid w:val="008A6174"/>
    <w:rsid w:val="008A73FD"/>
    <w:rsid w:val="008D2F2A"/>
    <w:rsid w:val="008D746A"/>
    <w:rsid w:val="008E1058"/>
    <w:rsid w:val="008F3812"/>
    <w:rsid w:val="00904B31"/>
    <w:rsid w:val="00925A69"/>
    <w:rsid w:val="00942660"/>
    <w:rsid w:val="00964FDD"/>
    <w:rsid w:val="009C00E8"/>
    <w:rsid w:val="009E42F6"/>
    <w:rsid w:val="009E5783"/>
    <w:rsid w:val="00A10F16"/>
    <w:rsid w:val="00A20466"/>
    <w:rsid w:val="00A33BE2"/>
    <w:rsid w:val="00A63064"/>
    <w:rsid w:val="00A630B2"/>
    <w:rsid w:val="00A84A48"/>
    <w:rsid w:val="00A93CAE"/>
    <w:rsid w:val="00A947C0"/>
    <w:rsid w:val="00A96ABD"/>
    <w:rsid w:val="00AB3042"/>
    <w:rsid w:val="00AB7857"/>
    <w:rsid w:val="00AC32A2"/>
    <w:rsid w:val="00B37DC6"/>
    <w:rsid w:val="00B65BF7"/>
    <w:rsid w:val="00B97F2D"/>
    <w:rsid w:val="00BC145D"/>
    <w:rsid w:val="00C0500D"/>
    <w:rsid w:val="00C12FAE"/>
    <w:rsid w:val="00C37F2F"/>
    <w:rsid w:val="00C47A39"/>
    <w:rsid w:val="00C57E82"/>
    <w:rsid w:val="00C772E3"/>
    <w:rsid w:val="00C874D4"/>
    <w:rsid w:val="00C92249"/>
    <w:rsid w:val="00CB13AC"/>
    <w:rsid w:val="00D350D9"/>
    <w:rsid w:val="00D71968"/>
    <w:rsid w:val="00DB29E5"/>
    <w:rsid w:val="00DE5980"/>
    <w:rsid w:val="00DF2296"/>
    <w:rsid w:val="00E14090"/>
    <w:rsid w:val="00E56C59"/>
    <w:rsid w:val="00E62114"/>
    <w:rsid w:val="00E65D65"/>
    <w:rsid w:val="00E7035F"/>
    <w:rsid w:val="00E75C95"/>
    <w:rsid w:val="00E825E8"/>
    <w:rsid w:val="00E93E9D"/>
    <w:rsid w:val="00EA5182"/>
    <w:rsid w:val="00EC6E94"/>
    <w:rsid w:val="00F6661F"/>
    <w:rsid w:val="00F810B7"/>
    <w:rsid w:val="00FF0664"/>
    <w:rsid w:val="03576C3C"/>
    <w:rsid w:val="08C55C9C"/>
    <w:rsid w:val="0A7006FB"/>
    <w:rsid w:val="0D447F7E"/>
    <w:rsid w:val="10314485"/>
    <w:rsid w:val="17F35B20"/>
    <w:rsid w:val="18815186"/>
    <w:rsid w:val="194A18D9"/>
    <w:rsid w:val="1E5B58FE"/>
    <w:rsid w:val="25A54D4C"/>
    <w:rsid w:val="2ED353E0"/>
    <w:rsid w:val="335B4C78"/>
    <w:rsid w:val="3E05634B"/>
    <w:rsid w:val="3F5757A4"/>
    <w:rsid w:val="40477FF8"/>
    <w:rsid w:val="420A3597"/>
    <w:rsid w:val="420C3E65"/>
    <w:rsid w:val="42623E89"/>
    <w:rsid w:val="42F255D0"/>
    <w:rsid w:val="500B313A"/>
    <w:rsid w:val="51D1132D"/>
    <w:rsid w:val="538366A1"/>
    <w:rsid w:val="53F952DD"/>
    <w:rsid w:val="5EC332A1"/>
    <w:rsid w:val="600E6F45"/>
    <w:rsid w:val="664519B1"/>
    <w:rsid w:val="69786E1E"/>
    <w:rsid w:val="6B2475EA"/>
    <w:rsid w:val="6C2C42D2"/>
    <w:rsid w:val="7091355A"/>
    <w:rsid w:val="74286389"/>
    <w:rsid w:val="7487479C"/>
    <w:rsid w:val="75082B16"/>
    <w:rsid w:val="7C69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4"/>
    <w:qFormat/>
    <w:uiPriority w:val="0"/>
    <w:pPr>
      <w:keepNext/>
      <w:keepLines/>
      <w:spacing w:before="260" w:after="260" w:line="416" w:lineRule="auto"/>
      <w:outlineLvl w:val="2"/>
    </w:pPr>
    <w:rPr>
      <w:rFonts w:ascii="Times New Roman" w:hAnsi="Times New Roman" w:eastAsia="仿宋_GB2312"/>
      <w:b/>
      <w:bCs/>
      <w:sz w:val="32"/>
      <w:szCs w:val="32"/>
      <w:lang w:val="zh-CN"/>
    </w:rPr>
  </w:style>
  <w:style w:type="paragraph" w:styleId="6">
    <w:name w:val="heading 4"/>
    <w:basedOn w:val="1"/>
    <w:next w:val="1"/>
    <w:link w:val="26"/>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99"/>
    <w:pPr>
      <w:spacing w:after="120"/>
    </w:p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annotation text"/>
    <w:basedOn w:val="1"/>
    <w:unhideWhenUsed/>
    <w:qFormat/>
    <w:uiPriority w:val="99"/>
    <w:pPr>
      <w:jc w:val="left"/>
    </w:pPr>
  </w:style>
  <w:style w:type="paragraph" w:styleId="9">
    <w:name w:val="Block Text"/>
    <w:basedOn w:val="1"/>
    <w:qFormat/>
    <w:uiPriority w:val="0"/>
    <w:pPr>
      <w:ind w:left="792" w:leftChars="377" w:right="254" w:rightChars="121"/>
    </w:pPr>
  </w:style>
  <w:style w:type="paragraph" w:styleId="10">
    <w:name w:val="Balloon Text"/>
    <w:basedOn w:val="1"/>
    <w:link w:val="4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241"/>
      </w:tabs>
      <w:spacing w:beforeLines="25" w:afterLines="25"/>
      <w:jc w:val="left"/>
    </w:pPr>
    <w:rPr>
      <w:rFonts w:ascii="宋体" w:hAnsi="Times New Roman"/>
      <w:szCs w:val="21"/>
    </w:rPr>
  </w:style>
  <w:style w:type="paragraph" w:styleId="14">
    <w:name w:val="Normal (Web)"/>
    <w:basedOn w:val="1"/>
    <w:unhideWhenUsed/>
    <w:uiPriority w:val="99"/>
    <w:pPr>
      <w:spacing w:before="100" w:beforeAutospacing="1" w:after="100" w:afterAutospacing="1"/>
      <w:jc w:val="left"/>
    </w:pPr>
    <w:rPr>
      <w:kern w:val="0"/>
      <w:sz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Hyperlink"/>
    <w:qFormat/>
    <w:uiPriority w:val="99"/>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标题 2 Char"/>
    <w:link w:val="4"/>
    <w:uiPriority w:val="0"/>
    <w:rPr>
      <w:rFonts w:ascii="Arial" w:hAnsi="Arial" w:eastAsia="黑体" w:cs="Times New Roman"/>
      <w:b/>
      <w:bCs/>
      <w:sz w:val="32"/>
      <w:szCs w:val="32"/>
    </w:rPr>
  </w:style>
  <w:style w:type="character" w:customStyle="1" w:styleId="21">
    <w:name w:val="段 Char"/>
    <w:link w:val="22"/>
    <w:qFormat/>
    <w:uiPriority w:val="0"/>
    <w:rPr>
      <w:rFonts w:ascii="宋体"/>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character" w:customStyle="1" w:styleId="23">
    <w:name w:val="页脚 Char"/>
    <w:link w:val="11"/>
    <w:qFormat/>
    <w:uiPriority w:val="99"/>
    <w:rPr>
      <w:sz w:val="18"/>
      <w:szCs w:val="18"/>
    </w:rPr>
  </w:style>
  <w:style w:type="character" w:customStyle="1" w:styleId="24">
    <w:name w:val="标题 3 Char"/>
    <w:link w:val="5"/>
    <w:qFormat/>
    <w:uiPriority w:val="0"/>
    <w:rPr>
      <w:rFonts w:ascii="Times New Roman" w:hAnsi="Times New Roman" w:eastAsia="仿宋_GB2312" w:cs="Times New Roman"/>
      <w:b/>
      <w:bCs/>
      <w:sz w:val="32"/>
      <w:szCs w:val="32"/>
      <w:lang w:val="zh-CN"/>
    </w:rPr>
  </w:style>
  <w:style w:type="character" w:customStyle="1" w:styleId="25">
    <w:name w:val="正文文本 Char"/>
    <w:link w:val="2"/>
    <w:semiHidden/>
    <w:uiPriority w:val="99"/>
  </w:style>
  <w:style w:type="character" w:customStyle="1" w:styleId="26">
    <w:name w:val="标题 4 Char"/>
    <w:link w:val="6"/>
    <w:qFormat/>
    <w:uiPriority w:val="9"/>
    <w:rPr>
      <w:rFonts w:ascii="等线 Light" w:hAnsi="等线 Light" w:eastAsia="等线 Light" w:cs="Times New Roman"/>
      <w:b/>
      <w:bCs/>
      <w:sz w:val="28"/>
      <w:szCs w:val="28"/>
    </w:rPr>
  </w:style>
  <w:style w:type="character" w:customStyle="1" w:styleId="27">
    <w:name w:val="标题 1 Char"/>
    <w:link w:val="3"/>
    <w:qFormat/>
    <w:uiPriority w:val="0"/>
    <w:rPr>
      <w:rFonts w:ascii="Times New Roman" w:hAnsi="Times New Roman" w:eastAsia="宋体" w:cs="Times New Roman"/>
      <w:b/>
      <w:bCs/>
      <w:kern w:val="44"/>
      <w:sz w:val="44"/>
      <w:szCs w:val="44"/>
    </w:rPr>
  </w:style>
  <w:style w:type="character" w:customStyle="1" w:styleId="28">
    <w:name w:val="页眉 Char"/>
    <w:link w:val="12"/>
    <w:qFormat/>
    <w:uiPriority w:val="99"/>
    <w:rPr>
      <w:sz w:val="18"/>
      <w:szCs w:val="18"/>
    </w:rPr>
  </w:style>
  <w:style w:type="paragraph" w:customStyle="1" w:styleId="29">
    <w:name w:val="标准文件_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0">
    <w:name w:val="标准文件_附录表标题"/>
    <w:next w:val="29"/>
    <w:qFormat/>
    <w:uiPriority w:val="0"/>
    <w:pPr>
      <w:numPr>
        <w:ilvl w:val="1"/>
        <w:numId w:val="1"/>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31">
    <w:name w:val="msolistparagraph"/>
    <w:basedOn w:val="1"/>
    <w:qFormat/>
    <w:uiPriority w:val="0"/>
    <w:pPr>
      <w:spacing w:line="360" w:lineRule="auto"/>
      <w:ind w:firstLine="420" w:firstLineChars="200"/>
    </w:pPr>
    <w:rPr>
      <w:rFonts w:ascii="Times New Roman" w:hAnsi="Times New Roman"/>
      <w:sz w:val="24"/>
    </w:rPr>
  </w:style>
  <w:style w:type="paragraph" w:customStyle="1" w:styleId="32">
    <w:name w:val="标准文件_表格"/>
    <w:basedOn w:val="29"/>
    <w:qFormat/>
    <w:uiPriority w:val="0"/>
    <w:pPr>
      <w:ind w:firstLine="0" w:firstLineChars="0"/>
      <w:jc w:val="center"/>
    </w:pPr>
    <w:rPr>
      <w:sz w:val="18"/>
    </w:rPr>
  </w:style>
  <w:style w:type="paragraph" w:customStyle="1" w:styleId="33">
    <w:name w:val="标准文件_二级条标题"/>
    <w:next w:val="29"/>
    <w:qFormat/>
    <w:uiPriority w:val="0"/>
    <w:pPr>
      <w:widowControl w:val="0"/>
      <w:numPr>
        <w:ilvl w:val="3"/>
        <w:numId w:val="2"/>
      </w:numPr>
      <w:spacing w:beforeLines="50" w:afterLines="50"/>
      <w:jc w:val="both"/>
      <w:outlineLvl w:val="2"/>
    </w:pPr>
    <w:rPr>
      <w:rFonts w:ascii="黑体" w:hAnsi="Calibri" w:eastAsia="黑体" w:cs="Times New Roman"/>
      <w:sz w:val="21"/>
      <w:lang w:val="en-US" w:eastAsia="zh-CN" w:bidi="ar-SA"/>
    </w:rPr>
  </w:style>
  <w:style w:type="paragraph" w:styleId="34">
    <w:name w:val="List Paragraph"/>
    <w:basedOn w:val="1"/>
    <w:qFormat/>
    <w:uiPriority w:val="34"/>
    <w:pPr>
      <w:ind w:firstLine="420" w:firstLineChars="200"/>
    </w:pPr>
  </w:style>
  <w:style w:type="paragraph" w:customStyle="1" w:styleId="35">
    <w:name w:val="标准文件_正文公式"/>
    <w:basedOn w:val="1"/>
    <w:next w:val="36"/>
    <w:qFormat/>
    <w:uiPriority w:val="0"/>
    <w:pPr>
      <w:tabs>
        <w:tab w:val="center" w:pos="4678"/>
        <w:tab w:val="right" w:leader="middleDot" w:pos="9356"/>
      </w:tabs>
    </w:pPr>
    <w:rPr>
      <w:rFonts w:ascii="宋体" w:hAnsi="宋体"/>
    </w:rPr>
  </w:style>
  <w:style w:type="paragraph" w:customStyle="1" w:styleId="36">
    <w:name w:val="标准文件_标准正文"/>
    <w:basedOn w:val="1"/>
    <w:next w:val="29"/>
    <w:qFormat/>
    <w:uiPriority w:val="0"/>
    <w:pPr>
      <w:snapToGrid w:val="0"/>
      <w:ind w:firstLine="200" w:firstLineChars="200"/>
    </w:pPr>
    <w:rPr>
      <w:kern w:val="0"/>
    </w:rPr>
  </w:style>
  <w:style w:type="paragraph" w:customStyle="1" w:styleId="37">
    <w:name w:val="Table Paragraph"/>
    <w:basedOn w:val="1"/>
    <w:qFormat/>
    <w:uiPriority w:val="1"/>
    <w:pPr>
      <w:spacing w:line="300" w:lineRule="auto"/>
      <w:jc w:val="left"/>
    </w:pPr>
    <w:rPr>
      <w:kern w:val="0"/>
      <w:sz w:val="22"/>
      <w:lang w:eastAsia="en-US"/>
    </w:rPr>
  </w:style>
  <w:style w:type="paragraph" w:customStyle="1" w:styleId="38">
    <w:name w:val="标准文件_二级无标题"/>
    <w:basedOn w:val="33"/>
    <w:qFormat/>
    <w:uiPriority w:val="0"/>
    <w:pPr>
      <w:spacing w:beforeLines="0" w:afterLines="0"/>
      <w:outlineLvl w:val="9"/>
    </w:pPr>
    <w:rPr>
      <w:rFonts w:ascii="宋体" w:eastAsia="宋体"/>
    </w:rPr>
  </w:style>
  <w:style w:type="paragraph" w:customStyle="1" w:styleId="39">
    <w:name w:val="标准文件_章标题"/>
    <w:next w:val="29"/>
    <w:qFormat/>
    <w:uiPriority w:val="0"/>
    <w:pPr>
      <w:numPr>
        <w:ilvl w:val="1"/>
        <w:numId w:val="2"/>
      </w:numPr>
      <w:spacing w:beforeLines="100" w:afterLines="100"/>
      <w:jc w:val="both"/>
      <w:outlineLvl w:val="0"/>
    </w:pPr>
    <w:rPr>
      <w:rFonts w:ascii="黑体" w:hAnsi="Calibri" w:eastAsia="黑体" w:cs="Times New Roman"/>
      <w:sz w:val="21"/>
      <w:lang w:val="en-US" w:eastAsia="zh-CN" w:bidi="ar-SA"/>
    </w:rPr>
  </w:style>
  <w:style w:type="paragraph" w:customStyle="1" w:styleId="40">
    <w:name w:val="标准文件_一级条标题"/>
    <w:basedOn w:val="39"/>
    <w:next w:val="29"/>
    <w:qFormat/>
    <w:uiPriority w:val="0"/>
    <w:pPr>
      <w:numPr>
        <w:ilvl w:val="2"/>
      </w:numPr>
      <w:spacing w:beforeLines="50" w:afterLines="50"/>
      <w:outlineLvl w:val="1"/>
    </w:pPr>
  </w:style>
  <w:style w:type="character" w:customStyle="1" w:styleId="41">
    <w:name w:val="标准文件_段 Char"/>
    <w:basedOn w:val="17"/>
    <w:qFormat/>
    <w:uiPriority w:val="0"/>
    <w:rPr>
      <w:rFonts w:hint="eastAsia" w:ascii="宋体" w:hAnsi="Times New Roman" w:eastAsia="宋体" w:cs="宋体"/>
      <w:sz w:val="21"/>
    </w:rPr>
  </w:style>
  <w:style w:type="character" w:customStyle="1" w:styleId="42">
    <w:name w:val="批注框文本 Char"/>
    <w:basedOn w:val="17"/>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3896</Words>
  <Characters>4409</Characters>
  <Lines>34</Lines>
  <Paragraphs>9</Paragraphs>
  <TotalTime>3</TotalTime>
  <ScaleCrop>false</ScaleCrop>
  <LinksUpToDate>false</LinksUpToDate>
  <CharactersWithSpaces>4481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2022-06-16T00:50:00Z</dcterms:created>
  <dc:creator>cnis</dc:creator>
  <cp:lastModifiedBy>吴霜｜Ava</cp:lastModifiedBy>
  <dcterms:modified xsi:type="dcterms:W3CDTF">2023-03-30T06:48:58Z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9698A1C842B04D2BB35E4678C5005E62</vt:lpwstr>
  </property>
</Properties>
</file>