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质量分级及“领跑者”评价要求 装配式集成装饰</w:t>
      </w:r>
      <w:r>
        <w:rPr>
          <w:rFonts w:hint="eastAsia" w:ascii="华文中宋" w:hAnsi="华文中宋" w:eastAsia="华文中宋" w:cs="华文中宋"/>
          <w:sz w:val="28"/>
          <w:szCs w:val="28"/>
        </w:rPr>
        <w:t>》等五项团体标准计划项目汇总表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271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质量分级及“领跑者”评价要求 装配式集成装饰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威凯检测技术有限公司等</w:t>
            </w:r>
          </w:p>
        </w:tc>
      </w:tr>
    </w:tbl>
    <w:p>
      <w:pPr>
        <w:widowControl/>
        <w:jc w:val="lef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A46FD9"/>
    <w:rsid w:val="000775EC"/>
    <w:rsid w:val="00A46FD9"/>
    <w:rsid w:val="632B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2022-08-16T02:24:00Z</dcterms:created>
  <dc:creator>王 娇</dc:creator>
  <cp:lastModifiedBy>admin</cp:lastModifiedBy>
  <dcterms:modified xsi:type="dcterms:W3CDTF">2023-09-28T02:31:36Z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DB9653F2FD82486492C8431008E995D8_12</vt:lpwstr>
  </property>
</Properties>
</file>