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《化学需氧量测定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>二氧化钛纳米管光电催化法》团体标准计划项目汇总表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1738"/>
        <w:gridCol w:w="1847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2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0230280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化学需氧量测定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二氧化钛纳米管光电催化法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32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佛山绿色发展创新研究院;南京洁态环保科技有限公司;苏州聚阳环保科技股份有限公司;东华大学;苏州大学;华北电力大学;苏州市计量测试院;中国计量科学研究院;苏州市环境监测站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D311F0"/>
    <w:rsid w:val="00394BE0"/>
    <w:rsid w:val="00D311F0"/>
    <w:rsid w:val="45F91CA4"/>
    <w:rsid w:val="63116428"/>
    <w:rsid w:val="7994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2023-10-13T05:27:00Z</dcterms:created>
  <dc:creator>8617836048719</dc:creator>
  <cp:lastModifiedBy>admin</cp:lastModifiedBy>
  <dcterms:modified xsi:type="dcterms:W3CDTF">2023-10-20T13:14:45Z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DC3DA504F4CE40D6936BAD4B2332AA6E_12</vt:lpwstr>
  </property>
</Properties>
</file>