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9050838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二次供水泵房智能运营服务》等三项团体标准计划项目汇总表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181"/>
        <w:gridCol w:w="1134"/>
        <w:gridCol w:w="2279"/>
        <w:gridCol w:w="1407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1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40016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二次供水泵房智能运营服务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79" w:type="dxa"/>
            <w:vAlign w:val="center"/>
          </w:tcPr>
          <w:p>
            <w:pPr>
              <w:spacing w:before="168" w:beforeLines="70" w:line="320" w:lineRule="exact"/>
              <w:jc w:val="both"/>
              <w:rPr>
                <w:rFonts w:hint="eastAsia" w:ascii="仿宋_GB2312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E</w:t>
            </w: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企业标准“领跑者”工作委员会</w:t>
            </w:r>
          </w:p>
        </w:tc>
        <w:tc>
          <w:tcPr>
            <w:tcW w:w="14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中国技术经济学会</w:t>
            </w:r>
          </w:p>
        </w:tc>
        <w:tc>
          <w:tcPr>
            <w:tcW w:w="3136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福州市自来水有限公司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济南水务集团有限公司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广州市自来水有限公司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佛山市顺德区水业控股有限公司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湘潭中环水务有限公司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中国标准化研究院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北京易二零环境股份有限公司</w:t>
            </w:r>
          </w:p>
          <w:p>
            <w:pPr>
              <w:spacing w:before="168" w:beforeLines="70"/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北京易二零认证有限公司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1" w:name="_GoBack" w:colFirst="6" w:colLast="6"/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0240017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供水管网智能调度服务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E</w:t>
            </w: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企业标准“领跑者”工作委员会</w:t>
            </w:r>
          </w:p>
        </w:tc>
        <w:tc>
          <w:tcPr>
            <w:tcW w:w="14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中国技术经济学会</w:t>
            </w:r>
          </w:p>
        </w:tc>
        <w:tc>
          <w:tcPr>
            <w:tcW w:w="3136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广州市自来水有限公司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福州市自来水有限公司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澳门自来水股份有限公司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佛山市顺德区水业控股有限公司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瀚蓝环境股份有限公司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中国标准化研究院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北京易二零环境股份有限公司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北京易二零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认证</w:t>
            </w: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0240018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供水智能客服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E</w:t>
            </w: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企业标准“领跑者”工作委员会</w:t>
            </w:r>
          </w:p>
        </w:tc>
        <w:tc>
          <w:tcPr>
            <w:tcW w:w="14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中国技术经济学会</w:t>
            </w:r>
          </w:p>
        </w:tc>
        <w:tc>
          <w:tcPr>
            <w:tcW w:w="3136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昆山市自来水集团有限公司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济南水务集团有限公司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广州市自来水有限公司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福州市自来水有限公司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澳门自来水股份有限公司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深圳市科荣软件股份有限公司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中国标准化研究院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北京易二零环境股份有限公司</w:t>
            </w:r>
          </w:p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北京易二零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认证</w:t>
            </w:r>
            <w:r>
              <w:rPr>
                <w:rFonts w:ascii="仿宋_GB2312" w:hAnsi="Times New Roman" w:eastAsia="仿宋_GB2312" w:cs="Times New Roman"/>
                <w:sz w:val="18"/>
                <w:szCs w:val="18"/>
              </w:rPr>
              <w:t>有限公司</w:t>
            </w:r>
          </w:p>
        </w:tc>
      </w:tr>
      <w:bookmarkEnd w:id="1"/>
      <w:bookmarkEnd w:id="0"/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1416F5"/>
    <w:rsid w:val="000F78AB"/>
    <w:rsid w:val="001416F5"/>
    <w:rsid w:val="001E6067"/>
    <w:rsid w:val="003B4E6C"/>
    <w:rsid w:val="00425376"/>
    <w:rsid w:val="00715541"/>
    <w:rsid w:val="00DF1FC9"/>
    <w:rsid w:val="00F53FD4"/>
    <w:rsid w:val="0777244E"/>
    <w:rsid w:val="08FF2CCC"/>
    <w:rsid w:val="0D1D75F3"/>
    <w:rsid w:val="1A5169DD"/>
    <w:rsid w:val="1D022362"/>
    <w:rsid w:val="273C0839"/>
    <w:rsid w:val="5CB07976"/>
    <w:rsid w:val="73DD4830"/>
    <w:rsid w:val="76E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2024-03-06T02:15:00Z</dcterms:created>
  <dc:creator>8617836048719</dc:creator>
  <cp:lastModifiedBy>admin</cp:lastModifiedBy>
  <dcterms:modified xsi:type="dcterms:W3CDTF">2024-03-08T02:56:52Z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5A2B660D1ADF4B22B4D0F40B227B053E_12</vt:lpwstr>
  </property>
</Properties>
</file>